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8EF0C8">
      <w:pPr>
        <w:ind w:firstLine="920" w:firstLineChars="100"/>
        <w:jc w:val="both"/>
        <w:rPr>
          <w:rFonts w:hint="eastAsia" w:ascii="方正小标宋简体" w:eastAsia="方正小标宋简体"/>
          <w:color w:val="FF0000"/>
          <w:spacing w:val="-20"/>
          <w:sz w:val="96"/>
          <w:szCs w:val="96"/>
        </w:rPr>
      </w:pPr>
      <w:r>
        <w:rPr>
          <w:rFonts w:hint="eastAsia" w:ascii="方正小标宋简体" w:eastAsia="方正小标宋简体"/>
          <w:color w:val="FF0000"/>
          <w:spacing w:val="-20"/>
          <w:sz w:val="96"/>
          <w:szCs w:val="96"/>
          <w:lang w:eastAsia="zh-CN"/>
        </w:rPr>
        <w:t>南</w:t>
      </w:r>
      <w:r>
        <w:rPr>
          <w:rFonts w:hint="eastAsia" w:ascii="方正小标宋简体" w:eastAsia="方正小标宋简体"/>
          <w:color w:val="FF0000"/>
          <w:spacing w:val="-20"/>
          <w:sz w:val="96"/>
          <w:szCs w:val="96"/>
          <w:lang w:val="en-US" w:eastAsia="zh-CN"/>
        </w:rPr>
        <w:t xml:space="preserve">  </w:t>
      </w:r>
      <w:r>
        <w:rPr>
          <w:rFonts w:hint="eastAsia" w:ascii="方正小标宋简体" w:eastAsia="方正小标宋简体"/>
          <w:color w:val="FF0000"/>
          <w:spacing w:val="-20"/>
          <w:sz w:val="96"/>
          <w:szCs w:val="96"/>
          <w:lang w:eastAsia="zh-CN"/>
        </w:rPr>
        <w:t>昌</w:t>
      </w:r>
      <w:r>
        <w:rPr>
          <w:rFonts w:hint="eastAsia" w:ascii="方正小标宋简体" w:eastAsia="方正小标宋简体"/>
          <w:color w:val="FF0000"/>
          <w:spacing w:val="-20"/>
          <w:sz w:val="96"/>
          <w:szCs w:val="96"/>
        </w:rPr>
        <w:t xml:space="preserve"> </w:t>
      </w:r>
      <w:r>
        <w:rPr>
          <w:rFonts w:hint="eastAsia" w:ascii="方正小标宋简体" w:eastAsia="方正小标宋简体"/>
          <w:color w:val="FF0000"/>
          <w:spacing w:val="-20"/>
          <w:sz w:val="96"/>
          <w:szCs w:val="96"/>
          <w:lang w:val="en-US" w:eastAsia="zh-CN"/>
        </w:rPr>
        <w:t xml:space="preserve"> </w:t>
      </w:r>
      <w:r>
        <w:rPr>
          <w:rFonts w:hint="eastAsia" w:ascii="方正小标宋简体" w:eastAsia="方正小标宋简体"/>
          <w:color w:val="FF0000"/>
          <w:spacing w:val="-20"/>
          <w:sz w:val="96"/>
          <w:szCs w:val="96"/>
        </w:rPr>
        <w:t>价 格 监 测</w:t>
      </w:r>
    </w:p>
    <w:p w14:paraId="19142249">
      <w:pPr>
        <w:rPr>
          <w:rFonts w:hint="eastAsia" w:ascii="仿宋_GB2312" w:eastAsia="仿宋_GB2312"/>
          <w:color w:val="FF0000"/>
          <w:sz w:val="32"/>
          <w:szCs w:val="32"/>
        </w:rPr>
      </w:pPr>
    </w:p>
    <w:p w14:paraId="7B015F81">
      <w:pPr>
        <w:rPr>
          <w:rFonts w:hint="eastAsia" w:ascii="仿宋_GB2312" w:eastAsia="仿宋_GB2312"/>
          <w:color w:val="FF0000"/>
          <w:sz w:val="32"/>
          <w:szCs w:val="32"/>
        </w:rPr>
      </w:pPr>
    </w:p>
    <w:p w14:paraId="2D1B0A33">
      <w:pPr>
        <w:rPr>
          <w:rFonts w:hint="eastAsia" w:ascii="黑体" w:hAnsi="黑体" w:eastAsia="黑体"/>
          <w:color w:val="000000"/>
          <w:sz w:val="28"/>
          <w:szCs w:val="28"/>
        </w:rPr>
      </w:pPr>
      <w:r>
        <w:rPr>
          <w:rFonts w:hint="eastAsia" w:ascii="黑体" w:hAnsi="黑体" w:eastAsia="黑体"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-53340</wp:posOffset>
                </wp:positionH>
                <wp:positionV relativeFrom="paragraph">
                  <wp:posOffset>373380</wp:posOffset>
                </wp:positionV>
                <wp:extent cx="5539740" cy="0"/>
                <wp:effectExtent l="0" t="15875" r="3810" b="22225"/>
                <wp:wrapNone/>
                <wp:docPr id="3" name="直接箭头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39740" cy="0"/>
                        </a:xfrm>
                        <a:prstGeom prst="straightConnector1">
                          <a:avLst/>
                        </a:prstGeom>
                        <a:ln w="3175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-4.2pt;margin-top:29.4pt;height:0pt;width:436.2pt;z-index:251659264;mso-width-relative:page;mso-height-relative:page;" filled="f" stroked="t" coordsize="21600,21600" o:gfxdata="UEsDBAoAAAAAAIdO4kAAAAAAAAAAAAAAAAAEAAAAZHJzL1BLAwQUAAAACACHTuJAhm/jCtUAAAAI&#10;AQAADwAAAGRycy9kb3ducmV2LnhtbE2PvU7DQBCEeyTe4bRIdMk5xrEsx+cUSCloQCRp6Da+xXbw&#10;7Vm+y9/bs4gCyp0Zzc5Xra9uUGeaQu/ZwGKegCJuvO25NbDfbWYFqBCRLQ6eycCNAqzr+7sKS+sv&#10;/E7nbWyVlHAo0UAX41hqHZqOHIa5H4nF+/STwyjn1Go74UXK3aDTJMm1w57lQ4cjPXfUfG1PzkD6&#10;usmf0L+9hPQWjzsal22ffRjz+LBIVqAiXeNfGH7my3SoZdPBn9gGNRiYFZkkDSwLIRC/yDNhO/wK&#10;uq70f4D6G1BLAwQUAAAACACHTuJAPFzhB/8BAADtAwAADgAAAGRycy9lMm9Eb2MueG1srVPNjtMw&#10;EL4j8Q6W7zTplrIQNd1DS7kgqAQ8gGs7iSX/yeNt2pfgBZA4ASeW0955Glgeg7HT7cJy6YEcnLHH&#10;8818n2dmFzujyVYGUM7WdDwqKZGWO6FsW9N3b1ePnlICkVnBtLOypnsJ9GL+8MGs95U8c53TQgaC&#10;IBaq3te0i9FXRQG8k4bByHlp0dm4YFjEbWgLEViP6EYXZ2X5pOhdED44LgHwdDk46QExnALomkZx&#10;uXT80kgbB9QgNYtICTrlgc5ztU0jeXzdNCAj0TVFpjGvmATtTVqL+YxVbWC+U/xQAjulhHucDFMW&#10;kx6hliwychnUP1BG8eDANXHEnSkGIlkRZDEu72nzpmNeZi4oNfij6PD/YPmr7ToQJWo6ocQygw9+&#10;8+H65/vPN9+ufny6/vX9Y7K/fiGTJFXvocKIhV2Hww78OiTeuyaY9EdGZJfl3R/llbtIOB5Op5Nn&#10;549ReX7rK+4CfYD4QjpDklFTiIGptosLZy0+ogvjLC/bvoSIqTHwNiBl1Zb0yGB8Pk3oDLuywW5A&#10;03hkBrbNweC0EiuldQqB0G4WOpAtw85YrUr8EkME/utayrJk0A33smvomU4y8dwKEvceNbM4KjTV&#10;YKSgREucrGQhIKsiU/qUm5haW6wgiTzImqyNE/usdj7HLsg1Hjo2tdmf+xx9N6Xz3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IZv4wrVAAAACAEAAA8AAAAAAAAAAQAgAAAAIgAAAGRycy9kb3ducmV2&#10;LnhtbFBLAQIUABQAAAAIAIdO4kA8XOEH/wEAAO0DAAAOAAAAAAAAAAEAIAAAACQBAABkcnMvZTJv&#10;RG9jLnhtbFBLBQYAAAAABgAGAFkBAACVBQAAAAA=&#10;">
                <v:fill on="f" focussize="0,0"/>
                <v:stroke weight="2.5pt" color="#FF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黑体" w:hAnsi="黑体" w:eastAsia="黑体"/>
          <w:color w:val="000000"/>
          <w:sz w:val="28"/>
          <w:szCs w:val="28"/>
          <w:lang w:eastAsia="zh-CN"/>
        </w:rPr>
        <w:t>南昌市价格认定监测中心</w:t>
      </w:r>
      <w:r>
        <w:rPr>
          <w:rFonts w:hint="eastAsia" w:ascii="黑体" w:hAnsi="黑体" w:eastAsia="黑体"/>
          <w:color w:val="000000"/>
          <w:sz w:val="28"/>
          <w:szCs w:val="28"/>
        </w:rPr>
        <w:t xml:space="preserve">             </w:t>
      </w:r>
      <w:r>
        <w:rPr>
          <w:rFonts w:hint="eastAsia" w:ascii="黑体" w:hAnsi="黑体" w:eastAsia="黑体"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eastAsia" w:ascii="黑体" w:hAnsi="黑体" w:eastAsia="黑体"/>
          <w:color w:val="000000"/>
          <w:sz w:val="28"/>
          <w:szCs w:val="28"/>
        </w:rPr>
        <w:t xml:space="preserve">  </w:t>
      </w:r>
      <w:r>
        <w:rPr>
          <w:rFonts w:hint="default" w:ascii="黑体" w:hAnsi="黑体" w:eastAsia="黑体"/>
          <w:color w:val="000000"/>
          <w:sz w:val="28"/>
          <w:szCs w:val="28"/>
          <w:lang w:val="en"/>
        </w:rPr>
        <w:t xml:space="preserve"> </w:t>
      </w:r>
      <w:r>
        <w:rPr>
          <w:rFonts w:hint="eastAsia" w:ascii="黑体" w:hAnsi="黑体" w:eastAsia="黑体"/>
          <w:color w:val="000000"/>
          <w:sz w:val="28"/>
          <w:szCs w:val="28"/>
        </w:rPr>
        <w:t xml:space="preserve"> </w:t>
      </w:r>
      <w:r>
        <w:rPr>
          <w:rFonts w:hint="eastAsia" w:ascii="黑体" w:hAnsi="黑体" w:eastAsia="黑体"/>
          <w:color w:val="000000"/>
          <w:sz w:val="28"/>
          <w:szCs w:val="28"/>
          <w:lang w:val="en-US" w:eastAsia="zh-CN"/>
        </w:rPr>
        <w:t xml:space="preserve">    </w:t>
      </w:r>
      <w:r>
        <w:rPr>
          <w:rFonts w:hint="eastAsia" w:ascii="黑体" w:hAnsi="黑体" w:eastAsia="黑体"/>
          <w:color w:val="000000"/>
          <w:sz w:val="28"/>
          <w:szCs w:val="28"/>
        </w:rPr>
        <w:t>202</w:t>
      </w:r>
      <w:r>
        <w:rPr>
          <w:rFonts w:hint="eastAsia" w:ascii="黑体" w:hAnsi="黑体" w:eastAsia="黑体"/>
          <w:color w:val="000000"/>
          <w:sz w:val="28"/>
          <w:szCs w:val="28"/>
          <w:lang w:val="en-US" w:eastAsia="zh-CN"/>
        </w:rPr>
        <w:t>6</w:t>
      </w:r>
      <w:r>
        <w:rPr>
          <w:rFonts w:hint="eastAsia" w:ascii="黑体" w:hAnsi="黑体" w:eastAsia="黑体"/>
          <w:color w:val="000000"/>
          <w:sz w:val="28"/>
          <w:szCs w:val="28"/>
        </w:rPr>
        <w:t>年</w:t>
      </w:r>
      <w:r>
        <w:rPr>
          <w:rFonts w:hint="eastAsia" w:ascii="黑体" w:hAnsi="黑体" w:eastAsia="黑体"/>
          <w:color w:val="000000"/>
          <w:sz w:val="28"/>
          <w:szCs w:val="28"/>
          <w:lang w:val="en-US" w:eastAsia="zh-CN"/>
        </w:rPr>
        <w:t>3</w:t>
      </w:r>
      <w:r>
        <w:rPr>
          <w:rFonts w:hint="eastAsia" w:ascii="黑体" w:hAnsi="黑体" w:eastAsia="黑体"/>
          <w:color w:val="000000"/>
          <w:sz w:val="28"/>
          <w:szCs w:val="28"/>
        </w:rPr>
        <w:t>月</w:t>
      </w:r>
      <w:r>
        <w:rPr>
          <w:rFonts w:hint="eastAsia" w:ascii="黑体" w:hAnsi="黑体" w:eastAsia="黑体"/>
          <w:color w:val="000000"/>
          <w:sz w:val="28"/>
          <w:szCs w:val="28"/>
          <w:lang w:val="en-US" w:eastAsia="zh-CN"/>
        </w:rPr>
        <w:t>2</w:t>
      </w:r>
      <w:r>
        <w:rPr>
          <w:rFonts w:hint="eastAsia" w:ascii="黑体" w:hAnsi="黑体" w:eastAsia="黑体"/>
          <w:color w:val="000000"/>
          <w:sz w:val="28"/>
          <w:szCs w:val="28"/>
        </w:rPr>
        <w:t>日</w:t>
      </w:r>
    </w:p>
    <w:p w14:paraId="721632F1">
      <w:pPr>
        <w:spacing w:line="240" w:lineRule="atLeast"/>
        <w:jc w:val="both"/>
        <w:rPr>
          <w:rFonts w:hint="eastAsia" w:ascii="黑体" w:hAnsi="黑体" w:eastAsia="黑体"/>
          <w:b/>
          <w:sz w:val="44"/>
          <w:szCs w:val="44"/>
          <w:lang w:val="en-US" w:eastAsia="zh-CN"/>
        </w:rPr>
      </w:pPr>
    </w:p>
    <w:p w14:paraId="2CD3867F">
      <w:pPr>
        <w:spacing w:line="240" w:lineRule="atLeast"/>
        <w:jc w:val="center"/>
        <w:rPr>
          <w:rFonts w:ascii="黑体" w:hAnsi="黑体" w:eastAsia="黑体"/>
          <w:b/>
          <w:sz w:val="36"/>
          <w:szCs w:val="36"/>
        </w:rPr>
      </w:pPr>
      <w:r>
        <w:rPr>
          <w:rFonts w:hint="eastAsia" w:ascii="黑体" w:hAnsi="黑体" w:eastAsia="黑体"/>
          <w:b/>
          <w:sz w:val="36"/>
          <w:szCs w:val="36"/>
          <w:lang w:eastAsia="zh-CN"/>
        </w:rPr>
        <w:t>二</w:t>
      </w:r>
      <w:r>
        <w:rPr>
          <w:rFonts w:hint="eastAsia" w:ascii="黑体" w:hAnsi="黑体" w:eastAsia="黑体"/>
          <w:b/>
          <w:sz w:val="36"/>
          <w:szCs w:val="36"/>
        </w:rPr>
        <w:t>月份全市居民生活必需品价格分析</w:t>
      </w:r>
    </w:p>
    <w:p w14:paraId="2C49812E">
      <w:pPr>
        <w:rPr>
          <w:rFonts w:ascii="宋体" w:hAnsi="宋体"/>
          <w:sz w:val="36"/>
          <w:szCs w:val="36"/>
        </w:rPr>
      </w:pPr>
    </w:p>
    <w:p w14:paraId="2498F3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二</w:t>
      </w:r>
      <w:r>
        <w:rPr>
          <w:rFonts w:hint="eastAsia" w:ascii="仿宋_GB2312" w:hAnsi="仿宋_GB2312" w:eastAsia="仿宋_GB2312" w:cs="仿宋_GB2312"/>
          <w:sz w:val="32"/>
          <w:szCs w:val="32"/>
        </w:rPr>
        <w:t>月份，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根据监测数据和市场巡查情况显示</w:t>
      </w:r>
      <w:r>
        <w:rPr>
          <w:rFonts w:hint="eastAsia" w:ascii="仿宋_GB2312" w:hAnsi="仿宋_GB2312" w:eastAsia="仿宋_GB2312" w:cs="仿宋_GB2312"/>
          <w:sz w:val="32"/>
          <w:szCs w:val="32"/>
        </w:rPr>
        <w:t>，全市居民生活必需品市场零售价格总体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呈</w:t>
      </w:r>
      <w:r>
        <w:rPr>
          <w:rFonts w:hint="eastAsia" w:ascii="仿宋_GB2312" w:hAnsi="仿宋_GB2312" w:eastAsia="仿宋_GB2312" w:cs="仿宋_GB2312"/>
          <w:sz w:val="32"/>
          <w:szCs w:val="32"/>
        </w:rPr>
        <w:t>平稳运行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走势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7CC153A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猪肉价格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走势情况</w:t>
      </w:r>
    </w:p>
    <w:p w14:paraId="65377AE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监测数据显示：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2月份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生猪收购价格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环比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下降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猪肉市场平均零售价格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环比上涨。</w:t>
      </w:r>
      <w:bookmarkStart w:id="1" w:name="_GoBack"/>
      <w:bookmarkEnd w:id="1"/>
      <w:r>
        <w:rPr>
          <w:rFonts w:hint="eastAsia" w:ascii="仿宋_GB2312" w:hAnsi="仿宋_GB2312" w:eastAsia="仿宋_GB2312" w:cs="仿宋_GB2312"/>
          <w:b/>
          <w:sz w:val="32"/>
          <w:szCs w:val="32"/>
        </w:rPr>
        <w:t>生猪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收购价格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月份，我市生猪月平均收购价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格</w:t>
      </w:r>
      <w:r>
        <w:rPr>
          <w:rFonts w:hint="eastAsia" w:ascii="仿宋_GB2312" w:hAnsi="仿宋_GB2312" w:eastAsia="仿宋_GB2312" w:cs="仿宋_GB2312"/>
          <w:sz w:val="32"/>
          <w:szCs w:val="32"/>
        </w:rPr>
        <w:t>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5.84</w:t>
      </w:r>
      <w:r>
        <w:rPr>
          <w:rFonts w:hint="eastAsia" w:ascii="仿宋_GB2312" w:hAnsi="仿宋_GB2312" w:eastAsia="仿宋_GB2312" w:cs="仿宋_GB2312"/>
          <w:sz w:val="32"/>
          <w:szCs w:val="32"/>
        </w:rPr>
        <w:t>元/500克，较上月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6.37</w:t>
      </w:r>
      <w:r>
        <w:rPr>
          <w:rFonts w:hint="eastAsia" w:ascii="仿宋_GB2312" w:hAnsi="仿宋_GB2312" w:eastAsia="仿宋_GB2312" w:cs="仿宋_GB2312"/>
          <w:sz w:val="32"/>
          <w:szCs w:val="32"/>
        </w:rPr>
        <w:t>元/500克环比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下降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8.32</w:t>
      </w:r>
      <w:r>
        <w:rPr>
          <w:rFonts w:hint="eastAsia" w:ascii="仿宋_GB2312" w:hAnsi="仿宋_GB2312" w:eastAsia="仿宋_GB2312" w:cs="仿宋_GB2312"/>
          <w:sz w:val="32"/>
          <w:szCs w:val="32"/>
        </w:rPr>
        <w:t>%，与去年同期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7.67</w:t>
      </w:r>
      <w:r>
        <w:rPr>
          <w:rFonts w:hint="eastAsia" w:ascii="仿宋_GB2312" w:hAnsi="仿宋_GB2312" w:eastAsia="仿宋_GB2312" w:cs="仿宋_GB2312"/>
          <w:sz w:val="32"/>
          <w:szCs w:val="32"/>
        </w:rPr>
        <w:t>元/500克相比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下降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23.86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%。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猪肉市场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平均零售价格：</w:t>
      </w:r>
      <w:r>
        <w:rPr>
          <w:rFonts w:hint="eastAsia" w:ascii="仿宋_GB2312" w:hAnsi="仿宋_GB2312" w:eastAsia="仿宋_GB2312" w:cs="仿宋_GB2312"/>
          <w:sz w:val="32"/>
          <w:szCs w:val="32"/>
        </w:rPr>
        <w:t>根据监测数据显示，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月份全市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猪肉</w:t>
      </w:r>
      <w:r>
        <w:rPr>
          <w:rFonts w:hint="eastAsia" w:ascii="仿宋_GB2312" w:hAnsi="仿宋_GB2312" w:eastAsia="仿宋_GB2312" w:cs="仿宋_GB2312"/>
          <w:sz w:val="32"/>
          <w:szCs w:val="32"/>
        </w:rPr>
        <w:t>市场统装肉、精瘦肉和排骨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</w:rPr>
        <w:t>平均零售价格分别为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13.17</w:t>
      </w:r>
      <w:r>
        <w:rPr>
          <w:rFonts w:hint="eastAsia" w:ascii="仿宋_GB2312" w:hAnsi="仿宋_GB2312" w:eastAsia="仿宋_GB2312" w:cs="仿宋_GB2312"/>
          <w:sz w:val="32"/>
          <w:szCs w:val="32"/>
        </w:rPr>
        <w:t>元/500克、1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5.53</w:t>
      </w:r>
      <w:r>
        <w:rPr>
          <w:rFonts w:hint="eastAsia" w:ascii="仿宋_GB2312" w:hAnsi="仿宋_GB2312" w:eastAsia="仿宋_GB2312" w:cs="仿宋_GB2312"/>
          <w:sz w:val="32"/>
          <w:szCs w:val="32"/>
        </w:rPr>
        <w:t>元/500克和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23.30</w:t>
      </w:r>
      <w:r>
        <w:rPr>
          <w:rFonts w:hint="eastAsia" w:ascii="仿宋_GB2312" w:hAnsi="仿宋_GB2312" w:eastAsia="仿宋_GB2312" w:cs="仿宋_GB2312"/>
          <w:sz w:val="32"/>
          <w:szCs w:val="32"/>
        </w:rPr>
        <w:t>元/500克，环比分别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上涨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1.96</w:t>
      </w:r>
      <w:r>
        <w:rPr>
          <w:rFonts w:hint="eastAsia" w:ascii="仿宋_GB2312" w:hAnsi="仿宋_GB2312" w:eastAsia="仿宋_GB2312" w:cs="仿宋_GB2312"/>
          <w:sz w:val="32"/>
          <w:szCs w:val="32"/>
        </w:rPr>
        <w:t>%、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2.78</w:t>
      </w:r>
      <w:r>
        <w:rPr>
          <w:rFonts w:hint="eastAsia" w:ascii="仿宋_GB2312" w:hAnsi="仿宋_GB2312" w:eastAsia="仿宋_GB2312" w:cs="仿宋_GB2312"/>
          <w:sz w:val="32"/>
          <w:szCs w:val="32"/>
        </w:rPr>
        <w:t>%和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3.52</w:t>
      </w:r>
      <w:r>
        <w:rPr>
          <w:rFonts w:hint="eastAsia" w:ascii="仿宋_GB2312" w:hAnsi="仿宋_GB2312" w:eastAsia="仿宋_GB2312" w:cs="仿宋_GB2312"/>
          <w:sz w:val="32"/>
          <w:szCs w:val="32"/>
        </w:rPr>
        <w:t>%，与去年同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期</w:t>
      </w:r>
      <w:r>
        <w:rPr>
          <w:rFonts w:hint="eastAsia" w:ascii="仿宋_GB2312" w:hAnsi="仿宋_GB2312" w:eastAsia="仿宋_GB2312" w:cs="仿宋_GB2312"/>
          <w:sz w:val="32"/>
          <w:szCs w:val="32"/>
        </w:rPr>
        <w:t>分别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下降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14.68</w:t>
      </w:r>
      <w:r>
        <w:rPr>
          <w:rFonts w:hint="eastAsia" w:ascii="仿宋_GB2312" w:hAnsi="仿宋_GB2312" w:eastAsia="仿宋_GB2312" w:cs="仿宋_GB2312"/>
          <w:sz w:val="32"/>
          <w:szCs w:val="32"/>
        </w:rPr>
        <w:t>%、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11.31</w:t>
      </w:r>
      <w:r>
        <w:rPr>
          <w:rFonts w:hint="eastAsia" w:ascii="仿宋_GB2312" w:hAnsi="仿宋_GB2312" w:eastAsia="仿宋_GB2312" w:cs="仿宋_GB2312"/>
          <w:sz w:val="32"/>
          <w:szCs w:val="32"/>
        </w:rPr>
        <w:t>%和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9.71</w:t>
      </w:r>
      <w:r>
        <w:rPr>
          <w:rFonts w:hint="eastAsia" w:ascii="仿宋_GB2312" w:hAnsi="仿宋_GB2312" w:eastAsia="仿宋_GB2312" w:cs="仿宋_GB2312"/>
          <w:sz w:val="32"/>
          <w:szCs w:val="32"/>
        </w:rPr>
        <w:t>%。</w:t>
      </w:r>
    </w:p>
    <w:p w14:paraId="549E478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蔬菜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价格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走势情况</w:t>
      </w:r>
    </w:p>
    <w:p w14:paraId="0E63CA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监测数据显示：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份，</w:t>
      </w:r>
      <w:r>
        <w:rPr>
          <w:rFonts w:hint="eastAsia" w:ascii="仿宋_GB2312" w:hAnsi="仿宋_GB2312" w:eastAsia="仿宋_GB2312" w:cs="仿宋_GB2312"/>
          <w:sz w:val="32"/>
          <w:szCs w:val="32"/>
        </w:rPr>
        <w:t>列入我市监测目录的十五种蔬菜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价格</w:t>
      </w:r>
      <w:r>
        <w:rPr>
          <w:rFonts w:hint="eastAsia" w:ascii="仿宋_GB2312" w:hAnsi="仿宋_GB2312" w:eastAsia="仿宋_GB2312" w:cs="仿宋_GB2312"/>
          <w:sz w:val="32"/>
          <w:szCs w:val="32"/>
        </w:rPr>
        <w:t>环比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12涨3降，15种</w:t>
      </w:r>
      <w:r>
        <w:rPr>
          <w:rFonts w:hint="eastAsia" w:ascii="仿宋_GB2312" w:hAnsi="仿宋_GB2312" w:eastAsia="仿宋_GB2312" w:cs="仿宋_GB2312"/>
          <w:sz w:val="32"/>
          <w:szCs w:val="32"/>
        </w:rPr>
        <w:t>蔬菜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</w:rPr>
        <w:t>平均零售价格为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3.41</w:t>
      </w:r>
      <w:r>
        <w:rPr>
          <w:rFonts w:hint="eastAsia" w:ascii="仿宋_GB2312" w:hAnsi="仿宋_GB2312" w:eastAsia="仿宋_GB2312" w:cs="仿宋_GB2312"/>
          <w:sz w:val="32"/>
          <w:szCs w:val="32"/>
        </w:rPr>
        <w:t>元/500克，环比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上涨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3.33</w:t>
      </w:r>
      <w:r>
        <w:rPr>
          <w:rFonts w:hint="eastAsia" w:ascii="仿宋_GB2312" w:hAnsi="仿宋_GB2312" w:eastAsia="仿宋_GB2312" w:cs="仿宋_GB2312"/>
          <w:sz w:val="32"/>
          <w:szCs w:val="32"/>
        </w:rPr>
        <w:t>%，与去年同期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3.15</w:t>
      </w:r>
      <w:r>
        <w:rPr>
          <w:rFonts w:hint="eastAsia" w:ascii="仿宋_GB2312" w:hAnsi="仿宋_GB2312" w:eastAsia="仿宋_GB2312" w:cs="仿宋_GB2312"/>
          <w:sz w:val="32"/>
          <w:szCs w:val="32"/>
        </w:rPr>
        <w:t>元/500克相比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上涨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8.25</w:t>
      </w:r>
      <w:r>
        <w:rPr>
          <w:rFonts w:hint="eastAsia" w:ascii="仿宋_GB2312" w:hAnsi="仿宋_GB2312" w:eastAsia="仿宋_GB2312" w:cs="仿宋_GB2312"/>
          <w:sz w:val="32"/>
          <w:szCs w:val="32"/>
        </w:rPr>
        <w:t>%。</w:t>
      </w:r>
    </w:p>
    <w:p w14:paraId="65F40B3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三、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水果价格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走势情况</w:t>
      </w:r>
    </w:p>
    <w:p w14:paraId="6AA916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月份，</w:t>
      </w:r>
      <w:r>
        <w:rPr>
          <w:rFonts w:hint="eastAsia" w:ascii="仿宋_GB2312" w:hAnsi="仿宋_GB2312" w:eastAsia="仿宋_GB2312" w:cs="仿宋_GB2312"/>
          <w:sz w:val="32"/>
          <w:szCs w:val="32"/>
        </w:rPr>
        <w:t>监测的国产香蕉月平均零售价格为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66</w:t>
      </w:r>
      <w:r>
        <w:rPr>
          <w:rFonts w:hint="eastAsia" w:ascii="仿宋_GB2312" w:hAnsi="仿宋_GB2312" w:eastAsia="仿宋_GB2312" w:cs="仿宋_GB2312"/>
          <w:sz w:val="32"/>
          <w:szCs w:val="32"/>
        </w:rPr>
        <w:t>元/500克,环比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上涨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10.91</w:t>
      </w:r>
      <w:r>
        <w:rPr>
          <w:rFonts w:hint="eastAsia" w:ascii="仿宋_GB2312" w:hAnsi="仿宋_GB2312" w:eastAsia="仿宋_GB2312" w:cs="仿宋_GB2312"/>
          <w:sz w:val="32"/>
          <w:szCs w:val="32"/>
        </w:rPr>
        <w:t>%,同比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上涨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3.68</w:t>
      </w:r>
      <w:r>
        <w:rPr>
          <w:rFonts w:hint="eastAsia" w:ascii="仿宋_GB2312" w:hAnsi="仿宋_GB2312" w:eastAsia="仿宋_GB2312" w:cs="仿宋_GB2312"/>
          <w:sz w:val="32"/>
          <w:szCs w:val="32"/>
        </w:rPr>
        <w:t>%；苹果月平均零售价格为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5.79</w:t>
      </w:r>
      <w:r>
        <w:rPr>
          <w:rFonts w:hint="eastAsia" w:ascii="仿宋_GB2312" w:hAnsi="仿宋_GB2312" w:eastAsia="仿宋_GB2312" w:cs="仿宋_GB2312"/>
          <w:sz w:val="32"/>
          <w:szCs w:val="32"/>
        </w:rPr>
        <w:t>元/500克，环比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上涨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1.94%</w:t>
      </w:r>
      <w:r>
        <w:rPr>
          <w:rFonts w:hint="eastAsia" w:ascii="仿宋_GB2312" w:hAnsi="仿宋_GB2312" w:eastAsia="仿宋_GB2312" w:cs="仿宋_GB2312"/>
          <w:sz w:val="32"/>
          <w:szCs w:val="32"/>
        </w:rPr>
        <w:t>，同比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上涨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2.30</w:t>
      </w:r>
      <w:r>
        <w:rPr>
          <w:rFonts w:hint="eastAsia" w:ascii="仿宋_GB2312" w:hAnsi="仿宋_GB2312" w:eastAsia="仿宋_GB2312" w:cs="仿宋_GB2312"/>
          <w:sz w:val="32"/>
          <w:szCs w:val="32"/>
        </w:rPr>
        <w:t>%；酥梨月平均零售价格为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45</w:t>
      </w:r>
      <w:r>
        <w:rPr>
          <w:rFonts w:hint="eastAsia" w:ascii="仿宋_GB2312" w:hAnsi="仿宋_GB2312" w:eastAsia="仿宋_GB2312" w:cs="仿宋_GB2312"/>
          <w:sz w:val="32"/>
          <w:szCs w:val="32"/>
        </w:rPr>
        <w:t>元/500克，环比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上涨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2.99</w:t>
      </w:r>
      <w:r>
        <w:rPr>
          <w:rFonts w:hint="eastAsia" w:ascii="仿宋_GB2312" w:hAnsi="仿宋_GB2312" w:eastAsia="仿宋_GB2312" w:cs="仿宋_GB2312"/>
          <w:sz w:val="32"/>
          <w:szCs w:val="32"/>
        </w:rPr>
        <w:t>%，同比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上涨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6.81</w:t>
      </w:r>
      <w:r>
        <w:rPr>
          <w:rFonts w:hint="eastAsia" w:ascii="仿宋_GB2312" w:hAnsi="仿宋_GB2312" w:eastAsia="仿宋_GB2312" w:cs="仿宋_GB2312"/>
          <w:sz w:val="32"/>
          <w:szCs w:val="32"/>
        </w:rPr>
        <w:t>%。</w:t>
      </w:r>
    </w:p>
    <w:p w14:paraId="0C09CB0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四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、鸡蛋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白条禽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、牛羊肉和水产品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价格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走势情况</w:t>
      </w:r>
    </w:p>
    <w:p w14:paraId="6935FA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根据监测数据显示：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月份，市场鸡蛋月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平均</w:t>
      </w:r>
      <w:r>
        <w:rPr>
          <w:rFonts w:hint="eastAsia" w:ascii="仿宋_GB2312" w:hAnsi="仿宋_GB2312" w:eastAsia="仿宋_GB2312" w:cs="仿宋_GB2312"/>
          <w:sz w:val="32"/>
          <w:szCs w:val="32"/>
        </w:rPr>
        <w:t>零售价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格</w:t>
      </w:r>
      <w:r>
        <w:rPr>
          <w:rFonts w:hint="eastAsia" w:ascii="仿宋_GB2312" w:hAnsi="仿宋_GB2312" w:eastAsia="仿宋_GB2312" w:cs="仿宋_GB2312"/>
          <w:sz w:val="32"/>
          <w:szCs w:val="32"/>
        </w:rPr>
        <w:t>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5.23</w:t>
      </w:r>
      <w:r>
        <w:rPr>
          <w:rFonts w:hint="eastAsia" w:ascii="仿宋_GB2312" w:hAnsi="仿宋_GB2312" w:eastAsia="仿宋_GB2312" w:cs="仿宋_GB2312"/>
          <w:sz w:val="32"/>
          <w:szCs w:val="32"/>
        </w:rPr>
        <w:t>元/500克，环比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上涨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3.16</w:t>
      </w:r>
      <w:r>
        <w:rPr>
          <w:rFonts w:hint="eastAsia" w:ascii="仿宋_GB2312" w:hAnsi="仿宋_GB2312" w:eastAsia="仿宋_GB2312" w:cs="仿宋_GB2312"/>
          <w:sz w:val="32"/>
          <w:szCs w:val="32"/>
        </w:rPr>
        <w:t>%，同比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下降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4.21</w:t>
      </w:r>
      <w:r>
        <w:rPr>
          <w:rFonts w:hint="eastAsia" w:ascii="仿宋_GB2312" w:hAnsi="仿宋_GB2312" w:eastAsia="仿宋_GB2312" w:cs="仿宋_GB2312"/>
          <w:sz w:val="32"/>
          <w:szCs w:val="32"/>
        </w:rPr>
        <w:t>%。白条禽市场价格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环比略有上涨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监测的</w:t>
      </w:r>
      <w:r>
        <w:rPr>
          <w:rFonts w:hint="eastAsia" w:ascii="仿宋_GB2312" w:hAnsi="仿宋_GB2312" w:eastAsia="仿宋_GB2312" w:cs="仿宋_GB2312"/>
          <w:sz w:val="32"/>
          <w:szCs w:val="32"/>
        </w:rPr>
        <w:t>白条鸡和白条鸭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月平均</w:t>
      </w:r>
      <w:r>
        <w:rPr>
          <w:rFonts w:hint="eastAsia" w:ascii="仿宋_GB2312" w:hAnsi="仿宋_GB2312" w:eastAsia="仿宋_GB2312" w:cs="仿宋_GB2312"/>
          <w:sz w:val="32"/>
          <w:szCs w:val="32"/>
        </w:rPr>
        <w:t>零售价格分别为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16.06</w:t>
      </w:r>
      <w:r>
        <w:rPr>
          <w:rFonts w:hint="eastAsia" w:ascii="仿宋_GB2312" w:hAnsi="仿宋_GB2312" w:eastAsia="仿宋_GB2312" w:cs="仿宋_GB2312"/>
          <w:sz w:val="32"/>
          <w:szCs w:val="32"/>
        </w:rPr>
        <w:t>元/500克和1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7.91</w:t>
      </w:r>
      <w:r>
        <w:rPr>
          <w:rFonts w:hint="eastAsia" w:ascii="仿宋_GB2312" w:hAnsi="仿宋_GB2312" w:eastAsia="仿宋_GB2312" w:cs="仿宋_GB2312"/>
          <w:sz w:val="32"/>
          <w:szCs w:val="32"/>
        </w:rPr>
        <w:t>元/500克，环比分别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上涨2.23</w:t>
      </w:r>
      <w:r>
        <w:rPr>
          <w:rFonts w:hint="eastAsia" w:ascii="仿宋_GB2312" w:hAnsi="仿宋_GB2312" w:eastAsia="仿宋_GB2312" w:cs="仿宋_GB2312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和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1.65</w:t>
      </w:r>
      <w:r>
        <w:rPr>
          <w:rFonts w:hint="eastAsia" w:ascii="仿宋_GB2312" w:hAnsi="仿宋_GB2312" w:eastAsia="仿宋_GB2312" w:cs="仿宋_GB2312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同比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下降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5.75</w:t>
      </w:r>
      <w:r>
        <w:rPr>
          <w:rFonts w:hint="eastAsia" w:ascii="仿宋_GB2312" w:hAnsi="仿宋_GB2312" w:eastAsia="仿宋_GB2312" w:cs="仿宋_GB2312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7.06</w:t>
      </w:r>
      <w:r>
        <w:rPr>
          <w:rFonts w:hint="eastAsia" w:ascii="仿宋_GB2312" w:hAnsi="仿宋_GB2312" w:eastAsia="仿宋_GB2312" w:cs="仿宋_GB2312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监测的淡水鲫鱼(300克左右)月平均零售价格为1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0.79</w:t>
      </w:r>
      <w:r>
        <w:rPr>
          <w:rFonts w:hint="eastAsia" w:ascii="仿宋_GB2312" w:hAnsi="仿宋_GB2312" w:eastAsia="仿宋_GB2312" w:cs="仿宋_GB2312"/>
          <w:sz w:val="32"/>
          <w:szCs w:val="32"/>
        </w:rPr>
        <w:t>元/500克,环比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下降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0.12</w:t>
      </w:r>
      <w:r>
        <w:rPr>
          <w:rFonts w:hint="eastAsia" w:ascii="仿宋_GB2312" w:hAnsi="仿宋_GB2312" w:eastAsia="仿宋_GB2312" w:cs="仿宋_GB2312"/>
          <w:sz w:val="32"/>
          <w:szCs w:val="32"/>
        </w:rPr>
        <w:t>%，同比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下降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2.12</w:t>
      </w:r>
      <w:r>
        <w:rPr>
          <w:rFonts w:hint="eastAsia" w:ascii="仿宋_GB2312" w:hAnsi="仿宋_GB2312" w:eastAsia="仿宋_GB2312" w:cs="仿宋_GB2312"/>
          <w:sz w:val="32"/>
          <w:szCs w:val="32"/>
        </w:rPr>
        <w:t>%；草鱼（750克左右）月平均零售价格为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8.06</w:t>
      </w:r>
      <w:r>
        <w:rPr>
          <w:rFonts w:hint="eastAsia" w:ascii="仿宋_GB2312" w:hAnsi="仿宋_GB2312" w:eastAsia="仿宋_GB2312" w:cs="仿宋_GB2312"/>
          <w:sz w:val="32"/>
          <w:szCs w:val="32"/>
        </w:rPr>
        <w:t>元/500克，环比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上涨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0.71</w:t>
      </w:r>
      <w:r>
        <w:rPr>
          <w:rFonts w:hint="eastAsia" w:ascii="仿宋_GB2312" w:hAnsi="仿宋_GB2312" w:eastAsia="仿宋_GB2312" w:cs="仿宋_GB2312"/>
          <w:sz w:val="32"/>
          <w:szCs w:val="32"/>
        </w:rPr>
        <w:t>%,同比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上涨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3.56</w:t>
      </w:r>
      <w:r>
        <w:rPr>
          <w:rFonts w:hint="eastAsia" w:ascii="仿宋_GB2312" w:hAnsi="仿宋_GB2312" w:eastAsia="仿宋_GB2312" w:cs="仿宋_GB2312"/>
          <w:sz w:val="32"/>
          <w:szCs w:val="32"/>
        </w:rPr>
        <w:t>%；监测的海产品带鱼(冰冻250克左右)月平均零售价格为1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04</w:t>
      </w:r>
      <w:r>
        <w:rPr>
          <w:rFonts w:hint="eastAsia" w:ascii="仿宋_GB2312" w:hAnsi="仿宋_GB2312" w:eastAsia="仿宋_GB2312" w:cs="仿宋_GB2312"/>
          <w:sz w:val="32"/>
          <w:szCs w:val="32"/>
        </w:rPr>
        <w:t>元/500克,环比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持平</w:t>
      </w:r>
      <w:r>
        <w:rPr>
          <w:rFonts w:hint="eastAsia" w:ascii="仿宋_GB2312" w:hAnsi="仿宋_GB2312" w:eastAsia="仿宋_GB2312" w:cs="仿宋_GB2312"/>
          <w:sz w:val="32"/>
          <w:szCs w:val="32"/>
        </w:rPr>
        <w:t>，同比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下降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2.22</w:t>
      </w:r>
      <w:r>
        <w:rPr>
          <w:rFonts w:hint="eastAsia" w:ascii="仿宋_GB2312" w:hAnsi="仿宋_GB2312" w:eastAsia="仿宋_GB2312" w:cs="仿宋_GB2312"/>
          <w:sz w:val="32"/>
          <w:szCs w:val="32"/>
        </w:rPr>
        <w:t>%。</w:t>
      </w:r>
    </w:p>
    <w:p w14:paraId="4054A5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监测的羊肉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月平均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零售价格为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35.31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元/500 克,环比上涨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1.70</w:t>
      </w:r>
      <w:r>
        <w:rPr>
          <w:rFonts w:hint="eastAsia" w:ascii="仿宋_GB2312" w:hAnsi="仿宋_GB2312" w:eastAsia="仿宋_GB2312" w:cs="仿宋_GB2312"/>
          <w:sz w:val="32"/>
          <w:szCs w:val="32"/>
        </w:rPr>
        <w:t>%，同比上涨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12.38</w:t>
      </w:r>
      <w:r>
        <w:rPr>
          <w:rFonts w:hint="eastAsia" w:ascii="仿宋_GB2312" w:hAnsi="仿宋_GB2312" w:eastAsia="仿宋_GB2312" w:cs="仿宋_GB2312"/>
          <w:sz w:val="32"/>
          <w:szCs w:val="32"/>
        </w:rPr>
        <w:t>%；牛肉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月平均</w:t>
      </w:r>
      <w:r>
        <w:rPr>
          <w:rFonts w:hint="eastAsia" w:ascii="仿宋_GB2312" w:hAnsi="仿宋_GB2312" w:eastAsia="仿宋_GB2312" w:cs="仿宋_GB2312"/>
          <w:sz w:val="32"/>
          <w:szCs w:val="32"/>
        </w:rPr>
        <w:t>零售价格41.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58</w:t>
      </w:r>
      <w:r>
        <w:rPr>
          <w:rFonts w:hint="eastAsia" w:ascii="仿宋_GB2312" w:hAnsi="仿宋_GB2312" w:eastAsia="仿宋_GB2312" w:cs="仿宋_GB2312"/>
          <w:sz w:val="32"/>
          <w:szCs w:val="32"/>
        </w:rPr>
        <w:t>元/500 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环比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上涨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0.17</w:t>
      </w:r>
      <w:r>
        <w:rPr>
          <w:rFonts w:hint="eastAsia" w:ascii="仿宋_GB2312" w:hAnsi="仿宋_GB2312" w:eastAsia="仿宋_GB2312" w:cs="仿宋_GB2312"/>
          <w:sz w:val="32"/>
          <w:szCs w:val="32"/>
        </w:rPr>
        <w:t>%,同比上涨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5.29</w:t>
      </w:r>
      <w:r>
        <w:rPr>
          <w:rFonts w:hint="eastAsia" w:ascii="仿宋_GB2312" w:hAnsi="仿宋_GB2312" w:eastAsia="仿宋_GB2312" w:cs="仿宋_GB2312"/>
          <w:sz w:val="32"/>
          <w:szCs w:val="32"/>
        </w:rPr>
        <w:t>%。</w:t>
      </w:r>
    </w:p>
    <w:p w14:paraId="4176F9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五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、食用油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零售价格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和大米市场零售价格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走势情况</w:t>
      </w:r>
    </w:p>
    <w:p w14:paraId="685B58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根据监测数据显示，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月份</w:t>
      </w:r>
      <w:r>
        <w:rPr>
          <w:rFonts w:hint="eastAsia" w:ascii="仿宋_GB2312" w:hAnsi="仿宋_GB2312" w:eastAsia="仿宋_GB2312" w:cs="仿宋_GB2312"/>
          <w:sz w:val="32"/>
          <w:szCs w:val="32"/>
        </w:rPr>
        <w:t>我市大型超市桶装食用油货源充足销售平稳。金龙鱼牌第二代调和油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月平均零售价格</w:t>
      </w:r>
      <w:r>
        <w:rPr>
          <w:rFonts w:hint="eastAsia" w:ascii="仿宋_GB2312" w:hAnsi="仿宋_GB2312" w:eastAsia="仿宋_GB2312" w:cs="仿宋_GB2312"/>
          <w:sz w:val="32"/>
          <w:szCs w:val="32"/>
        </w:rPr>
        <w:t>为79.90元/ 5L，环比持平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,同比</w:t>
      </w:r>
      <w:r>
        <w:rPr>
          <w:rFonts w:hint="eastAsia" w:ascii="仿宋_GB2312" w:hAnsi="仿宋_GB2312" w:eastAsia="仿宋_GB2312" w:cs="仿宋_GB2312"/>
          <w:sz w:val="32"/>
          <w:szCs w:val="32"/>
        </w:rPr>
        <w:t>持平。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散装米及小包装大米货源充足，价格总体稳定。其中监测的本地散装晚籼米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月平均零售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价格为2.64元/500克，环比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同比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持平，散装东北粳米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月平均零售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价格为2.95元/500克，环比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同比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持平；当地皇阳牌小包装大米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月平均零售价格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(10公斤)每袋74.00元, 环比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同比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持平。</w:t>
      </w:r>
    </w:p>
    <w:p w14:paraId="29EEF11D">
      <w:pPr>
        <w:keepNext w:val="0"/>
        <w:keepLines w:val="0"/>
        <w:pageBreakBefore w:val="0"/>
        <w:widowControl w:val="0"/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六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牛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奶、盐和糖类等其它生活必需品价格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走势情况</w:t>
      </w:r>
    </w:p>
    <w:p w14:paraId="76E39879">
      <w:pPr>
        <w:keepNext w:val="0"/>
        <w:keepLines w:val="0"/>
        <w:pageBreakBefore w:val="0"/>
        <w:widowControl w:val="0"/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食用盐月平均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零售</w:t>
      </w:r>
      <w:r>
        <w:rPr>
          <w:rFonts w:hint="eastAsia" w:ascii="仿宋_GB2312" w:hAnsi="仿宋_GB2312" w:eastAsia="仿宋_GB2312" w:cs="仿宋_GB2312"/>
          <w:sz w:val="32"/>
          <w:szCs w:val="32"/>
        </w:rPr>
        <w:t>价格2.00元/500克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（袋）</w:t>
      </w:r>
      <w:r>
        <w:rPr>
          <w:rFonts w:hint="eastAsia" w:ascii="仿宋_GB2312" w:hAnsi="仿宋_GB2312" w:eastAsia="仿宋_GB2312" w:cs="仿宋_GB2312"/>
          <w:sz w:val="32"/>
          <w:szCs w:val="32"/>
        </w:rPr>
        <w:t>，红糖月平均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零售</w:t>
      </w:r>
      <w:r>
        <w:rPr>
          <w:rFonts w:hint="eastAsia" w:ascii="仿宋_GB2312" w:hAnsi="仿宋_GB2312" w:eastAsia="仿宋_GB2312" w:cs="仿宋_GB2312"/>
          <w:sz w:val="32"/>
          <w:szCs w:val="32"/>
        </w:rPr>
        <w:t>价格6.38元/500克，环比同比持平。</w:t>
      </w:r>
    </w:p>
    <w:p w14:paraId="2AC1C210">
      <w:pPr>
        <w:keepNext w:val="0"/>
        <w:keepLines w:val="0"/>
        <w:pageBreakBefore w:val="0"/>
        <w:widowControl w:val="0"/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当地主销牛奶价格平稳，纯牛奶普通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盒</w:t>
      </w:r>
      <w:r>
        <w:rPr>
          <w:rFonts w:hint="eastAsia" w:ascii="仿宋_GB2312" w:hAnsi="仿宋_GB2312" w:eastAsia="仿宋_GB2312" w:cs="仿宋_GB2312"/>
          <w:sz w:val="32"/>
          <w:szCs w:val="32"/>
        </w:rPr>
        <w:t>装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月平均零售价格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2.80元/220ml（盒），环比同比持平。 </w:t>
      </w:r>
    </w:p>
    <w:p w14:paraId="150819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01432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80" w:firstLineChars="14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DA20E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80" w:firstLineChars="14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AF61D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80" w:firstLineChars="14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DDA0BB6">
      <w:pPr>
        <w:rPr>
          <w:rFonts w:ascii="宋体" w:hAnsi="宋体" w:cs="宋体"/>
          <w:sz w:val="32"/>
          <w:szCs w:val="32"/>
        </w:rPr>
      </w:pPr>
    </w:p>
    <w:p w14:paraId="32D95E5B">
      <w:pPr>
        <w:rPr>
          <w:rFonts w:ascii="宋体" w:hAnsi="宋体" w:cs="宋体"/>
          <w:sz w:val="32"/>
          <w:szCs w:val="32"/>
        </w:rPr>
      </w:pPr>
    </w:p>
    <w:p w14:paraId="22EFF4FE">
      <w:pPr>
        <w:rPr>
          <w:rFonts w:ascii="宋体" w:hAnsi="宋体" w:cs="宋体"/>
          <w:sz w:val="32"/>
          <w:szCs w:val="32"/>
        </w:rPr>
      </w:pPr>
    </w:p>
    <w:p w14:paraId="1B4D2109">
      <w:pPr>
        <w:rPr>
          <w:rFonts w:ascii="宋体" w:hAnsi="宋体" w:cs="宋体"/>
          <w:sz w:val="32"/>
          <w:szCs w:val="32"/>
        </w:rPr>
      </w:pPr>
    </w:p>
    <w:p w14:paraId="36B1395D">
      <w:pPr>
        <w:rPr>
          <w:rFonts w:ascii="宋体" w:hAnsi="宋体" w:cs="宋体"/>
          <w:sz w:val="32"/>
          <w:szCs w:val="32"/>
        </w:rPr>
      </w:pPr>
    </w:p>
    <w:p w14:paraId="1FD9B465">
      <w:pPr>
        <w:rPr>
          <w:rFonts w:ascii="宋体" w:hAnsi="宋体" w:cs="宋体"/>
          <w:sz w:val="32"/>
          <w:szCs w:val="32"/>
        </w:rPr>
      </w:pPr>
    </w:p>
    <w:p w14:paraId="01D17B74">
      <w:pPr>
        <w:ind w:firstLine="1446" w:firstLineChars="400"/>
        <w:rPr>
          <w:rFonts w:hint="eastAsia" w:ascii="仿宋" w:hAnsi="仿宋" w:eastAsia="仿宋" w:cs="仿宋"/>
          <w:b/>
          <w:bCs/>
          <w:kern w:val="0"/>
          <w:sz w:val="21"/>
          <w:szCs w:val="21"/>
        </w:rPr>
      </w:pPr>
      <w:r>
        <w:rPr>
          <w:rFonts w:hint="eastAsia" w:ascii="黑体" w:hAnsi="黑体" w:eastAsia="黑体" w:cs="黑体"/>
          <w:b/>
          <w:bCs/>
          <w:kern w:val="0"/>
          <w:sz w:val="36"/>
          <w:szCs w:val="36"/>
        </w:rPr>
        <w:t>南昌市居民生活必需品价格监测表</w:t>
      </w:r>
    </w:p>
    <w:p w14:paraId="5A7DA168">
      <w:pPr>
        <w:spacing w:line="440" w:lineRule="exact"/>
        <w:rPr>
          <w:rFonts w:hint="eastAsia" w:ascii="宋体" w:hAnsi="宋体" w:eastAsia="宋体" w:cs="宋体"/>
          <w:b/>
          <w:kern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kern w:val="0"/>
          <w:sz w:val="21"/>
          <w:szCs w:val="21"/>
        </w:rPr>
        <w:t>统计单位：南昌市价格认定监测中心　　　　　　　　　</w:t>
      </w:r>
      <w:r>
        <w:rPr>
          <w:rFonts w:hint="eastAsia" w:ascii="宋体" w:hAnsi="宋体" w:eastAsia="宋体" w:cs="宋体"/>
          <w:b/>
          <w:bCs/>
          <w:kern w:val="0"/>
          <w:sz w:val="21"/>
          <w:szCs w:val="21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b/>
          <w:bCs/>
          <w:kern w:val="0"/>
          <w:sz w:val="21"/>
          <w:szCs w:val="21"/>
        </w:rPr>
        <w:t>日期</w:t>
      </w:r>
      <w:r>
        <w:rPr>
          <w:rFonts w:hint="eastAsia" w:ascii="宋体" w:hAnsi="宋体" w:eastAsia="宋体" w:cs="宋体"/>
          <w:kern w:val="0"/>
          <w:sz w:val="21"/>
          <w:szCs w:val="21"/>
        </w:rPr>
        <w:t>：</w:t>
      </w:r>
      <w:r>
        <w:rPr>
          <w:rFonts w:hint="eastAsia" w:ascii="宋体" w:hAnsi="宋体" w:eastAsia="宋体" w:cs="宋体"/>
          <w:b/>
          <w:kern w:val="0"/>
          <w:sz w:val="21"/>
          <w:szCs w:val="21"/>
        </w:rPr>
        <w:t>202</w:t>
      </w:r>
      <w:r>
        <w:rPr>
          <w:rFonts w:hint="eastAsia" w:ascii="宋体" w:hAnsi="宋体" w:cs="宋体"/>
          <w:b/>
          <w:kern w:val="0"/>
          <w:sz w:val="21"/>
          <w:szCs w:val="21"/>
          <w:lang w:val="en-US" w:eastAsia="zh-CN"/>
        </w:rPr>
        <w:t>6</w:t>
      </w:r>
      <w:r>
        <w:rPr>
          <w:rFonts w:hint="eastAsia" w:ascii="宋体" w:hAnsi="宋体" w:eastAsia="宋体" w:cs="宋体"/>
          <w:b/>
          <w:kern w:val="0"/>
          <w:sz w:val="21"/>
          <w:szCs w:val="21"/>
        </w:rPr>
        <w:t>年</w:t>
      </w:r>
      <w:r>
        <w:rPr>
          <w:rFonts w:hint="eastAsia" w:ascii="宋体" w:hAnsi="宋体" w:cs="宋体"/>
          <w:b/>
          <w:kern w:val="0"/>
          <w:sz w:val="21"/>
          <w:szCs w:val="21"/>
          <w:lang w:val="en-US" w:eastAsia="zh-CN"/>
        </w:rPr>
        <w:t>2</w:t>
      </w:r>
      <w:r>
        <w:rPr>
          <w:rFonts w:hint="eastAsia" w:ascii="宋体" w:hAnsi="宋体" w:eastAsia="宋体" w:cs="宋体"/>
          <w:b/>
          <w:kern w:val="0"/>
          <w:sz w:val="21"/>
          <w:szCs w:val="21"/>
        </w:rPr>
        <w:t>月</w:t>
      </w:r>
    </w:p>
    <w:tbl>
      <w:tblPr>
        <w:tblStyle w:val="7"/>
        <w:tblW w:w="873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0"/>
        <w:gridCol w:w="1083"/>
        <w:gridCol w:w="1842"/>
        <w:gridCol w:w="1221"/>
        <w:gridCol w:w="1276"/>
        <w:gridCol w:w="1466"/>
        <w:gridCol w:w="1369"/>
      </w:tblGrid>
      <w:tr w14:paraId="31EF50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480" w:type="dxa"/>
            <w:tcBorders>
              <w:top w:val="double" w:color="auto" w:sz="4" w:space="0"/>
              <w:left w:val="double" w:color="auto" w:sz="4" w:space="0"/>
              <w:bottom w:val="single" w:color="auto" w:sz="4" w:space="0"/>
            </w:tcBorders>
          </w:tcPr>
          <w:p w14:paraId="5C680B59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类别</w:t>
            </w:r>
          </w:p>
        </w:tc>
        <w:tc>
          <w:tcPr>
            <w:tcW w:w="1083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10418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产品名称</w:t>
            </w:r>
          </w:p>
        </w:tc>
        <w:tc>
          <w:tcPr>
            <w:tcW w:w="1842" w:type="dxa"/>
            <w:tcBorders>
              <w:top w:val="doub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E62CC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规格等级</w:t>
            </w:r>
          </w:p>
        </w:tc>
        <w:tc>
          <w:tcPr>
            <w:tcW w:w="1221" w:type="dxa"/>
            <w:tcBorders>
              <w:top w:val="doub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430143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计量单位</w:t>
            </w:r>
          </w:p>
        </w:tc>
        <w:tc>
          <w:tcPr>
            <w:tcW w:w="1276" w:type="dxa"/>
            <w:tcBorders>
              <w:top w:val="doub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7C68AF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月份</w:t>
            </w:r>
          </w:p>
          <w:p w14:paraId="222C9AC5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 xml:space="preserve">（平均价）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66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F67BF3">
            <w:pPr>
              <w:widowControl/>
              <w:ind w:firstLine="103" w:firstLineChars="49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与上月环比</w:t>
            </w:r>
          </w:p>
          <w:p w14:paraId="004B18AE">
            <w:pPr>
              <w:widowControl/>
              <w:ind w:firstLine="103" w:firstLineChars="49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（±%）</w:t>
            </w:r>
          </w:p>
        </w:tc>
        <w:tc>
          <w:tcPr>
            <w:tcW w:w="1369" w:type="dxa"/>
            <w:tcBorders>
              <w:top w:val="double" w:color="auto" w:sz="4" w:space="0"/>
              <w:left w:val="nil"/>
              <w:bottom w:val="single" w:color="auto" w:sz="4" w:space="0"/>
              <w:right w:val="double" w:color="auto" w:sz="4" w:space="0"/>
            </w:tcBorders>
            <w:vAlign w:val="center"/>
          </w:tcPr>
          <w:p w14:paraId="0F42A2C4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与去年同比</w:t>
            </w:r>
          </w:p>
          <w:p w14:paraId="4950BC46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（±%）</w:t>
            </w:r>
          </w:p>
        </w:tc>
      </w:tr>
      <w:tr w14:paraId="67588E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80" w:type="dxa"/>
            <w:vMerge w:val="restart"/>
            <w:tcBorders>
              <w:top w:val="double" w:color="auto" w:sz="4" w:space="0"/>
              <w:left w:val="double" w:color="auto" w:sz="4" w:space="0"/>
            </w:tcBorders>
          </w:tcPr>
          <w:p w14:paraId="01659943">
            <w:pPr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  <w:bookmarkStart w:id="0" w:name="OLE_LINK1" w:colFirst="4" w:colLast="4"/>
          </w:p>
          <w:p w14:paraId="13484C5C">
            <w:pPr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  <w:t>粮</w:t>
            </w:r>
          </w:p>
          <w:p w14:paraId="06462CA6">
            <w:pPr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  <w:t>油</w:t>
            </w:r>
          </w:p>
        </w:tc>
        <w:tc>
          <w:tcPr>
            <w:tcW w:w="1083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FFB93FC">
            <w:pPr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晚籼米</w:t>
            </w:r>
          </w:p>
        </w:tc>
        <w:tc>
          <w:tcPr>
            <w:tcW w:w="1842" w:type="dxa"/>
            <w:tcBorders>
              <w:top w:val="doub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198DCF9C">
            <w:pPr>
              <w:ind w:firstLine="632" w:firstLineChars="300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散  装</w:t>
            </w:r>
          </w:p>
        </w:tc>
        <w:tc>
          <w:tcPr>
            <w:tcW w:w="1221" w:type="dxa"/>
            <w:tcBorders>
              <w:top w:val="doub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0C76E83B">
            <w:pPr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doub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C16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2.64 </w:t>
            </w:r>
          </w:p>
        </w:tc>
        <w:tc>
          <w:tcPr>
            <w:tcW w:w="1466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199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0.00%</w:t>
            </w:r>
          </w:p>
        </w:tc>
        <w:tc>
          <w:tcPr>
            <w:tcW w:w="1369" w:type="dxa"/>
            <w:tcBorders>
              <w:top w:val="double" w:color="auto" w:sz="4" w:space="0"/>
              <w:left w:val="nil"/>
              <w:bottom w:val="single" w:color="auto" w:sz="4" w:space="0"/>
              <w:right w:val="double" w:color="auto" w:sz="4" w:space="0"/>
            </w:tcBorders>
            <w:vAlign w:val="center"/>
          </w:tcPr>
          <w:p w14:paraId="5ACF8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0.00%</w:t>
            </w:r>
          </w:p>
        </w:tc>
      </w:tr>
      <w:tr w14:paraId="5D9EF2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6E68E29A">
            <w:pPr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B0C3BF">
            <w:pPr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粳米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8D8E890">
            <w:pPr>
              <w:ind w:firstLine="632" w:firstLineChars="300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散  装</w:t>
            </w:r>
          </w:p>
        </w:tc>
        <w:tc>
          <w:tcPr>
            <w:tcW w:w="12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6523BD2">
            <w:pPr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54A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2.95 </w:t>
            </w: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6C1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0.00%</w:t>
            </w:r>
          </w:p>
        </w:tc>
        <w:tc>
          <w:tcPr>
            <w:tcW w:w="1369" w:type="dxa"/>
            <w:tcBorders>
              <w:top w:val="single" w:color="auto" w:sz="4" w:space="0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14D20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0.00%</w:t>
            </w:r>
          </w:p>
        </w:tc>
      </w:tr>
      <w:tr w14:paraId="7CCD69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  <w:bottom w:val="thickThinLargeGap" w:color="auto" w:sz="24" w:space="0"/>
            </w:tcBorders>
          </w:tcPr>
          <w:p w14:paraId="69C34716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</w:tcPr>
          <w:p w14:paraId="3E0D39D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调和油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thickThinLargeGap" w:color="auto" w:sz="24" w:space="0"/>
              <w:right w:val="single" w:color="auto" w:sz="4" w:space="0"/>
            </w:tcBorders>
          </w:tcPr>
          <w:p w14:paraId="42EC1FC3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金龙鱼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桶装</w:t>
            </w:r>
          </w:p>
        </w:tc>
        <w:tc>
          <w:tcPr>
            <w:tcW w:w="1221" w:type="dxa"/>
            <w:tcBorders>
              <w:top w:val="single" w:color="auto" w:sz="4" w:space="0"/>
              <w:left w:val="nil"/>
              <w:bottom w:val="thickThinLargeGap" w:color="auto" w:sz="24" w:space="0"/>
              <w:right w:val="single" w:color="auto" w:sz="4" w:space="0"/>
            </w:tcBorders>
          </w:tcPr>
          <w:p w14:paraId="6CA8ACE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元/5升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thickThinLargeGap" w:color="auto" w:sz="24" w:space="0"/>
              <w:right w:val="single" w:color="auto" w:sz="4" w:space="0"/>
            </w:tcBorders>
            <w:shd w:val="clear" w:color="auto" w:fill="auto"/>
            <w:vAlign w:val="center"/>
          </w:tcPr>
          <w:p w14:paraId="32CAB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79.90 </w:t>
            </w: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  <w:shd w:val="clear" w:color="auto" w:fill="auto"/>
            <w:vAlign w:val="center"/>
          </w:tcPr>
          <w:p w14:paraId="41C90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0.00%</w:t>
            </w:r>
          </w:p>
        </w:tc>
        <w:tc>
          <w:tcPr>
            <w:tcW w:w="1369" w:type="dxa"/>
            <w:tcBorders>
              <w:top w:val="single" w:color="auto" w:sz="4" w:space="0"/>
              <w:left w:val="nil"/>
              <w:bottom w:val="thickThinLargeGap" w:color="auto" w:sz="24" w:space="0"/>
              <w:right w:val="double" w:color="auto" w:sz="4" w:space="0"/>
            </w:tcBorders>
            <w:noWrap/>
            <w:vAlign w:val="center"/>
          </w:tcPr>
          <w:p w14:paraId="41639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0.00%</w:t>
            </w:r>
          </w:p>
        </w:tc>
      </w:tr>
      <w:tr w14:paraId="59476C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  <w:jc w:val="center"/>
        </w:trPr>
        <w:tc>
          <w:tcPr>
            <w:tcW w:w="480" w:type="dxa"/>
            <w:vMerge w:val="restart"/>
            <w:tcBorders>
              <w:top w:val="thickThinLargeGap" w:color="auto" w:sz="24" w:space="0"/>
              <w:left w:val="double" w:color="auto" w:sz="4" w:space="0"/>
            </w:tcBorders>
          </w:tcPr>
          <w:p w14:paraId="0A63EF20">
            <w:pPr>
              <w:widowControl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  <w:t>肉</w:t>
            </w:r>
          </w:p>
          <w:p w14:paraId="5DF5B65F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  <w:p w14:paraId="14448250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  <w:t>类</w:t>
            </w:r>
          </w:p>
        </w:tc>
        <w:tc>
          <w:tcPr>
            <w:tcW w:w="1083" w:type="dxa"/>
            <w:vMerge w:val="restart"/>
            <w:tcBorders>
              <w:top w:val="thickThinLargeGap" w:color="auto" w:sz="24" w:space="0"/>
              <w:left w:val="single" w:color="auto" w:sz="4" w:space="0"/>
              <w:right w:val="single" w:color="auto" w:sz="4" w:space="0"/>
            </w:tcBorders>
          </w:tcPr>
          <w:p w14:paraId="13A455F4">
            <w:pPr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</w:p>
          <w:p w14:paraId="6C97F2DF">
            <w:pPr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鲜猪肉</w:t>
            </w:r>
          </w:p>
        </w:tc>
        <w:tc>
          <w:tcPr>
            <w:tcW w:w="1842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918EE99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统装肉</w:t>
            </w:r>
          </w:p>
        </w:tc>
        <w:tc>
          <w:tcPr>
            <w:tcW w:w="1221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F95825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4BD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13.17 </w:t>
            </w:r>
          </w:p>
        </w:tc>
        <w:tc>
          <w:tcPr>
            <w:tcW w:w="1466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395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1.96%</w:t>
            </w:r>
          </w:p>
        </w:tc>
        <w:tc>
          <w:tcPr>
            <w:tcW w:w="1369" w:type="dxa"/>
            <w:tcBorders>
              <w:top w:val="thickThinLargeGap" w:color="auto" w:sz="24" w:space="0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7C00E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-14.68%</w:t>
            </w:r>
          </w:p>
        </w:tc>
      </w:tr>
      <w:tr w14:paraId="1F2160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789894DE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5096F0D7">
            <w:pPr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ECF7C6B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精瘦肉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3D65D0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7D0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15.53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9E7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2.78%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55665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-11.31%</w:t>
            </w:r>
          </w:p>
        </w:tc>
      </w:tr>
      <w:tr w14:paraId="3E50A7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0007D335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645D5F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0604FB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排骨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F6F278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773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23.30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44D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3.52%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13AC3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-9.71%</w:t>
            </w:r>
          </w:p>
        </w:tc>
      </w:tr>
      <w:tr w14:paraId="311BD3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2D70D238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1B188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羊肉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8CB179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D806E21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66D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  <w:t>35.31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1B3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1.70%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723B3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12.38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%</w:t>
            </w:r>
          </w:p>
        </w:tc>
      </w:tr>
      <w:tr w14:paraId="3DE2E6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  <w:bottom w:val="thickThinLargeGap" w:color="auto" w:sz="24" w:space="0"/>
            </w:tcBorders>
          </w:tcPr>
          <w:p w14:paraId="2354539E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</w:tcPr>
          <w:p w14:paraId="1211D57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鲜牛肉</w:t>
            </w:r>
          </w:p>
        </w:tc>
        <w:tc>
          <w:tcPr>
            <w:tcW w:w="1842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</w:tcPr>
          <w:p w14:paraId="1F83F801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新鲜去骨</w:t>
            </w:r>
          </w:p>
        </w:tc>
        <w:tc>
          <w:tcPr>
            <w:tcW w:w="1221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</w:tcPr>
          <w:p w14:paraId="7321E76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  <w:shd w:val="clear" w:color="auto" w:fill="auto"/>
            <w:vAlign w:val="center"/>
          </w:tcPr>
          <w:p w14:paraId="36069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41.58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  <w:shd w:val="clear" w:color="auto" w:fill="auto"/>
            <w:vAlign w:val="center"/>
          </w:tcPr>
          <w:p w14:paraId="0711A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0.17%</w:t>
            </w:r>
          </w:p>
        </w:tc>
        <w:tc>
          <w:tcPr>
            <w:tcW w:w="1369" w:type="dxa"/>
            <w:tcBorders>
              <w:top w:val="nil"/>
              <w:left w:val="nil"/>
              <w:bottom w:val="thickThinLargeGap" w:color="auto" w:sz="2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0E484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5.29%</w:t>
            </w:r>
          </w:p>
        </w:tc>
      </w:tr>
      <w:tr w14:paraId="33B4CF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restart"/>
            <w:tcBorders>
              <w:top w:val="thickThinLargeGap" w:color="auto" w:sz="24" w:space="0"/>
              <w:left w:val="double" w:color="auto" w:sz="4" w:space="0"/>
            </w:tcBorders>
          </w:tcPr>
          <w:p w14:paraId="7A225785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  <w:t>禽蛋类</w:t>
            </w:r>
          </w:p>
        </w:tc>
        <w:tc>
          <w:tcPr>
            <w:tcW w:w="1083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4F8239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老鸭</w:t>
            </w:r>
          </w:p>
        </w:tc>
        <w:tc>
          <w:tcPr>
            <w:tcW w:w="1842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85FB1B9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新鲜白条</w:t>
            </w:r>
          </w:p>
        </w:tc>
        <w:tc>
          <w:tcPr>
            <w:tcW w:w="1221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3DF2033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72B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17.91 </w:t>
            </w:r>
          </w:p>
        </w:tc>
        <w:tc>
          <w:tcPr>
            <w:tcW w:w="1466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EE2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1.65%</w:t>
            </w:r>
          </w:p>
        </w:tc>
        <w:tc>
          <w:tcPr>
            <w:tcW w:w="1369" w:type="dxa"/>
            <w:tcBorders>
              <w:top w:val="thickThinLargeGap" w:color="auto" w:sz="24" w:space="0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7C815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-7.06%</w:t>
            </w:r>
          </w:p>
        </w:tc>
      </w:tr>
      <w:tr w14:paraId="167991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197BD625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30EC3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土鸡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27287D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新鲜白条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234FF4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39B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16.06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D8F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2.23%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30E4E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-5.75%</w:t>
            </w:r>
          </w:p>
        </w:tc>
      </w:tr>
      <w:tr w14:paraId="6903D9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  <w:bottom w:val="thickThinLargeGap" w:color="auto" w:sz="24" w:space="0"/>
            </w:tcBorders>
          </w:tcPr>
          <w:p w14:paraId="14EED7E2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</w:tcPr>
          <w:p w14:paraId="27DD74E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鸡蛋</w:t>
            </w:r>
          </w:p>
        </w:tc>
        <w:tc>
          <w:tcPr>
            <w:tcW w:w="1842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</w:tcPr>
          <w:p w14:paraId="1BCBD87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新鲜完整</w:t>
            </w:r>
          </w:p>
        </w:tc>
        <w:tc>
          <w:tcPr>
            <w:tcW w:w="1221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</w:tcPr>
          <w:p w14:paraId="3CB64E9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  <w:shd w:val="clear" w:color="auto" w:fill="auto"/>
            <w:vAlign w:val="center"/>
          </w:tcPr>
          <w:p w14:paraId="2FA90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5.23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  <w:shd w:val="clear" w:color="auto" w:fill="auto"/>
            <w:vAlign w:val="center"/>
          </w:tcPr>
          <w:p w14:paraId="4CE8B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3.16%</w:t>
            </w:r>
          </w:p>
        </w:tc>
        <w:tc>
          <w:tcPr>
            <w:tcW w:w="1369" w:type="dxa"/>
            <w:tcBorders>
              <w:top w:val="nil"/>
              <w:left w:val="nil"/>
              <w:bottom w:val="thickThinLargeGap" w:color="auto" w:sz="2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048E2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-4.21%</w:t>
            </w:r>
          </w:p>
        </w:tc>
      </w:tr>
      <w:tr w14:paraId="369D03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restart"/>
            <w:tcBorders>
              <w:top w:val="thickThinLargeGap" w:color="auto" w:sz="24" w:space="0"/>
              <w:left w:val="double" w:color="auto" w:sz="4" w:space="0"/>
            </w:tcBorders>
          </w:tcPr>
          <w:p w14:paraId="1F898059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  <w:t>水产品</w:t>
            </w:r>
          </w:p>
        </w:tc>
        <w:tc>
          <w:tcPr>
            <w:tcW w:w="1083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EBD67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草鱼</w:t>
            </w:r>
          </w:p>
        </w:tc>
        <w:tc>
          <w:tcPr>
            <w:tcW w:w="1842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36B993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活750克左右</w:t>
            </w:r>
          </w:p>
        </w:tc>
        <w:tc>
          <w:tcPr>
            <w:tcW w:w="1221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60E0D9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EB3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8.06 </w:t>
            </w:r>
          </w:p>
        </w:tc>
        <w:tc>
          <w:tcPr>
            <w:tcW w:w="1466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F68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0.71%</w:t>
            </w:r>
          </w:p>
        </w:tc>
        <w:tc>
          <w:tcPr>
            <w:tcW w:w="1369" w:type="dxa"/>
            <w:tcBorders>
              <w:top w:val="thickThinLargeGap" w:color="auto" w:sz="24" w:space="0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51BE9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3.56%</w:t>
            </w:r>
          </w:p>
        </w:tc>
      </w:tr>
      <w:tr w14:paraId="507852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20729E9E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A4B14F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鲫鱼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627A8C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活300克左右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9D784F7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2D5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10.79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EDC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-0.12%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5C8A3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-2.12%</w:t>
            </w:r>
          </w:p>
        </w:tc>
      </w:tr>
      <w:tr w14:paraId="471713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  <w:bottom w:val="thickThinLargeGap" w:color="auto" w:sz="24" w:space="0"/>
            </w:tcBorders>
          </w:tcPr>
          <w:p w14:paraId="7467E570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</w:tcPr>
          <w:p w14:paraId="53051AD9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带鱼</w:t>
            </w:r>
          </w:p>
        </w:tc>
        <w:tc>
          <w:tcPr>
            <w:tcW w:w="1842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</w:tcPr>
          <w:p w14:paraId="03EE396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冻 250克左右</w:t>
            </w:r>
          </w:p>
        </w:tc>
        <w:tc>
          <w:tcPr>
            <w:tcW w:w="1221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</w:tcPr>
          <w:p w14:paraId="7ED6D18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  <w:shd w:val="clear" w:color="auto" w:fill="auto"/>
            <w:vAlign w:val="center"/>
          </w:tcPr>
          <w:p w14:paraId="7061C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12.04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  <w:shd w:val="clear" w:color="auto" w:fill="auto"/>
            <w:vAlign w:val="center"/>
          </w:tcPr>
          <w:p w14:paraId="56DA5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-0.00%</w:t>
            </w:r>
          </w:p>
        </w:tc>
        <w:tc>
          <w:tcPr>
            <w:tcW w:w="1369" w:type="dxa"/>
            <w:tcBorders>
              <w:top w:val="nil"/>
              <w:left w:val="nil"/>
              <w:bottom w:val="thickThinLargeGap" w:color="auto" w:sz="2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21F65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-2.22%</w:t>
            </w:r>
          </w:p>
        </w:tc>
      </w:tr>
      <w:tr w14:paraId="152CF8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restart"/>
            <w:tcBorders>
              <w:top w:val="thickThinLargeGap" w:color="auto" w:sz="24" w:space="0"/>
              <w:left w:val="double" w:color="auto" w:sz="4" w:space="0"/>
            </w:tcBorders>
          </w:tcPr>
          <w:p w14:paraId="60990B2D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  <w:p w14:paraId="3776BA26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  <w:p w14:paraId="15F257D9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  <w:p w14:paraId="343E0AEF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  <w:p w14:paraId="6C1516B7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  <w:t>蔬</w:t>
            </w:r>
          </w:p>
          <w:p w14:paraId="5626B229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  <w:p w14:paraId="6BA7B41C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  <w:p w14:paraId="02C2A67E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  <w:t>菜</w:t>
            </w:r>
          </w:p>
          <w:p w14:paraId="7594CA5C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  <w:p w14:paraId="3ED3A4F7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  <w:p w14:paraId="27D0D5E2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  <w:t>类</w:t>
            </w:r>
          </w:p>
        </w:tc>
        <w:tc>
          <w:tcPr>
            <w:tcW w:w="1083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BA2F2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黄瓜</w:t>
            </w:r>
          </w:p>
        </w:tc>
        <w:tc>
          <w:tcPr>
            <w:tcW w:w="1842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E6F77C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51CBF21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701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4.50 </w:t>
            </w:r>
          </w:p>
        </w:tc>
        <w:tc>
          <w:tcPr>
            <w:tcW w:w="1466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27A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11.11%</w:t>
            </w:r>
          </w:p>
        </w:tc>
        <w:tc>
          <w:tcPr>
            <w:tcW w:w="1369" w:type="dxa"/>
            <w:tcBorders>
              <w:top w:val="thickThinLargeGap" w:color="auto" w:sz="24" w:space="0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426CE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27.84%</w:t>
            </w:r>
          </w:p>
        </w:tc>
      </w:tr>
      <w:tr w14:paraId="7D0218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3152DECB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DDECE3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茄子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22CDA11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05A086F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BC5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5.25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07C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2.94%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624E7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23.24%</w:t>
            </w:r>
          </w:p>
        </w:tc>
      </w:tr>
      <w:tr w14:paraId="107BEE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1B237C8C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AAC2C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西红柿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92A5F5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A815757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171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5.75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B6D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0.35%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2C684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34.03%</w:t>
            </w:r>
          </w:p>
        </w:tc>
      </w:tr>
      <w:tr w14:paraId="4E1C10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1A9E9EF0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D793A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土豆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1FC5C6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F52E58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036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2.12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913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0.47%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04968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-9.40%</w:t>
            </w:r>
          </w:p>
        </w:tc>
      </w:tr>
      <w:tr w14:paraId="2FAFEE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6AEB9F87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B3402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萝卜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35227C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EAB868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B55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1.38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147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2.22%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6C86C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-4.83%</w:t>
            </w:r>
          </w:p>
        </w:tc>
      </w:tr>
      <w:tr w14:paraId="28AC87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1AC304F9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ABB043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胡萝卜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835A65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98E6963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932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2.19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B57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4.29%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7136E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-8.37%</w:t>
            </w:r>
          </w:p>
        </w:tc>
      </w:tr>
      <w:tr w14:paraId="2B8A91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02252D69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7A531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辣椒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2B2F239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AC4228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A9B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5.43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739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6.47%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6C594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38.17%</w:t>
            </w:r>
          </w:p>
        </w:tc>
      </w:tr>
      <w:tr w14:paraId="5F9FA9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6F430AEB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95A0F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长豆角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840A02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37778A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4B7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5.57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5A2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2.01%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76B68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-1.24%</w:t>
            </w:r>
          </w:p>
        </w:tc>
      </w:tr>
      <w:tr w14:paraId="23EC82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2152117A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56F30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苦瓜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0765DD7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364DBB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A9B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5.86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EB4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15.58%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6EC4E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29.07%</w:t>
            </w:r>
          </w:p>
        </w:tc>
      </w:tr>
      <w:tr w14:paraId="5FA73E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76AA4CEC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B9CE51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冬瓜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E09FF5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297E48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E6E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1.57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EDE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9.79%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038F9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-26.29%</w:t>
            </w:r>
          </w:p>
        </w:tc>
      </w:tr>
      <w:tr w14:paraId="28D00C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60B300DA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EA379F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园白菜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9D5DCD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928579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F5F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1.94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366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4.30%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1EBFD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0.52%</w:t>
            </w:r>
          </w:p>
        </w:tc>
      </w:tr>
      <w:tr w14:paraId="5072ED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6CFB37D7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4E6EE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大白菜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79718D7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8081CE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931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1.83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474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1.67%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3E13E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18.06%</w:t>
            </w:r>
          </w:p>
        </w:tc>
      </w:tr>
      <w:tr w14:paraId="2B0933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6BB4A021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97702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青菜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B64C35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EF0C9B7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F3C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2.16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7FF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-5.68%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51712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-23.94%</w:t>
            </w:r>
          </w:p>
        </w:tc>
      </w:tr>
      <w:tr w14:paraId="492B9F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1B6CB0D7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9AEC21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洋葱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600C68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A5FB69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94A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2.19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BF0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-0.45%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34144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-19.49%</w:t>
            </w:r>
          </w:p>
        </w:tc>
      </w:tr>
      <w:tr w14:paraId="096C84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  <w:bottom w:val="thickThinLargeGap" w:color="auto" w:sz="24" w:space="0"/>
            </w:tcBorders>
          </w:tcPr>
          <w:p w14:paraId="28AA37CB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</w:tcPr>
          <w:p w14:paraId="1F8B60B7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芹菜</w:t>
            </w:r>
          </w:p>
        </w:tc>
        <w:tc>
          <w:tcPr>
            <w:tcW w:w="1842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</w:tcPr>
          <w:p w14:paraId="0B1EABAF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</w:tcPr>
          <w:p w14:paraId="1016531B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  <w:shd w:val="clear" w:color="auto" w:fill="auto"/>
            <w:vAlign w:val="center"/>
          </w:tcPr>
          <w:p w14:paraId="06F72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3.43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  <w:shd w:val="clear" w:color="auto" w:fill="auto"/>
            <w:vAlign w:val="center"/>
          </w:tcPr>
          <w:p w14:paraId="39845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-10.68%</w:t>
            </w:r>
          </w:p>
        </w:tc>
        <w:tc>
          <w:tcPr>
            <w:tcW w:w="1369" w:type="dxa"/>
            <w:tcBorders>
              <w:top w:val="nil"/>
              <w:left w:val="nil"/>
              <w:bottom w:val="thickThinLargeGap" w:color="auto" w:sz="2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18877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-8.78%</w:t>
            </w:r>
          </w:p>
        </w:tc>
      </w:tr>
      <w:tr w14:paraId="5937AC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480" w:type="dxa"/>
            <w:vMerge w:val="restart"/>
            <w:tcBorders>
              <w:top w:val="thickThinLargeGap" w:color="auto" w:sz="24" w:space="0"/>
              <w:left w:val="double" w:color="auto" w:sz="4" w:space="0"/>
            </w:tcBorders>
          </w:tcPr>
          <w:p w14:paraId="026779DC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 w14:paraId="6B3583D1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  <w:p w14:paraId="76B51E23">
            <w:pPr>
              <w:jc w:val="center"/>
              <w:rPr>
                <w:rFonts w:hint="eastAsia" w:ascii="宋体" w:hAnsi="宋体" w:eastAsia="宋体" w:cs="宋体"/>
                <w:b/>
                <w:kern w:val="0"/>
                <w:sz w:val="44"/>
                <w:szCs w:val="4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其</w:t>
            </w:r>
          </w:p>
          <w:p w14:paraId="74912272">
            <w:pPr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  <w:p w14:paraId="67828387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  <w:t>它</w:t>
            </w:r>
          </w:p>
        </w:tc>
        <w:tc>
          <w:tcPr>
            <w:tcW w:w="1083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2B51E3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香蕉</w:t>
            </w:r>
          </w:p>
        </w:tc>
        <w:tc>
          <w:tcPr>
            <w:tcW w:w="1842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C63906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国产一级</w:t>
            </w:r>
          </w:p>
        </w:tc>
        <w:tc>
          <w:tcPr>
            <w:tcW w:w="1221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C23EA1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425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3.66 </w:t>
            </w:r>
          </w:p>
        </w:tc>
        <w:tc>
          <w:tcPr>
            <w:tcW w:w="1466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EA7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10.91%</w:t>
            </w:r>
          </w:p>
        </w:tc>
        <w:tc>
          <w:tcPr>
            <w:tcW w:w="1369" w:type="dxa"/>
            <w:tcBorders>
              <w:top w:val="thickThinLargeGap" w:color="auto" w:sz="24" w:space="0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6EDF2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3.68%</w:t>
            </w:r>
          </w:p>
        </w:tc>
      </w:tr>
      <w:tr w14:paraId="6C142D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26A53BC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4960C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苹果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A3421C1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红富士一级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1C8EB5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FAB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5.79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B7D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1.94%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2E072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2.30%</w:t>
            </w:r>
          </w:p>
        </w:tc>
      </w:tr>
      <w:tr w14:paraId="67C788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47B3BB3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FF4871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梨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B2915D3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新鲜一级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59D16EF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47E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3.45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6E4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2.99%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2E6B9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6.81%</w:t>
            </w:r>
          </w:p>
        </w:tc>
      </w:tr>
      <w:tr w14:paraId="3D6210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56A7079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8CC58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牛奶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B7F002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当地主销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47FB58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元/250克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7D0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2.80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6DD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56D26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0.00%</w:t>
            </w:r>
          </w:p>
        </w:tc>
      </w:tr>
      <w:tr w14:paraId="6E6941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616D8AB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264007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食用盐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A253D1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精制含碘盐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60D3E91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2A3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2.00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EB3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7AA1A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0.00%</w:t>
            </w:r>
          </w:p>
        </w:tc>
      </w:tr>
      <w:tr w14:paraId="56D5A9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  <w:bottom w:val="single" w:color="auto" w:sz="4" w:space="0"/>
            </w:tcBorders>
          </w:tcPr>
          <w:p w14:paraId="11E1708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2F620B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红糖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7838B53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当地主销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FA76279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B4B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6.38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747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7005F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0.00%</w:t>
            </w:r>
          </w:p>
        </w:tc>
      </w:tr>
      <w:bookmarkEnd w:id="0"/>
    </w:tbl>
    <w:p w14:paraId="793B118E">
      <w:pPr>
        <w:rPr>
          <w:sz w:val="44"/>
          <w:szCs w:val="44"/>
        </w:rPr>
      </w:pPr>
    </w:p>
    <w:sectPr>
      <w:headerReference r:id="rId3" w:type="default"/>
      <w:footerReference r:id="rId4" w:type="default"/>
      <w:endnotePr>
        <w:numFmt w:val="decimal"/>
      </w:endnotePr>
      <w:pgSz w:w="11906" w:h="16838"/>
      <w:pgMar w:top="1304" w:right="1797" w:bottom="1134" w:left="1797" w:header="851" w:footer="1191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38A05D"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3B8245CE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F0mU5cwBAACnAwAADgAAAGRycy9lMm9Eb2MueG1srVPNjtMwEL4j8Q6W&#10;7zRpD6iKmq4WVYuQECAtPIDrTBpL/pPHbdIXgDfgxIU7z9XnYOwk3WW57GEvzvz5m/k+TzY3g9Hs&#10;BAGVszVfLkrOwErXKHuo+bevd2/WnGEUthHaWaj5GZDfbF+/2vS+gpXrnG4gMAKxWPW+5l2MvioK&#10;lB0YgQvnwVKydcGISG44FE0QPaEbXazK8m3Ru9D44CQgUnQ3JvmEGJ4D6NpWSdg5eTRg44gaQItI&#10;lLBTHvk2T9u2IOPntkWITNecmMZ8UhOy9+ksthtRHYLwnZLTCOI5IzzhZISy1PQKtRNRsGNQ/0EZ&#10;JYND18aFdKYYiWRFiMWyfKLNfSc8ZC4kNfqr6PhysPLT6UtgqqFN4MwKQw9++fnj8uvP5fd3tkzy&#10;9B4rqrr3VBeHd25IpVMcKZhYD20w6Ut8GOVJ3PNVXBgik+nSerVel5SSlJsdwikervuA8T04w5JR&#10;80Cvl0UVp48Yx9K5JHWz7k5pTXFRaftPgDDHCOQVmG4nJuPEyYrDfpho7F1zJnY9rUHNLW09Z/qD&#10;JZXTxsxGmI39bBx9UIcur1Tqjv72GGmkPGnqMMISw+TQ+2Wu066lBXns56qH/2v7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XSZTlzAEAAKcDAAAOAAAAAAAAAAEAIAAAAB4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B8245CE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9264" behindDoc="0" locked="0" layoutInCell="0" allowOverlap="1">
          <wp:simplePos x="0" y="0"/>
          <wp:positionH relativeFrom="margin">
            <wp:align>center</wp:align>
          </wp:positionH>
          <wp:positionV relativeFrom="paragraph">
            <wp:posOffset>0</wp:posOffset>
          </wp:positionV>
          <wp:extent cx="114300" cy="130175"/>
          <wp:effectExtent l="0" t="0" r="0" b="0"/>
          <wp:wrapNone/>
          <wp:docPr id="2" name="图片模式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模式1"/>
                  <pic:cNvPicPr/>
                </pic:nvPicPr>
                <pic:blipFill>
                  <a:blip/>
                  <a:stretch>
                    <a:fillRect/>
                  </a:stretch>
                </pic:blipFill>
                <pic:spPr>
                  <a:xfrm>
                    <a:off x="0" y="0"/>
                    <a:ext cx="114300" cy="130175"/>
                  </a:xfrm>
                  <a:prstGeom prst="rect">
                    <a:avLst/>
                  </a:prstGeom>
                  <a:noFill/>
                  <a:ln w="12700">
                    <a:noFill/>
                  </a:ln>
                </pic:spPr>
              </pic:pic>
            </a:graphicData>
          </a:graphic>
        </wp:anchor>
      </w:drawing>
    </w:r>
  </w:p>
  <w:p w14:paraId="094F1B40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0FB387">
    <w:pPr>
      <w:pBdr>
        <w:bottom w:val="single" w:color="FFFFFF" w:sz="4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55AB5F9"/>
    <w:multiLevelType w:val="singleLevel"/>
    <w:tmpl w:val="755AB5F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0"/>
  <w:drawingGridVerticalSpacing w:val="156"/>
  <w:displayHorizontalDrawingGridEvery w:val="1"/>
  <w:displayVerticalDrawingGridEvery w:val="1"/>
  <w:noPunctuationKerning w:val="1"/>
  <w:characterSpacingControl w:val="doNotCompress"/>
  <w:endnotePr>
    <w:numFmt w:val="decimal"/>
  </w:endnotePr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YyOWRiZGMwNjZhNDliZThiMjE1MjI1YmY4ZDhkNjMifQ=="/>
  </w:docVars>
  <w:rsids>
    <w:rsidRoot w:val="00441A3A"/>
    <w:rsid w:val="000566AD"/>
    <w:rsid w:val="000B3B3C"/>
    <w:rsid w:val="00124439"/>
    <w:rsid w:val="001A01DE"/>
    <w:rsid w:val="001B08D0"/>
    <w:rsid w:val="001F758E"/>
    <w:rsid w:val="00255A59"/>
    <w:rsid w:val="002625B2"/>
    <w:rsid w:val="002E0EC6"/>
    <w:rsid w:val="003108E5"/>
    <w:rsid w:val="00427D93"/>
    <w:rsid w:val="004349E4"/>
    <w:rsid w:val="00441A3A"/>
    <w:rsid w:val="00493CCB"/>
    <w:rsid w:val="004A5609"/>
    <w:rsid w:val="004E4CB7"/>
    <w:rsid w:val="005B4D1A"/>
    <w:rsid w:val="005C2064"/>
    <w:rsid w:val="006B4163"/>
    <w:rsid w:val="007604B0"/>
    <w:rsid w:val="007958E0"/>
    <w:rsid w:val="0085784C"/>
    <w:rsid w:val="009001FA"/>
    <w:rsid w:val="0095583F"/>
    <w:rsid w:val="00A04BC0"/>
    <w:rsid w:val="00B123B8"/>
    <w:rsid w:val="00B51775"/>
    <w:rsid w:val="00BE2AA4"/>
    <w:rsid w:val="00C349C3"/>
    <w:rsid w:val="00DD3EE4"/>
    <w:rsid w:val="00DF0A9F"/>
    <w:rsid w:val="00E145BD"/>
    <w:rsid w:val="00E6348D"/>
    <w:rsid w:val="00ED27A9"/>
    <w:rsid w:val="013D73A1"/>
    <w:rsid w:val="01605145"/>
    <w:rsid w:val="02542185"/>
    <w:rsid w:val="02577837"/>
    <w:rsid w:val="027A5BED"/>
    <w:rsid w:val="02CA2332"/>
    <w:rsid w:val="02D67BEC"/>
    <w:rsid w:val="03682C7F"/>
    <w:rsid w:val="0404166A"/>
    <w:rsid w:val="042A6047"/>
    <w:rsid w:val="043B2EAD"/>
    <w:rsid w:val="04627CA9"/>
    <w:rsid w:val="047F77CF"/>
    <w:rsid w:val="04CA3F04"/>
    <w:rsid w:val="054E3E78"/>
    <w:rsid w:val="05813871"/>
    <w:rsid w:val="05873124"/>
    <w:rsid w:val="06280155"/>
    <w:rsid w:val="06803A2A"/>
    <w:rsid w:val="0692797A"/>
    <w:rsid w:val="06E818A6"/>
    <w:rsid w:val="06FC1B23"/>
    <w:rsid w:val="07004C5A"/>
    <w:rsid w:val="07B971AC"/>
    <w:rsid w:val="07ED2710"/>
    <w:rsid w:val="082C743E"/>
    <w:rsid w:val="087A1345"/>
    <w:rsid w:val="08F83D41"/>
    <w:rsid w:val="09E249B7"/>
    <w:rsid w:val="09E3201B"/>
    <w:rsid w:val="09FB0DD0"/>
    <w:rsid w:val="0A2F35EF"/>
    <w:rsid w:val="0B8C3FEE"/>
    <w:rsid w:val="0C150DDA"/>
    <w:rsid w:val="0C1A2EB0"/>
    <w:rsid w:val="0C223F7A"/>
    <w:rsid w:val="0C4358C8"/>
    <w:rsid w:val="0C4E505A"/>
    <w:rsid w:val="0C7A399F"/>
    <w:rsid w:val="0C8C7994"/>
    <w:rsid w:val="0D194861"/>
    <w:rsid w:val="0D31140A"/>
    <w:rsid w:val="0DE16DD4"/>
    <w:rsid w:val="0E4967E5"/>
    <w:rsid w:val="0EF03195"/>
    <w:rsid w:val="0F9B4BCD"/>
    <w:rsid w:val="0FAB7552"/>
    <w:rsid w:val="101A2901"/>
    <w:rsid w:val="103924D3"/>
    <w:rsid w:val="10466D46"/>
    <w:rsid w:val="10AC60ED"/>
    <w:rsid w:val="10D24604"/>
    <w:rsid w:val="10D61AAC"/>
    <w:rsid w:val="11313FB5"/>
    <w:rsid w:val="114E27EE"/>
    <w:rsid w:val="1219670D"/>
    <w:rsid w:val="12783313"/>
    <w:rsid w:val="12FC6323"/>
    <w:rsid w:val="130D1EB8"/>
    <w:rsid w:val="13441D7E"/>
    <w:rsid w:val="138B6A64"/>
    <w:rsid w:val="13EBFF22"/>
    <w:rsid w:val="13F35552"/>
    <w:rsid w:val="13FA41EA"/>
    <w:rsid w:val="142971E5"/>
    <w:rsid w:val="144C7FC0"/>
    <w:rsid w:val="147D6BCA"/>
    <w:rsid w:val="148B2CB1"/>
    <w:rsid w:val="159E0C7C"/>
    <w:rsid w:val="15A94DFE"/>
    <w:rsid w:val="164815C5"/>
    <w:rsid w:val="16994CD7"/>
    <w:rsid w:val="16AE3719"/>
    <w:rsid w:val="16B40B12"/>
    <w:rsid w:val="16B528CD"/>
    <w:rsid w:val="16C8794B"/>
    <w:rsid w:val="16F66FED"/>
    <w:rsid w:val="17E837F1"/>
    <w:rsid w:val="17F81B6C"/>
    <w:rsid w:val="1835005B"/>
    <w:rsid w:val="18583BD5"/>
    <w:rsid w:val="18A81247"/>
    <w:rsid w:val="194B194C"/>
    <w:rsid w:val="19967A6A"/>
    <w:rsid w:val="199E091B"/>
    <w:rsid w:val="19AE3A37"/>
    <w:rsid w:val="19BE443D"/>
    <w:rsid w:val="19D67B51"/>
    <w:rsid w:val="19EB1D8A"/>
    <w:rsid w:val="1A531F63"/>
    <w:rsid w:val="1A5328A6"/>
    <w:rsid w:val="1AB737C2"/>
    <w:rsid w:val="1AF520EE"/>
    <w:rsid w:val="1BDF6CF3"/>
    <w:rsid w:val="1C2278AD"/>
    <w:rsid w:val="1C457E68"/>
    <w:rsid w:val="1C7B7201"/>
    <w:rsid w:val="1CA016AE"/>
    <w:rsid w:val="1CA86D07"/>
    <w:rsid w:val="1D27142F"/>
    <w:rsid w:val="1D4F3AEB"/>
    <w:rsid w:val="1D994DDE"/>
    <w:rsid w:val="1D996102"/>
    <w:rsid w:val="1DAD5CDD"/>
    <w:rsid w:val="1EE745CF"/>
    <w:rsid w:val="1F5970EB"/>
    <w:rsid w:val="1F5F4652"/>
    <w:rsid w:val="1FCA28ED"/>
    <w:rsid w:val="20836C40"/>
    <w:rsid w:val="20B360DE"/>
    <w:rsid w:val="2113068F"/>
    <w:rsid w:val="2200661A"/>
    <w:rsid w:val="2295756D"/>
    <w:rsid w:val="22DD5269"/>
    <w:rsid w:val="23020E1E"/>
    <w:rsid w:val="23830460"/>
    <w:rsid w:val="23922691"/>
    <w:rsid w:val="242A6565"/>
    <w:rsid w:val="247C676D"/>
    <w:rsid w:val="247D0CA4"/>
    <w:rsid w:val="24DA618B"/>
    <w:rsid w:val="24FC39CF"/>
    <w:rsid w:val="25D8184B"/>
    <w:rsid w:val="263F63D5"/>
    <w:rsid w:val="272B5359"/>
    <w:rsid w:val="272F6449"/>
    <w:rsid w:val="276C411F"/>
    <w:rsid w:val="27883983"/>
    <w:rsid w:val="283F48BA"/>
    <w:rsid w:val="284873C6"/>
    <w:rsid w:val="287611E1"/>
    <w:rsid w:val="28B15AC4"/>
    <w:rsid w:val="29581F81"/>
    <w:rsid w:val="2A3E2428"/>
    <w:rsid w:val="2A6B1DBD"/>
    <w:rsid w:val="2A77613D"/>
    <w:rsid w:val="2AC0023B"/>
    <w:rsid w:val="2B216A7A"/>
    <w:rsid w:val="2B2A22DB"/>
    <w:rsid w:val="2B7B6280"/>
    <w:rsid w:val="2BA835D8"/>
    <w:rsid w:val="2C5B614E"/>
    <w:rsid w:val="2DA148AD"/>
    <w:rsid w:val="2E105866"/>
    <w:rsid w:val="2E371B8C"/>
    <w:rsid w:val="2EBE1C78"/>
    <w:rsid w:val="2ED06C49"/>
    <w:rsid w:val="2ED25A66"/>
    <w:rsid w:val="2F187059"/>
    <w:rsid w:val="2F1A0857"/>
    <w:rsid w:val="2F1D4420"/>
    <w:rsid w:val="2F391E67"/>
    <w:rsid w:val="2F3E3498"/>
    <w:rsid w:val="2F93191D"/>
    <w:rsid w:val="30643DBF"/>
    <w:rsid w:val="308B3D0F"/>
    <w:rsid w:val="30B2400E"/>
    <w:rsid w:val="31233637"/>
    <w:rsid w:val="31D72451"/>
    <w:rsid w:val="32A84B88"/>
    <w:rsid w:val="33187E72"/>
    <w:rsid w:val="336073D8"/>
    <w:rsid w:val="33802506"/>
    <w:rsid w:val="33F92C51"/>
    <w:rsid w:val="34433E16"/>
    <w:rsid w:val="349652FD"/>
    <w:rsid w:val="34CE1050"/>
    <w:rsid w:val="35644962"/>
    <w:rsid w:val="357A430B"/>
    <w:rsid w:val="3580416C"/>
    <w:rsid w:val="358341BB"/>
    <w:rsid w:val="359F2A7E"/>
    <w:rsid w:val="35EA3D49"/>
    <w:rsid w:val="36146F36"/>
    <w:rsid w:val="36341386"/>
    <w:rsid w:val="36675026"/>
    <w:rsid w:val="369A4D8E"/>
    <w:rsid w:val="37225683"/>
    <w:rsid w:val="378C04E8"/>
    <w:rsid w:val="37B3277F"/>
    <w:rsid w:val="380D6717"/>
    <w:rsid w:val="383138BF"/>
    <w:rsid w:val="38440C79"/>
    <w:rsid w:val="38BC1751"/>
    <w:rsid w:val="38FB4B2B"/>
    <w:rsid w:val="391D48A8"/>
    <w:rsid w:val="39E740FD"/>
    <w:rsid w:val="3A0B41B8"/>
    <w:rsid w:val="3A3F16A2"/>
    <w:rsid w:val="3A8A7406"/>
    <w:rsid w:val="3A9852EF"/>
    <w:rsid w:val="3B146E24"/>
    <w:rsid w:val="3B444B46"/>
    <w:rsid w:val="3B83070E"/>
    <w:rsid w:val="3BA70A72"/>
    <w:rsid w:val="3BBFC656"/>
    <w:rsid w:val="3C053BEB"/>
    <w:rsid w:val="3C6E6EF7"/>
    <w:rsid w:val="3D0C0F77"/>
    <w:rsid w:val="3DDF4223"/>
    <w:rsid w:val="3E183EF4"/>
    <w:rsid w:val="3E19632D"/>
    <w:rsid w:val="3E2170DE"/>
    <w:rsid w:val="3E4B9389"/>
    <w:rsid w:val="3E545C64"/>
    <w:rsid w:val="3E7209D5"/>
    <w:rsid w:val="3EA57AA6"/>
    <w:rsid w:val="3ECE5C4E"/>
    <w:rsid w:val="3ED06081"/>
    <w:rsid w:val="3ED223AD"/>
    <w:rsid w:val="3ED422AC"/>
    <w:rsid w:val="3EF36F4F"/>
    <w:rsid w:val="3F5FC6C2"/>
    <w:rsid w:val="3FF34060"/>
    <w:rsid w:val="40142D3A"/>
    <w:rsid w:val="40EF4827"/>
    <w:rsid w:val="414A715B"/>
    <w:rsid w:val="416463E2"/>
    <w:rsid w:val="41E2613A"/>
    <w:rsid w:val="41E3786C"/>
    <w:rsid w:val="42277FF1"/>
    <w:rsid w:val="42A8234D"/>
    <w:rsid w:val="43227D2C"/>
    <w:rsid w:val="43F02BF6"/>
    <w:rsid w:val="44B23E5B"/>
    <w:rsid w:val="45017775"/>
    <w:rsid w:val="45155250"/>
    <w:rsid w:val="4541299E"/>
    <w:rsid w:val="45D35CE0"/>
    <w:rsid w:val="461E26A8"/>
    <w:rsid w:val="46750580"/>
    <w:rsid w:val="467A1037"/>
    <w:rsid w:val="46A01945"/>
    <w:rsid w:val="46B7418E"/>
    <w:rsid w:val="46C811CD"/>
    <w:rsid w:val="474F50B0"/>
    <w:rsid w:val="47911971"/>
    <w:rsid w:val="47C55C2D"/>
    <w:rsid w:val="486C31A5"/>
    <w:rsid w:val="48DC264B"/>
    <w:rsid w:val="4A19459E"/>
    <w:rsid w:val="4AFB201B"/>
    <w:rsid w:val="4B146DC3"/>
    <w:rsid w:val="4B767B23"/>
    <w:rsid w:val="4BA97A67"/>
    <w:rsid w:val="4CE6517D"/>
    <w:rsid w:val="4D672B71"/>
    <w:rsid w:val="4D8C4B1A"/>
    <w:rsid w:val="4DE5749E"/>
    <w:rsid w:val="4DF80E79"/>
    <w:rsid w:val="4DFB5D49"/>
    <w:rsid w:val="4E974AC6"/>
    <w:rsid w:val="4ED31ECB"/>
    <w:rsid w:val="4EFE032C"/>
    <w:rsid w:val="4F223A3D"/>
    <w:rsid w:val="4F2935FA"/>
    <w:rsid w:val="4FCA1041"/>
    <w:rsid w:val="505F3EB0"/>
    <w:rsid w:val="50A36B18"/>
    <w:rsid w:val="50C67D1A"/>
    <w:rsid w:val="514A0769"/>
    <w:rsid w:val="514C58C5"/>
    <w:rsid w:val="517C0331"/>
    <w:rsid w:val="51B85CB1"/>
    <w:rsid w:val="522A7CBA"/>
    <w:rsid w:val="526B3B3C"/>
    <w:rsid w:val="527A3D8C"/>
    <w:rsid w:val="52BE22AC"/>
    <w:rsid w:val="52CC2C1B"/>
    <w:rsid w:val="52F11784"/>
    <w:rsid w:val="52F66763"/>
    <w:rsid w:val="531C70D4"/>
    <w:rsid w:val="531F7B6C"/>
    <w:rsid w:val="53210E33"/>
    <w:rsid w:val="535D54A5"/>
    <w:rsid w:val="536356F3"/>
    <w:rsid w:val="53717060"/>
    <w:rsid w:val="53980D4F"/>
    <w:rsid w:val="53AE474F"/>
    <w:rsid w:val="541D688B"/>
    <w:rsid w:val="5457686A"/>
    <w:rsid w:val="548E4246"/>
    <w:rsid w:val="54E833C2"/>
    <w:rsid w:val="55420774"/>
    <w:rsid w:val="56A06AF1"/>
    <w:rsid w:val="56A1683B"/>
    <w:rsid w:val="57B123DF"/>
    <w:rsid w:val="57B60637"/>
    <w:rsid w:val="57C16224"/>
    <w:rsid w:val="585052DA"/>
    <w:rsid w:val="58D20FB7"/>
    <w:rsid w:val="598E5CDE"/>
    <w:rsid w:val="5A5E2200"/>
    <w:rsid w:val="5ABB4C91"/>
    <w:rsid w:val="5AD20887"/>
    <w:rsid w:val="5ADC26EA"/>
    <w:rsid w:val="5AE13434"/>
    <w:rsid w:val="5B4A3485"/>
    <w:rsid w:val="5C624949"/>
    <w:rsid w:val="5CB67EBF"/>
    <w:rsid w:val="5D1B35DD"/>
    <w:rsid w:val="5D610A4E"/>
    <w:rsid w:val="5DAD5B08"/>
    <w:rsid w:val="5DF559DA"/>
    <w:rsid w:val="5E007C1C"/>
    <w:rsid w:val="5E192A8C"/>
    <w:rsid w:val="5EE302BE"/>
    <w:rsid w:val="5F4616F9"/>
    <w:rsid w:val="5F597BE0"/>
    <w:rsid w:val="5FFF2079"/>
    <w:rsid w:val="60041C96"/>
    <w:rsid w:val="604D4440"/>
    <w:rsid w:val="60F4132C"/>
    <w:rsid w:val="616D2BE4"/>
    <w:rsid w:val="625F5332"/>
    <w:rsid w:val="62BC1607"/>
    <w:rsid w:val="62D37DBF"/>
    <w:rsid w:val="63580EE2"/>
    <w:rsid w:val="636C0459"/>
    <w:rsid w:val="63C05A53"/>
    <w:rsid w:val="640220F9"/>
    <w:rsid w:val="64A805C1"/>
    <w:rsid w:val="64EB5A1B"/>
    <w:rsid w:val="65EC3AF6"/>
    <w:rsid w:val="661A36DF"/>
    <w:rsid w:val="669D67B5"/>
    <w:rsid w:val="676C6C6D"/>
    <w:rsid w:val="684851C1"/>
    <w:rsid w:val="68580354"/>
    <w:rsid w:val="685C78DE"/>
    <w:rsid w:val="688E7BE3"/>
    <w:rsid w:val="68BC200A"/>
    <w:rsid w:val="68CA09B4"/>
    <w:rsid w:val="69485476"/>
    <w:rsid w:val="69674255"/>
    <w:rsid w:val="6988409C"/>
    <w:rsid w:val="69BA763E"/>
    <w:rsid w:val="6A5058A7"/>
    <w:rsid w:val="6A9660C9"/>
    <w:rsid w:val="6AA3395C"/>
    <w:rsid w:val="6AB41F28"/>
    <w:rsid w:val="6AB605A7"/>
    <w:rsid w:val="6B0331B8"/>
    <w:rsid w:val="6C6251BD"/>
    <w:rsid w:val="6C9B6E4A"/>
    <w:rsid w:val="6CEE7B9B"/>
    <w:rsid w:val="6CFC78C7"/>
    <w:rsid w:val="6D196605"/>
    <w:rsid w:val="6D3C3528"/>
    <w:rsid w:val="6D8E6248"/>
    <w:rsid w:val="6DEC2D30"/>
    <w:rsid w:val="6E7B07B6"/>
    <w:rsid w:val="6E9D1541"/>
    <w:rsid w:val="6ECF204C"/>
    <w:rsid w:val="6F3A59BA"/>
    <w:rsid w:val="6F791155"/>
    <w:rsid w:val="70526E7F"/>
    <w:rsid w:val="70753945"/>
    <w:rsid w:val="70D32F6E"/>
    <w:rsid w:val="70ED5612"/>
    <w:rsid w:val="71265DA7"/>
    <w:rsid w:val="71327EAB"/>
    <w:rsid w:val="718A6158"/>
    <w:rsid w:val="71A8573A"/>
    <w:rsid w:val="72554FA1"/>
    <w:rsid w:val="72F643E4"/>
    <w:rsid w:val="7338168C"/>
    <w:rsid w:val="733D0D95"/>
    <w:rsid w:val="74385BBE"/>
    <w:rsid w:val="761C0F14"/>
    <w:rsid w:val="7691034D"/>
    <w:rsid w:val="76912CAF"/>
    <w:rsid w:val="774405E4"/>
    <w:rsid w:val="776F5E0E"/>
    <w:rsid w:val="77715B29"/>
    <w:rsid w:val="7811299F"/>
    <w:rsid w:val="781B437E"/>
    <w:rsid w:val="78B716DA"/>
    <w:rsid w:val="78E85CC7"/>
    <w:rsid w:val="79393F5A"/>
    <w:rsid w:val="793F09A8"/>
    <w:rsid w:val="79A45344"/>
    <w:rsid w:val="7A770E0E"/>
    <w:rsid w:val="7AD41E5D"/>
    <w:rsid w:val="7B067A7B"/>
    <w:rsid w:val="7B307437"/>
    <w:rsid w:val="7B7640F8"/>
    <w:rsid w:val="7BE823B6"/>
    <w:rsid w:val="7BFD67A3"/>
    <w:rsid w:val="7C456448"/>
    <w:rsid w:val="7CB400F8"/>
    <w:rsid w:val="7CCD72AA"/>
    <w:rsid w:val="7CD506E3"/>
    <w:rsid w:val="7CDB15DD"/>
    <w:rsid w:val="7CFE6A92"/>
    <w:rsid w:val="7D2C5EE0"/>
    <w:rsid w:val="7E0F2B4E"/>
    <w:rsid w:val="7EA372BD"/>
    <w:rsid w:val="7F74591C"/>
    <w:rsid w:val="7FF5632E"/>
    <w:rsid w:val="97AFA6EF"/>
    <w:rsid w:val="DEFD6880"/>
    <w:rsid w:val="EEFE2613"/>
    <w:rsid w:val="FB3FB25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iPriority="99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iPriority="99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iPriority="99" w:name="Strong"/>
    <w:lsdException w:uiPriority="99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1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qFormat/>
    <w:uiPriority w:val="0"/>
    <w:pPr>
      <w:widowControl w:val="0"/>
      <w:spacing w:after="120"/>
      <w:ind w:left="420"/>
      <w:jc w:val="both"/>
    </w:pPr>
    <w:rPr>
      <w:rFonts w:ascii="Times New Roman" w:hAnsi="Times New Roman" w:eastAsia="宋体" w:cs="Times New Roman"/>
      <w:kern w:val="1"/>
      <w:sz w:val="21"/>
      <w:szCs w:val="24"/>
      <w:lang w:val="en-US" w:eastAsia="zh-CN" w:bidi="ar-SA"/>
    </w:rPr>
  </w:style>
  <w:style w:type="paragraph" w:styleId="3">
    <w:name w:val="Body Text Indent 2"/>
    <w:qFormat/>
    <w:uiPriority w:val="0"/>
    <w:pPr>
      <w:widowControl w:val="0"/>
      <w:spacing w:after="120" w:line="480" w:lineRule="auto"/>
      <w:ind w:left="420"/>
      <w:jc w:val="both"/>
    </w:pPr>
    <w:rPr>
      <w:rFonts w:ascii="Times New Roman" w:hAnsi="Times New Roman" w:eastAsia="宋体" w:cs="Times New Roman"/>
      <w:kern w:val="1"/>
      <w:sz w:val="21"/>
      <w:szCs w:val="24"/>
      <w:lang w:val="en-US" w:eastAsia="zh-CN" w:bidi="ar-SA"/>
    </w:rPr>
  </w:style>
  <w:style w:type="paragraph" w:styleId="4">
    <w:name w:val="Balloon Text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1"/>
      <w:sz w:val="18"/>
      <w:szCs w:val="18"/>
      <w:lang w:val="en-US" w:eastAsia="zh-CN" w:bidi="ar-SA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6">
    <w:name w:val="header"/>
    <w:qFormat/>
    <w:uiPriority w:val="0"/>
    <w:pPr>
      <w:widowControl w:val="0"/>
      <w:pBdr>
        <w:top w:val="none" w:color="000000" w:sz="0" w:space="3"/>
        <w:left w:val="none" w:color="000000" w:sz="0" w:space="3"/>
        <w:bottom w:val="single" w:color="000000" w:sz="6" w:space="1"/>
        <w:right w:val="none" w:color="000000" w:sz="0" w:space="3"/>
        <w:between w:val="none" w:color="000000" w:sz="0" w:space="0"/>
      </w:pBdr>
      <w:shd w:val="solid" w:color="auto" w:fill="auto"/>
      <w:tabs>
        <w:tab w:val="center" w:pos="4153"/>
        <w:tab w:val="right" w:pos="8306"/>
      </w:tabs>
      <w:jc w:val="center"/>
    </w:pPr>
    <w:rPr>
      <w:rFonts w:ascii="Times New Roman" w:hAnsi="Times New Roman" w:eastAsia="宋体" w:cs="Times New Roman"/>
      <w:kern w:val="1"/>
      <w:sz w:val="18"/>
      <w:szCs w:val="18"/>
      <w:lang w:val="en-US" w:eastAsia="zh-CN" w:bidi="ar-SA"/>
    </w:rPr>
  </w:style>
  <w:style w:type="table" w:styleId="8">
    <w:name w:val="Table Grid"/>
    <w:basedOn w:val="7"/>
    <w:semiHidden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basedOn w:val="9"/>
    <w:qFormat/>
    <w:uiPriority w:val="0"/>
  </w:style>
  <w:style w:type="paragraph" w:customStyle="1" w:styleId="11">
    <w:name w:val="3"/>
    <w:next w:val="3"/>
    <w:qFormat/>
    <w:uiPriority w:val="0"/>
    <w:pPr>
      <w:widowControl w:val="0"/>
      <w:spacing w:line="520" w:lineRule="exact"/>
      <w:ind w:left="899" w:hanging="899"/>
      <w:jc w:val="both"/>
    </w:pPr>
    <w:rPr>
      <w:rFonts w:ascii="Times New Roman" w:hAnsi="Times New Roman" w:eastAsia="仿宋_GB2312" w:cs="Times New Roman"/>
      <w:kern w:val="1"/>
      <w:sz w:val="28"/>
      <w:szCs w:val="24"/>
      <w:lang w:val="en-US" w:eastAsia="zh-CN" w:bidi="ar-SA"/>
    </w:rPr>
  </w:style>
  <w:style w:type="character" w:customStyle="1" w:styleId="12">
    <w:name w:val="NormalCharacter"/>
    <w:qFormat/>
    <w:uiPriority w:val="0"/>
    <w:rPr>
      <w:rFonts w:ascii="Calibri" w:hAnsi="Calibri" w:eastAsia="Calibri"/>
      <w:kern w:val="0"/>
      <w:sz w:val="20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宋体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4</Pages>
  <Words>1497</Words>
  <Characters>2365</Characters>
  <Lines>24</Lines>
  <Paragraphs>6</Paragraphs>
  <TotalTime>11</TotalTime>
  <ScaleCrop>false</ScaleCrop>
  <LinksUpToDate>false</LinksUpToDate>
  <CharactersWithSpaces>2753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2022-11-29T02:12:00Z</dcterms:created>
  <dc:creator>admin</dc:creator>
  <cp:lastModifiedBy>万水千山</cp:lastModifiedBy>
  <cp:lastPrinted>2026-02-28T03:16:00Z</cp:lastPrinted>
  <dcterms:modified xsi:type="dcterms:W3CDTF">2026-03-02T06:59:37Z</dcterms:modified>
  <dc:title>编号：2007070001</dc:title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4DFD876C7FB94866BE89910F4C5B9CAC_13</vt:lpwstr>
  </property>
  <property fmtid="{D5CDD505-2E9C-101B-9397-08002B2CF9AE}" pid="4" name="KSOTemplateDocerSaveRecord">
    <vt:lpwstr>eyJoZGlkIjoiZDMxMmYwYjQ4ZmY2NTcwODNmZjhjOTc2MjA3ZGZlZTMiLCJ1c2VySWQiOiIyNDkwMDk0MTUifQ==</vt:lpwstr>
  </property>
</Properties>
</file>