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jc w:val="both"/>
        <w:rPr>
          <w:rFonts w:ascii="方正姚体" w:hAnsi="宋体" w:eastAsia="方正姚体" w:cs="Times New Roman"/>
          <w:sz w:val="48"/>
          <w:szCs w:val="24"/>
        </w:rPr>
      </w:pPr>
      <w:bookmarkStart w:id="0" w:name="_Toc57680015"/>
    </w:p>
    <w:p>
      <w:pPr>
        <w:spacing w:line="360" w:lineRule="auto"/>
        <w:jc w:val="center"/>
        <w:rPr>
          <w:rFonts w:ascii="黑体" w:hAnsi="黑体" w:eastAsia="黑体" w:cs="黑体"/>
          <w:b/>
          <w:sz w:val="52"/>
          <w:szCs w:val="52"/>
        </w:rPr>
      </w:pPr>
      <w:r>
        <w:rPr>
          <w:rFonts w:hint="eastAsia" w:ascii="黑体" w:hAnsi="黑体" w:eastAsia="黑体" w:cs="黑体"/>
          <w:b/>
          <w:sz w:val="52"/>
          <w:szCs w:val="52"/>
        </w:rPr>
        <w:t>南昌市矿产资源总体规划</w:t>
      </w:r>
    </w:p>
    <w:p>
      <w:pPr>
        <w:spacing w:before="120" w:beforeLines="50" w:line="360" w:lineRule="auto"/>
        <w:jc w:val="center"/>
        <w:rPr>
          <w:rFonts w:ascii="黑体" w:hAnsi="黑体" w:eastAsia="黑体" w:cs="黑体"/>
          <w:sz w:val="36"/>
          <w:szCs w:val="24"/>
        </w:rPr>
      </w:pPr>
      <w:r>
        <w:rPr>
          <w:rFonts w:ascii="Times New Roman" w:hAnsi="Times New Roman" w:eastAsia="仿宋" w:cs="Times New Roman"/>
          <w:b/>
          <w:sz w:val="52"/>
          <w:szCs w:val="44"/>
        </w:rPr>
        <w:t>（2021</w:t>
      </w:r>
      <w:r>
        <w:rPr>
          <w:rFonts w:hint="eastAsia" w:ascii="Times New Roman" w:hAnsi="Times New Roman" w:eastAsia="仿宋" w:cs="Times New Roman"/>
          <w:b/>
          <w:sz w:val="52"/>
          <w:szCs w:val="44"/>
        </w:rPr>
        <w:t>—</w:t>
      </w:r>
      <w:r>
        <w:rPr>
          <w:rFonts w:ascii="Times New Roman" w:hAnsi="Times New Roman" w:eastAsia="仿宋" w:cs="Times New Roman"/>
          <w:b/>
          <w:sz w:val="52"/>
          <w:szCs w:val="44"/>
        </w:rPr>
        <w:t>2025年）</w:t>
      </w: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宋体" w:eastAsia="黑体" w:cs="Times New Roman"/>
          <w:sz w:val="36"/>
          <w:szCs w:val="24"/>
        </w:rPr>
      </w:pPr>
    </w:p>
    <w:p>
      <w:pPr>
        <w:jc w:val="center"/>
        <w:rPr>
          <w:rFonts w:ascii="黑体" w:hAnsi="黑体" w:eastAsia="黑体" w:cs="黑体"/>
          <w:b/>
          <w:bCs/>
          <w:sz w:val="32"/>
          <w:szCs w:val="44"/>
        </w:rPr>
      </w:pPr>
      <w:r>
        <w:rPr>
          <w:rFonts w:hint="eastAsia" w:ascii="黑体" w:hAnsi="黑体" w:eastAsia="黑体" w:cs="黑体"/>
          <w:b/>
          <w:bCs/>
          <w:sz w:val="32"/>
          <w:szCs w:val="44"/>
        </w:rPr>
        <w:t>南昌市人民政府</w:t>
      </w:r>
    </w:p>
    <w:p>
      <w:pPr>
        <w:tabs>
          <w:tab w:val="left" w:pos="4678"/>
        </w:tabs>
        <w:spacing w:before="120" w:beforeLines="50" w:after="120" w:afterLines="50" w:line="360" w:lineRule="auto"/>
        <w:jc w:val="center"/>
        <w:rPr>
          <w:rFonts w:ascii="方正姚体" w:hAnsi="宋体" w:eastAsia="方正姚体" w:cs="Times New Roman"/>
          <w:sz w:val="48"/>
          <w:szCs w:val="24"/>
        </w:rPr>
      </w:pPr>
      <w:r>
        <w:rPr>
          <w:rFonts w:hint="eastAsia" w:ascii="Times New Roman" w:hAnsi="Times New Roman" w:eastAsia="黑体" w:cs="Times New Roman"/>
          <w:b/>
          <w:bCs/>
          <w:sz w:val="32"/>
          <w:szCs w:val="44"/>
        </w:rPr>
        <w:t>二〇二二年</w:t>
      </w:r>
      <w:r>
        <w:rPr>
          <w:rFonts w:hint="eastAsia" w:ascii="Times New Roman" w:hAnsi="Times New Roman" w:eastAsia="黑体" w:cs="Times New Roman"/>
          <w:b/>
          <w:bCs/>
          <w:sz w:val="32"/>
          <w:szCs w:val="44"/>
          <w:lang w:val="en-US" w:eastAsia="zh-CN"/>
        </w:rPr>
        <w:t>十</w:t>
      </w:r>
      <w:r>
        <w:rPr>
          <w:rFonts w:hint="eastAsia" w:ascii="Times New Roman" w:hAnsi="Times New Roman" w:eastAsia="黑体" w:cs="Times New Roman"/>
          <w:b/>
          <w:bCs/>
          <w:sz w:val="32"/>
          <w:szCs w:val="44"/>
        </w:rPr>
        <w:t>月</w:t>
      </w:r>
      <w:r>
        <w:rPr>
          <w:rFonts w:ascii="方正姚体" w:hAnsi="宋体" w:eastAsia="方正姚体" w:cs="Times New Roman"/>
          <w:sz w:val="48"/>
          <w:szCs w:val="24"/>
        </w:rPr>
        <w:br w:type="page"/>
      </w:r>
    </w:p>
    <w:p>
      <w:pPr>
        <w:tabs>
          <w:tab w:val="left" w:pos="4678"/>
        </w:tabs>
        <w:spacing w:before="120" w:beforeLines="50" w:after="120" w:afterLines="50" w:line="360" w:lineRule="auto"/>
        <w:jc w:val="center"/>
        <w:outlineLvl w:val="0"/>
        <w:rPr>
          <w:rFonts w:ascii="仿宋_GB2312" w:hAnsi="Calibri" w:eastAsia="仿宋_GB2312" w:cs="Times New Roman"/>
          <w:b/>
          <w:kern w:val="0"/>
          <w:sz w:val="44"/>
        </w:rPr>
        <w:sectPr>
          <w:footerReference r:id="rId3" w:type="default"/>
          <w:pgSz w:w="11910" w:h="16840"/>
          <w:pgMar w:top="1600" w:right="1680" w:bottom="1240" w:left="1680" w:header="0" w:footer="1053" w:gutter="0"/>
          <w:pgNumType w:fmt="decimal" w:start="1"/>
          <w:cols w:space="720" w:num="1"/>
        </w:sectPr>
      </w:pPr>
    </w:p>
    <w:p>
      <w:pPr>
        <w:tabs>
          <w:tab w:val="left" w:pos="4678"/>
        </w:tabs>
        <w:spacing w:before="120" w:beforeLines="50" w:after="120" w:afterLines="50"/>
        <w:jc w:val="center"/>
        <w:outlineLvl w:val="0"/>
      </w:pPr>
      <w:bookmarkStart w:id="1" w:name="_Toc102117044"/>
      <w:bookmarkStart w:id="2" w:name="_Toc104389923"/>
      <w:bookmarkStart w:id="3" w:name="_Toc83025259"/>
      <w:bookmarkStart w:id="4" w:name="_Toc84811109"/>
      <w:bookmarkStart w:id="5" w:name="_Toc85378385"/>
      <w:bookmarkStart w:id="6" w:name="_Toc101399770"/>
      <w:bookmarkStart w:id="7" w:name="_Toc84640702"/>
      <w:bookmarkStart w:id="8" w:name="_Toc80835222"/>
      <w:bookmarkStart w:id="9" w:name="_Toc78893461"/>
      <w:r>
        <w:rPr>
          <w:rFonts w:hint="eastAsia" w:ascii="仿宋_GB2312" w:hAnsi="Calibri" w:eastAsia="仿宋_GB2312" w:cs="Times New Roman"/>
          <w:b/>
          <w:kern w:val="0"/>
          <w:sz w:val="32"/>
        </w:rPr>
        <w:t>目</w:t>
      </w:r>
      <w:r>
        <w:rPr>
          <w:rFonts w:ascii="仿宋_GB2312" w:hAnsi="Calibri" w:eastAsia="仿宋_GB2312" w:cs="Times New Roman"/>
          <w:b/>
          <w:kern w:val="0"/>
          <w:sz w:val="32"/>
        </w:rPr>
        <w:t xml:space="preserve">    </w:t>
      </w:r>
      <w:r>
        <w:rPr>
          <w:rFonts w:hint="eastAsia" w:ascii="仿宋_GB2312" w:hAnsi="Calibri" w:eastAsia="仿宋_GB2312" w:cs="Times New Roman"/>
          <w:b/>
          <w:kern w:val="0"/>
          <w:sz w:val="32"/>
        </w:rPr>
        <w:t>录</w:t>
      </w:r>
      <w:bookmarkEnd w:id="0"/>
      <w:bookmarkEnd w:id="1"/>
      <w:bookmarkEnd w:id="2"/>
      <w:bookmarkEnd w:id="3"/>
      <w:bookmarkEnd w:id="4"/>
      <w:bookmarkEnd w:id="5"/>
      <w:bookmarkEnd w:id="6"/>
      <w:bookmarkEnd w:id="7"/>
      <w:bookmarkEnd w:id="8"/>
      <w:bookmarkEnd w:id="9"/>
      <w:r>
        <w:rPr>
          <w:rFonts w:ascii="仿宋_GB2312" w:eastAsia="仿宋_GB2312" w:cstheme="minorHAnsi"/>
          <w:b/>
          <w:bCs/>
          <w:caps/>
          <w:sz w:val="28"/>
          <w:szCs w:val="28"/>
        </w:rPr>
        <w:fldChar w:fldCharType="begin"/>
      </w:r>
      <w:r>
        <w:rPr>
          <w:rFonts w:ascii="仿宋_GB2312" w:eastAsia="仿宋_GB2312" w:cstheme="minorHAnsi"/>
          <w:b/>
          <w:bCs/>
          <w:caps/>
          <w:sz w:val="28"/>
          <w:szCs w:val="28"/>
        </w:rPr>
        <w:instrText xml:space="preserve"> TOC \o "1-3" \h \z \u </w:instrText>
      </w:r>
      <w:r>
        <w:rPr>
          <w:rFonts w:ascii="仿宋_GB2312" w:eastAsia="仿宋_GB2312" w:cstheme="minorHAnsi"/>
          <w:b/>
          <w:bCs/>
          <w:caps/>
          <w:sz w:val="28"/>
          <w:szCs w:val="28"/>
        </w:rPr>
        <w:fldChar w:fldCharType="separate"/>
      </w:r>
    </w:p>
    <w:p>
      <w:pPr>
        <w:pStyle w:val="8"/>
        <w:tabs>
          <w:tab w:val="right" w:leader="middleDot" w:pos="8540"/>
        </w:tabs>
        <w:spacing w:line="300" w:lineRule="auto"/>
        <w:rPr>
          <w:rFonts w:ascii="Times New Roman" w:hAnsi="Times New Roman" w:eastAsia="仿宋_GB2312" w:cs="Times New Roman"/>
          <w:b w:val="0"/>
          <w:bCs w:val="0"/>
          <w:caps w:val="0"/>
          <w:sz w:val="28"/>
          <w:szCs w:val="28"/>
        </w:rPr>
      </w:pPr>
      <w:r>
        <w:fldChar w:fldCharType="begin"/>
      </w:r>
      <w:r>
        <w:instrText xml:space="preserve"> HYPERLINK \l "_Toc104389924" </w:instrText>
      </w:r>
      <w:r>
        <w:fldChar w:fldCharType="separate"/>
      </w:r>
      <w:r>
        <w:rPr>
          <w:rStyle w:val="14"/>
          <w:rFonts w:ascii="Times New Roman" w:hAnsi="Times New Roman" w:eastAsia="仿宋_GB2312" w:cs="Times New Roman"/>
          <w:b w:val="0"/>
          <w:kern w:val="0"/>
          <w:sz w:val="28"/>
          <w:szCs w:val="28"/>
        </w:rPr>
        <w:t>前    言</w:t>
      </w:r>
      <w:r>
        <w:rPr>
          <w:rFonts w:ascii="Times New Roman" w:hAnsi="Times New Roman" w:eastAsia="仿宋_GB2312" w:cs="Times New Roman"/>
          <w:b w:val="0"/>
          <w:sz w:val="28"/>
          <w:szCs w:val="28"/>
        </w:rPr>
        <w:tab/>
      </w:r>
      <w:r>
        <w:rPr>
          <w:rFonts w:ascii="Times New Roman" w:hAnsi="Times New Roman" w:eastAsia="仿宋_GB2312" w:cs="Times New Roman"/>
          <w:b w:val="0"/>
          <w:sz w:val="28"/>
          <w:szCs w:val="28"/>
        </w:rPr>
        <w:fldChar w:fldCharType="begin"/>
      </w:r>
      <w:r>
        <w:rPr>
          <w:rFonts w:ascii="Times New Roman" w:hAnsi="Times New Roman" w:eastAsia="仿宋_GB2312" w:cs="Times New Roman"/>
          <w:b w:val="0"/>
          <w:sz w:val="28"/>
          <w:szCs w:val="28"/>
        </w:rPr>
        <w:instrText xml:space="preserve"> PAGEREF _Toc104389924 \h </w:instrText>
      </w:r>
      <w:r>
        <w:rPr>
          <w:rFonts w:ascii="Times New Roman" w:hAnsi="Times New Roman" w:eastAsia="仿宋_GB2312" w:cs="Times New Roman"/>
          <w:b w:val="0"/>
          <w:sz w:val="28"/>
          <w:szCs w:val="28"/>
        </w:rPr>
        <w:fldChar w:fldCharType="separate"/>
      </w:r>
      <w:r>
        <w:rPr>
          <w:rFonts w:ascii="Times New Roman" w:hAnsi="Times New Roman" w:eastAsia="仿宋_GB2312" w:cs="Times New Roman"/>
          <w:b w:val="0"/>
          <w:sz w:val="28"/>
          <w:szCs w:val="28"/>
        </w:rPr>
        <w:t>4</w:t>
      </w:r>
      <w:r>
        <w:rPr>
          <w:rFonts w:ascii="Times New Roman" w:hAnsi="Times New Roman" w:eastAsia="仿宋_GB2312" w:cs="Times New Roman"/>
          <w:b w:val="0"/>
          <w:sz w:val="28"/>
          <w:szCs w:val="28"/>
        </w:rPr>
        <w:fldChar w:fldCharType="end"/>
      </w:r>
      <w:r>
        <w:rPr>
          <w:rFonts w:ascii="Times New Roman" w:hAnsi="Times New Roman" w:eastAsia="仿宋_GB2312" w:cs="Times New Roman"/>
          <w:b w:val="0"/>
          <w:sz w:val="28"/>
          <w:szCs w:val="28"/>
        </w:rPr>
        <w:fldChar w:fldCharType="end"/>
      </w:r>
    </w:p>
    <w:p>
      <w:pPr>
        <w:pStyle w:val="8"/>
        <w:tabs>
          <w:tab w:val="right" w:leader="middleDot" w:pos="8540"/>
        </w:tabs>
        <w:spacing w:line="300" w:lineRule="auto"/>
        <w:rPr>
          <w:rFonts w:ascii="Times New Roman" w:hAnsi="Times New Roman" w:eastAsia="仿宋_GB2312" w:cs="Times New Roman"/>
          <w:b w:val="0"/>
          <w:bCs w:val="0"/>
          <w:caps w:val="0"/>
          <w:sz w:val="28"/>
          <w:szCs w:val="28"/>
        </w:rPr>
      </w:pPr>
      <w:r>
        <w:fldChar w:fldCharType="begin"/>
      </w:r>
      <w:r>
        <w:instrText xml:space="preserve"> HYPERLINK \l "_Toc104389925" </w:instrText>
      </w:r>
      <w:r>
        <w:fldChar w:fldCharType="separate"/>
      </w:r>
      <w:r>
        <w:rPr>
          <w:rStyle w:val="14"/>
          <w:rFonts w:ascii="Times New Roman" w:hAnsi="Times New Roman" w:eastAsia="仿宋_GB2312" w:cs="Times New Roman"/>
          <w:b w:val="0"/>
          <w:kern w:val="0"/>
          <w:sz w:val="28"/>
          <w:szCs w:val="28"/>
        </w:rPr>
        <w:t>第一章  现状与形势</w:t>
      </w:r>
      <w:r>
        <w:rPr>
          <w:rFonts w:ascii="Times New Roman" w:hAnsi="Times New Roman" w:eastAsia="仿宋_GB2312" w:cs="Times New Roman"/>
          <w:b w:val="0"/>
          <w:sz w:val="28"/>
          <w:szCs w:val="28"/>
        </w:rPr>
        <w:tab/>
      </w:r>
      <w:r>
        <w:rPr>
          <w:rFonts w:ascii="Times New Roman" w:hAnsi="Times New Roman" w:eastAsia="仿宋_GB2312" w:cs="Times New Roman"/>
          <w:b w:val="0"/>
          <w:sz w:val="28"/>
          <w:szCs w:val="28"/>
        </w:rPr>
        <w:fldChar w:fldCharType="begin"/>
      </w:r>
      <w:r>
        <w:rPr>
          <w:rFonts w:ascii="Times New Roman" w:hAnsi="Times New Roman" w:eastAsia="仿宋_GB2312" w:cs="Times New Roman"/>
          <w:b w:val="0"/>
          <w:sz w:val="28"/>
          <w:szCs w:val="28"/>
        </w:rPr>
        <w:instrText xml:space="preserve"> PAGEREF _Toc104389925 \h </w:instrText>
      </w:r>
      <w:r>
        <w:rPr>
          <w:rFonts w:ascii="Times New Roman" w:hAnsi="Times New Roman" w:eastAsia="仿宋_GB2312" w:cs="Times New Roman"/>
          <w:b w:val="0"/>
          <w:sz w:val="28"/>
          <w:szCs w:val="28"/>
        </w:rPr>
        <w:fldChar w:fldCharType="separate"/>
      </w:r>
      <w:r>
        <w:rPr>
          <w:rFonts w:ascii="Times New Roman" w:hAnsi="Times New Roman" w:eastAsia="仿宋_GB2312" w:cs="Times New Roman"/>
          <w:b w:val="0"/>
          <w:sz w:val="28"/>
          <w:szCs w:val="28"/>
        </w:rPr>
        <w:t>5</w:t>
      </w:r>
      <w:r>
        <w:rPr>
          <w:rFonts w:ascii="Times New Roman" w:hAnsi="Times New Roman" w:eastAsia="仿宋_GB2312" w:cs="Times New Roman"/>
          <w:b w:val="0"/>
          <w:sz w:val="28"/>
          <w:szCs w:val="28"/>
        </w:rPr>
        <w:fldChar w:fldCharType="end"/>
      </w:r>
      <w:r>
        <w:rPr>
          <w:rFonts w:ascii="Times New Roman" w:hAnsi="Times New Roman" w:eastAsia="仿宋_GB2312" w:cs="Times New Roman"/>
          <w:b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"_Toc104389926" </w:instrText>
      </w:r>
      <w:r>
        <w:fldChar w:fldCharType="separate"/>
      </w:r>
      <w:r>
        <w:rPr>
          <w:rStyle w:val="14"/>
          <w:rFonts w:ascii="Times New Roman" w:hAnsi="Times New Roman" w:eastAsia="仿宋_GB2312" w:cs="Times New Roman"/>
          <w:kern w:val="0"/>
          <w:sz w:val="28"/>
          <w:szCs w:val="28"/>
        </w:rPr>
        <w:t>第一节  发展现状</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_Toc104389926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5</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"_Toc104389927" </w:instrText>
      </w:r>
      <w:r>
        <w:fldChar w:fldCharType="separate"/>
      </w:r>
      <w:r>
        <w:rPr>
          <w:rStyle w:val="14"/>
          <w:rFonts w:ascii="Times New Roman" w:hAnsi="Times New Roman" w:eastAsia="仿宋_GB2312" w:cs="Times New Roman"/>
          <w:i w:val="0"/>
          <w:kern w:val="0"/>
          <w:sz w:val="28"/>
          <w:szCs w:val="28"/>
        </w:rPr>
        <w:t>一、矿产资源特点</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_Toc104389927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5</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"_Toc104389928" </w:instrText>
      </w:r>
      <w:r>
        <w:fldChar w:fldCharType="separate"/>
      </w:r>
      <w:r>
        <w:rPr>
          <w:rStyle w:val="14"/>
          <w:rFonts w:ascii="Times New Roman" w:hAnsi="Times New Roman" w:eastAsia="仿宋_GB2312" w:cs="Times New Roman"/>
          <w:i w:val="0"/>
          <w:kern w:val="0"/>
          <w:sz w:val="28"/>
          <w:szCs w:val="28"/>
        </w:rPr>
        <w:t>二、上轮规划实施成效与不足</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_Toc104389928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7</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"_Toc104389929" </w:instrText>
      </w:r>
      <w:r>
        <w:fldChar w:fldCharType="separate"/>
      </w:r>
      <w:r>
        <w:rPr>
          <w:rStyle w:val="14"/>
          <w:rFonts w:ascii="Times New Roman" w:hAnsi="Times New Roman" w:eastAsia="仿宋_GB2312" w:cs="Times New Roman"/>
          <w:kern w:val="0"/>
          <w:sz w:val="28"/>
          <w:szCs w:val="28"/>
        </w:rPr>
        <w:t>第二节  形势要求</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_Toc104389929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8</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"_Toc104389930" </w:instrText>
      </w:r>
      <w:r>
        <w:fldChar w:fldCharType="separate"/>
      </w:r>
      <w:r>
        <w:rPr>
          <w:rStyle w:val="14"/>
          <w:rFonts w:ascii="Times New Roman" w:hAnsi="Times New Roman" w:eastAsia="仿宋_GB2312" w:cs="Times New Roman"/>
          <w:i w:val="0"/>
          <w:kern w:val="0"/>
          <w:sz w:val="28"/>
          <w:szCs w:val="28"/>
        </w:rPr>
        <w:t>一、矿产资源形势</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_Toc104389930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9</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"_Toc104389931" </w:instrText>
      </w:r>
      <w:r>
        <w:fldChar w:fldCharType="separate"/>
      </w:r>
      <w:r>
        <w:rPr>
          <w:rStyle w:val="14"/>
          <w:rFonts w:ascii="Times New Roman" w:hAnsi="Times New Roman" w:eastAsia="仿宋_GB2312" w:cs="Times New Roman"/>
          <w:i w:val="0"/>
          <w:kern w:val="0"/>
          <w:sz w:val="28"/>
          <w:szCs w:val="28"/>
        </w:rPr>
        <w:t>二、要求</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_Toc104389931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10</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8"/>
        <w:tabs>
          <w:tab w:val="right" w:leader="middleDot" w:pos="8540"/>
        </w:tabs>
        <w:spacing w:line="300" w:lineRule="auto"/>
        <w:rPr>
          <w:rFonts w:ascii="Times New Roman" w:hAnsi="Times New Roman" w:eastAsia="仿宋_GB2312" w:cs="Times New Roman"/>
          <w:b w:val="0"/>
          <w:bCs w:val="0"/>
          <w:caps w:val="0"/>
          <w:sz w:val="28"/>
          <w:szCs w:val="28"/>
        </w:rPr>
      </w:pPr>
      <w:r>
        <w:fldChar w:fldCharType="begin"/>
      </w:r>
      <w:r>
        <w:instrText xml:space="preserve"> HYPERLINK \l "_Toc104389932" </w:instrText>
      </w:r>
      <w:r>
        <w:fldChar w:fldCharType="separate"/>
      </w:r>
      <w:r>
        <w:rPr>
          <w:rStyle w:val="14"/>
          <w:rFonts w:ascii="Times New Roman" w:hAnsi="Times New Roman" w:eastAsia="仿宋_GB2312" w:cs="Times New Roman"/>
          <w:b w:val="0"/>
          <w:kern w:val="0"/>
          <w:sz w:val="28"/>
          <w:szCs w:val="28"/>
        </w:rPr>
        <w:t>第二章  指导思想和基本原则</w:t>
      </w:r>
      <w:r>
        <w:rPr>
          <w:rFonts w:ascii="Times New Roman" w:hAnsi="Times New Roman" w:eastAsia="仿宋_GB2312" w:cs="Times New Roman"/>
          <w:b w:val="0"/>
          <w:sz w:val="28"/>
          <w:szCs w:val="28"/>
        </w:rPr>
        <w:tab/>
      </w:r>
      <w:r>
        <w:rPr>
          <w:rFonts w:ascii="Times New Roman" w:hAnsi="Times New Roman" w:eastAsia="仿宋_GB2312" w:cs="Times New Roman"/>
          <w:b w:val="0"/>
          <w:sz w:val="28"/>
          <w:szCs w:val="28"/>
        </w:rPr>
        <w:fldChar w:fldCharType="begin"/>
      </w:r>
      <w:r>
        <w:rPr>
          <w:rFonts w:ascii="Times New Roman" w:hAnsi="Times New Roman" w:eastAsia="仿宋_GB2312" w:cs="Times New Roman"/>
          <w:b w:val="0"/>
          <w:sz w:val="28"/>
          <w:szCs w:val="28"/>
        </w:rPr>
        <w:instrText xml:space="preserve"> PAGEREF _Toc104389932 \h </w:instrText>
      </w:r>
      <w:r>
        <w:rPr>
          <w:rFonts w:ascii="Times New Roman" w:hAnsi="Times New Roman" w:eastAsia="仿宋_GB2312" w:cs="Times New Roman"/>
          <w:b w:val="0"/>
          <w:sz w:val="28"/>
          <w:szCs w:val="28"/>
        </w:rPr>
        <w:fldChar w:fldCharType="separate"/>
      </w:r>
      <w:r>
        <w:rPr>
          <w:rFonts w:ascii="Times New Roman" w:hAnsi="Times New Roman" w:eastAsia="仿宋_GB2312" w:cs="Times New Roman"/>
          <w:b w:val="0"/>
          <w:sz w:val="28"/>
          <w:szCs w:val="28"/>
        </w:rPr>
        <w:t>12</w:t>
      </w:r>
      <w:r>
        <w:rPr>
          <w:rFonts w:ascii="Times New Roman" w:hAnsi="Times New Roman" w:eastAsia="仿宋_GB2312" w:cs="Times New Roman"/>
          <w:b w:val="0"/>
          <w:sz w:val="28"/>
          <w:szCs w:val="28"/>
        </w:rPr>
        <w:fldChar w:fldCharType="end"/>
      </w:r>
      <w:r>
        <w:rPr>
          <w:rFonts w:ascii="Times New Roman" w:hAnsi="Times New Roman" w:eastAsia="仿宋_GB2312" w:cs="Times New Roman"/>
          <w:b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"_Toc104389933" </w:instrText>
      </w:r>
      <w:r>
        <w:fldChar w:fldCharType="separate"/>
      </w:r>
      <w:r>
        <w:rPr>
          <w:rStyle w:val="14"/>
          <w:rFonts w:ascii="Times New Roman" w:hAnsi="Times New Roman" w:eastAsia="仿宋_GB2312" w:cs="Times New Roman"/>
          <w:kern w:val="0"/>
          <w:sz w:val="28"/>
          <w:szCs w:val="28"/>
        </w:rPr>
        <w:t>第一节  指导思想</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_Toc104389933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12</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"_Toc104389934" </w:instrText>
      </w:r>
      <w:r>
        <w:fldChar w:fldCharType="separate"/>
      </w:r>
      <w:r>
        <w:rPr>
          <w:rStyle w:val="14"/>
          <w:rFonts w:ascii="Times New Roman" w:hAnsi="Times New Roman" w:eastAsia="仿宋_GB2312" w:cs="Times New Roman"/>
          <w:kern w:val="0"/>
          <w:sz w:val="28"/>
          <w:szCs w:val="28"/>
        </w:rPr>
        <w:t>第二节  基本原则</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_Toc104389934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12</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"_Toc104389935" </w:instrText>
      </w:r>
      <w:r>
        <w:fldChar w:fldCharType="separate"/>
      </w:r>
      <w:r>
        <w:rPr>
          <w:rStyle w:val="14"/>
          <w:rFonts w:ascii="Times New Roman" w:hAnsi="Times New Roman" w:eastAsia="仿宋_GB2312" w:cs="Times New Roman"/>
          <w:i w:val="0"/>
          <w:kern w:val="0"/>
          <w:sz w:val="28"/>
          <w:szCs w:val="28"/>
        </w:rPr>
        <w:t>一、坚持需求导向，服务地方经济发展</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_Toc104389935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12</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"_Toc104389936" </w:instrText>
      </w:r>
      <w:r>
        <w:fldChar w:fldCharType="separate"/>
      </w:r>
      <w:r>
        <w:rPr>
          <w:rStyle w:val="14"/>
          <w:rFonts w:ascii="Times New Roman" w:hAnsi="Times New Roman" w:eastAsia="仿宋_GB2312" w:cs="Times New Roman"/>
          <w:i w:val="0"/>
          <w:kern w:val="0"/>
          <w:sz w:val="28"/>
          <w:szCs w:val="28"/>
        </w:rPr>
        <w:t>二、坚持节约资源，实现资源高效利用</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_Toc104389936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12</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"_Toc104389937" </w:instrText>
      </w:r>
      <w:r>
        <w:fldChar w:fldCharType="separate"/>
      </w:r>
      <w:r>
        <w:rPr>
          <w:rStyle w:val="14"/>
          <w:rFonts w:ascii="Times New Roman" w:hAnsi="Times New Roman" w:eastAsia="仿宋_GB2312" w:cs="Times New Roman"/>
          <w:i w:val="0"/>
          <w:kern w:val="0"/>
          <w:sz w:val="28"/>
          <w:szCs w:val="28"/>
        </w:rPr>
        <w:t>三、坚持绿色开采，实现矿业绿色发展</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_Toc104389937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13</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"_Toc104389938" </w:instrText>
      </w:r>
      <w:r>
        <w:fldChar w:fldCharType="separate"/>
      </w:r>
      <w:r>
        <w:rPr>
          <w:rStyle w:val="14"/>
          <w:rFonts w:ascii="Times New Roman" w:hAnsi="Times New Roman" w:eastAsia="仿宋_GB2312" w:cs="Times New Roman"/>
          <w:i w:val="0"/>
          <w:kern w:val="0"/>
          <w:sz w:val="28"/>
          <w:szCs w:val="28"/>
        </w:rPr>
        <w:t>四、坚持共享发展，促进矿业经济发展</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_Toc104389938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13</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8"/>
        <w:tabs>
          <w:tab w:val="right" w:leader="middleDot" w:pos="8540"/>
        </w:tabs>
        <w:spacing w:line="300" w:lineRule="auto"/>
        <w:rPr>
          <w:rFonts w:ascii="Times New Roman" w:hAnsi="Times New Roman" w:eastAsia="仿宋_GB2312" w:cs="Times New Roman"/>
          <w:b w:val="0"/>
          <w:bCs w:val="0"/>
          <w:caps w:val="0"/>
          <w:sz w:val="28"/>
          <w:szCs w:val="28"/>
        </w:rPr>
      </w:pPr>
      <w:r>
        <w:fldChar w:fldCharType="begin"/>
      </w:r>
      <w:r>
        <w:instrText xml:space="preserve"> HYPERLINK \l "_Toc104389939" </w:instrText>
      </w:r>
      <w:r>
        <w:fldChar w:fldCharType="separate"/>
      </w:r>
      <w:r>
        <w:rPr>
          <w:rStyle w:val="14"/>
          <w:rFonts w:ascii="Times New Roman" w:hAnsi="Times New Roman" w:eastAsia="仿宋_GB2312" w:cs="Times New Roman"/>
          <w:b w:val="0"/>
          <w:kern w:val="0"/>
          <w:sz w:val="28"/>
          <w:szCs w:val="28"/>
        </w:rPr>
        <w:t>第三章  规划目标与指标</w:t>
      </w:r>
      <w:r>
        <w:rPr>
          <w:rFonts w:ascii="Times New Roman" w:hAnsi="Times New Roman" w:eastAsia="仿宋_GB2312" w:cs="Times New Roman"/>
          <w:b w:val="0"/>
          <w:sz w:val="28"/>
          <w:szCs w:val="28"/>
        </w:rPr>
        <w:tab/>
      </w:r>
      <w:r>
        <w:rPr>
          <w:rFonts w:ascii="Times New Roman" w:hAnsi="Times New Roman" w:eastAsia="仿宋_GB2312" w:cs="Times New Roman"/>
          <w:b w:val="0"/>
          <w:sz w:val="28"/>
          <w:szCs w:val="28"/>
        </w:rPr>
        <w:fldChar w:fldCharType="begin"/>
      </w:r>
      <w:r>
        <w:rPr>
          <w:rFonts w:ascii="Times New Roman" w:hAnsi="Times New Roman" w:eastAsia="仿宋_GB2312" w:cs="Times New Roman"/>
          <w:b w:val="0"/>
          <w:sz w:val="28"/>
          <w:szCs w:val="28"/>
        </w:rPr>
        <w:instrText xml:space="preserve"> PAGEREF _Toc104389939 \h </w:instrText>
      </w:r>
      <w:r>
        <w:rPr>
          <w:rFonts w:ascii="Times New Roman" w:hAnsi="Times New Roman" w:eastAsia="仿宋_GB2312" w:cs="Times New Roman"/>
          <w:b w:val="0"/>
          <w:sz w:val="28"/>
          <w:szCs w:val="28"/>
        </w:rPr>
        <w:fldChar w:fldCharType="separate"/>
      </w:r>
      <w:r>
        <w:rPr>
          <w:rFonts w:ascii="Times New Roman" w:hAnsi="Times New Roman" w:eastAsia="仿宋_GB2312" w:cs="Times New Roman"/>
          <w:b w:val="0"/>
          <w:sz w:val="28"/>
          <w:szCs w:val="28"/>
        </w:rPr>
        <w:t>14</w:t>
      </w:r>
      <w:r>
        <w:rPr>
          <w:rFonts w:ascii="Times New Roman" w:hAnsi="Times New Roman" w:eastAsia="仿宋_GB2312" w:cs="Times New Roman"/>
          <w:b w:val="0"/>
          <w:sz w:val="28"/>
          <w:szCs w:val="28"/>
        </w:rPr>
        <w:fldChar w:fldCharType="end"/>
      </w:r>
      <w:r>
        <w:rPr>
          <w:rFonts w:ascii="Times New Roman" w:hAnsi="Times New Roman" w:eastAsia="仿宋_GB2312" w:cs="Times New Roman"/>
          <w:b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"_Toc104389940" </w:instrText>
      </w:r>
      <w:r>
        <w:fldChar w:fldCharType="separate"/>
      </w:r>
      <w:r>
        <w:rPr>
          <w:rStyle w:val="14"/>
          <w:rFonts w:ascii="Times New Roman" w:hAnsi="Times New Roman" w:eastAsia="仿宋_GB2312" w:cs="Times New Roman"/>
          <w:kern w:val="0"/>
          <w:sz w:val="28"/>
          <w:szCs w:val="28"/>
        </w:rPr>
        <w:t>第一节  2025年规划目标与指标</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_Toc104389940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14</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"_Toc104389941" </w:instrText>
      </w:r>
      <w:r>
        <w:fldChar w:fldCharType="separate"/>
      </w:r>
      <w:r>
        <w:rPr>
          <w:rStyle w:val="14"/>
          <w:rFonts w:ascii="Times New Roman" w:hAnsi="Times New Roman" w:eastAsia="仿宋_GB2312" w:cs="Times New Roman"/>
          <w:kern w:val="0"/>
          <w:sz w:val="28"/>
          <w:szCs w:val="28"/>
        </w:rPr>
        <w:t>第二节  2035年展望</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_Toc104389941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15</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8"/>
        <w:tabs>
          <w:tab w:val="right" w:leader="middleDot" w:pos="8540"/>
        </w:tabs>
        <w:spacing w:line="300" w:lineRule="auto"/>
        <w:rPr>
          <w:rFonts w:ascii="Times New Roman" w:hAnsi="Times New Roman" w:eastAsia="仿宋_GB2312" w:cs="Times New Roman"/>
          <w:b w:val="0"/>
          <w:bCs w:val="0"/>
          <w:caps w:val="0"/>
          <w:sz w:val="28"/>
          <w:szCs w:val="28"/>
        </w:rPr>
      </w:pPr>
      <w:r>
        <w:fldChar w:fldCharType="begin"/>
      </w:r>
      <w:r>
        <w:instrText xml:space="preserve"> HYPERLINK \l "_Toc104389942" </w:instrText>
      </w:r>
      <w:r>
        <w:fldChar w:fldCharType="separate"/>
      </w:r>
      <w:r>
        <w:rPr>
          <w:rStyle w:val="14"/>
          <w:rFonts w:ascii="Times New Roman" w:hAnsi="Times New Roman" w:eastAsia="仿宋_GB2312" w:cs="Times New Roman"/>
          <w:b w:val="0"/>
          <w:kern w:val="0"/>
          <w:sz w:val="28"/>
          <w:szCs w:val="28"/>
        </w:rPr>
        <w:t>第四章  规划布局</w:t>
      </w:r>
      <w:r>
        <w:rPr>
          <w:rFonts w:ascii="Times New Roman" w:hAnsi="Times New Roman" w:eastAsia="仿宋_GB2312" w:cs="Times New Roman"/>
          <w:b w:val="0"/>
          <w:sz w:val="28"/>
          <w:szCs w:val="28"/>
        </w:rPr>
        <w:tab/>
      </w:r>
      <w:r>
        <w:rPr>
          <w:rFonts w:ascii="Times New Roman" w:hAnsi="Times New Roman" w:eastAsia="仿宋_GB2312" w:cs="Times New Roman"/>
          <w:b w:val="0"/>
          <w:sz w:val="28"/>
          <w:szCs w:val="28"/>
        </w:rPr>
        <w:fldChar w:fldCharType="begin"/>
      </w:r>
      <w:r>
        <w:rPr>
          <w:rFonts w:ascii="Times New Roman" w:hAnsi="Times New Roman" w:eastAsia="仿宋_GB2312" w:cs="Times New Roman"/>
          <w:b w:val="0"/>
          <w:sz w:val="28"/>
          <w:szCs w:val="28"/>
        </w:rPr>
        <w:instrText xml:space="preserve"> PAGEREF _Toc104389942 \h </w:instrText>
      </w:r>
      <w:r>
        <w:rPr>
          <w:rFonts w:ascii="Times New Roman" w:hAnsi="Times New Roman" w:eastAsia="仿宋_GB2312" w:cs="Times New Roman"/>
          <w:b w:val="0"/>
          <w:sz w:val="28"/>
          <w:szCs w:val="28"/>
        </w:rPr>
        <w:fldChar w:fldCharType="separate"/>
      </w:r>
      <w:r>
        <w:rPr>
          <w:rFonts w:ascii="Times New Roman" w:hAnsi="Times New Roman" w:eastAsia="仿宋_GB2312" w:cs="Times New Roman"/>
          <w:b w:val="0"/>
          <w:sz w:val="28"/>
          <w:szCs w:val="28"/>
        </w:rPr>
        <w:t>16</w:t>
      </w:r>
      <w:r>
        <w:rPr>
          <w:rFonts w:ascii="Times New Roman" w:hAnsi="Times New Roman" w:eastAsia="仿宋_GB2312" w:cs="Times New Roman"/>
          <w:b w:val="0"/>
          <w:sz w:val="28"/>
          <w:szCs w:val="28"/>
        </w:rPr>
        <w:fldChar w:fldCharType="end"/>
      </w:r>
      <w:r>
        <w:rPr>
          <w:rFonts w:ascii="Times New Roman" w:hAnsi="Times New Roman" w:eastAsia="仿宋_GB2312" w:cs="Times New Roman"/>
          <w:b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"_Toc104389943" </w:instrText>
      </w:r>
      <w:r>
        <w:fldChar w:fldCharType="separate"/>
      </w:r>
      <w:r>
        <w:rPr>
          <w:rStyle w:val="14"/>
          <w:rFonts w:ascii="Times New Roman" w:hAnsi="Times New Roman" w:eastAsia="仿宋_GB2312" w:cs="Times New Roman"/>
          <w:kern w:val="0"/>
          <w:sz w:val="28"/>
          <w:szCs w:val="28"/>
        </w:rPr>
        <w:t>第一节  矿业发展布局</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_Toc104389943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16</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"_Toc104389944" </w:instrText>
      </w:r>
      <w:r>
        <w:fldChar w:fldCharType="separate"/>
      </w:r>
      <w:r>
        <w:rPr>
          <w:rStyle w:val="14"/>
          <w:rFonts w:ascii="Times New Roman" w:hAnsi="Times New Roman" w:eastAsia="仿宋_GB2312" w:cs="Times New Roman"/>
          <w:i w:val="0"/>
          <w:kern w:val="0"/>
          <w:sz w:val="28"/>
          <w:szCs w:val="28"/>
        </w:rPr>
        <w:t>一、大昌南地区</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_Toc104389944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16</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"_Toc104389945" </w:instrText>
      </w:r>
      <w:r>
        <w:fldChar w:fldCharType="separate"/>
      </w:r>
      <w:r>
        <w:rPr>
          <w:rStyle w:val="14"/>
          <w:rFonts w:ascii="Times New Roman" w:hAnsi="Times New Roman" w:eastAsia="仿宋_GB2312" w:cs="Times New Roman"/>
          <w:i w:val="0"/>
          <w:kern w:val="0"/>
          <w:sz w:val="28"/>
          <w:szCs w:val="28"/>
        </w:rPr>
        <w:t>二、湾里地区</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_Toc104389945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17</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"_Toc104389946" </w:instrText>
      </w:r>
      <w:r>
        <w:fldChar w:fldCharType="separate"/>
      </w:r>
      <w:r>
        <w:rPr>
          <w:rStyle w:val="14"/>
          <w:rFonts w:ascii="Times New Roman" w:hAnsi="Times New Roman" w:eastAsia="仿宋_GB2312" w:cs="Times New Roman"/>
          <w:i w:val="0"/>
          <w:kern w:val="0"/>
          <w:sz w:val="28"/>
          <w:szCs w:val="28"/>
        </w:rPr>
        <w:t>三、进贤地区</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_Toc104389946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17</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"_Toc104389947" </w:instrText>
      </w:r>
      <w:r>
        <w:fldChar w:fldCharType="separate"/>
      </w:r>
      <w:r>
        <w:rPr>
          <w:rStyle w:val="14"/>
          <w:rFonts w:ascii="Times New Roman" w:hAnsi="Times New Roman" w:eastAsia="仿宋_GB2312" w:cs="Times New Roman"/>
          <w:kern w:val="0"/>
          <w:sz w:val="28"/>
          <w:szCs w:val="28"/>
        </w:rPr>
        <w:t>第二节  勘查规划布局</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_Toc104389947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17</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"_Toc104389948" </w:instrText>
      </w:r>
      <w:r>
        <w:fldChar w:fldCharType="separate"/>
      </w:r>
      <w:r>
        <w:rPr>
          <w:rStyle w:val="14"/>
          <w:rFonts w:ascii="Times New Roman" w:hAnsi="Times New Roman" w:eastAsia="仿宋_GB2312" w:cs="Times New Roman"/>
          <w:i w:val="0"/>
          <w:kern w:val="0"/>
          <w:sz w:val="28"/>
          <w:szCs w:val="28"/>
        </w:rPr>
        <w:t>一、重点勘查区</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_Toc104389948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18</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"_Toc104389949" </w:instrText>
      </w:r>
      <w:r>
        <w:fldChar w:fldCharType="separate"/>
      </w:r>
      <w:r>
        <w:rPr>
          <w:rStyle w:val="14"/>
          <w:rFonts w:ascii="Times New Roman" w:hAnsi="Times New Roman" w:eastAsia="仿宋_GB2312" w:cs="Times New Roman"/>
          <w:i w:val="0"/>
          <w:kern w:val="0"/>
          <w:sz w:val="28"/>
          <w:szCs w:val="28"/>
        </w:rPr>
        <w:t>二、勘查规划区块</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_Toc104389949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18</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"_Toc104389950" </w:instrText>
      </w:r>
      <w:r>
        <w:fldChar w:fldCharType="separate"/>
      </w:r>
      <w:r>
        <w:rPr>
          <w:rStyle w:val="14"/>
          <w:rFonts w:ascii="Times New Roman" w:hAnsi="Times New Roman" w:eastAsia="仿宋_GB2312" w:cs="Times New Roman"/>
          <w:kern w:val="0"/>
          <w:sz w:val="28"/>
          <w:szCs w:val="28"/>
        </w:rPr>
        <w:t>第四节  开采规划布局</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_Toc104389950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19</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"_Toc104389951" </w:instrText>
      </w:r>
      <w:r>
        <w:fldChar w:fldCharType="separate"/>
      </w:r>
      <w:r>
        <w:rPr>
          <w:rStyle w:val="14"/>
          <w:rFonts w:ascii="Times New Roman" w:hAnsi="Times New Roman" w:eastAsia="仿宋_GB2312" w:cs="Times New Roman"/>
          <w:kern w:val="0"/>
          <w:sz w:val="28"/>
          <w:szCs w:val="28"/>
        </w:rPr>
        <w:t>第五节  砂石土类矿产规划布局</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_Toc104389951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20</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8"/>
        <w:tabs>
          <w:tab w:val="right" w:leader="middleDot" w:pos="8540"/>
        </w:tabs>
        <w:spacing w:line="300" w:lineRule="auto"/>
        <w:rPr>
          <w:rFonts w:ascii="Times New Roman" w:hAnsi="Times New Roman" w:eastAsia="仿宋_GB2312" w:cs="Times New Roman"/>
          <w:b w:val="0"/>
          <w:bCs w:val="0"/>
          <w:caps w:val="0"/>
          <w:sz w:val="28"/>
          <w:szCs w:val="28"/>
        </w:rPr>
      </w:pPr>
      <w:r>
        <w:fldChar w:fldCharType="begin"/>
      </w:r>
      <w:r>
        <w:instrText xml:space="preserve"> HYPERLINK \l "_Toc104389952" </w:instrText>
      </w:r>
      <w:r>
        <w:fldChar w:fldCharType="separate"/>
      </w:r>
      <w:r>
        <w:rPr>
          <w:rStyle w:val="14"/>
          <w:rFonts w:ascii="Times New Roman" w:hAnsi="Times New Roman" w:eastAsia="仿宋_GB2312" w:cs="Times New Roman"/>
          <w:b w:val="0"/>
          <w:kern w:val="0"/>
          <w:sz w:val="28"/>
          <w:szCs w:val="28"/>
        </w:rPr>
        <w:t>第五章  规划部署与管理</w:t>
      </w:r>
      <w:r>
        <w:rPr>
          <w:rFonts w:ascii="Times New Roman" w:hAnsi="Times New Roman" w:eastAsia="仿宋_GB2312" w:cs="Times New Roman"/>
          <w:b w:val="0"/>
          <w:sz w:val="28"/>
          <w:szCs w:val="28"/>
        </w:rPr>
        <w:tab/>
      </w:r>
      <w:r>
        <w:rPr>
          <w:rFonts w:ascii="Times New Roman" w:hAnsi="Times New Roman" w:eastAsia="仿宋_GB2312" w:cs="Times New Roman"/>
          <w:b w:val="0"/>
          <w:sz w:val="28"/>
          <w:szCs w:val="28"/>
        </w:rPr>
        <w:fldChar w:fldCharType="begin"/>
      </w:r>
      <w:r>
        <w:rPr>
          <w:rFonts w:ascii="Times New Roman" w:hAnsi="Times New Roman" w:eastAsia="仿宋_GB2312" w:cs="Times New Roman"/>
          <w:b w:val="0"/>
          <w:sz w:val="28"/>
          <w:szCs w:val="28"/>
        </w:rPr>
        <w:instrText xml:space="preserve"> PAGEREF _Toc104389952 \h </w:instrText>
      </w:r>
      <w:r>
        <w:rPr>
          <w:rFonts w:ascii="Times New Roman" w:hAnsi="Times New Roman" w:eastAsia="仿宋_GB2312" w:cs="Times New Roman"/>
          <w:b w:val="0"/>
          <w:sz w:val="28"/>
          <w:szCs w:val="28"/>
        </w:rPr>
        <w:fldChar w:fldCharType="separate"/>
      </w:r>
      <w:r>
        <w:rPr>
          <w:rFonts w:ascii="Times New Roman" w:hAnsi="Times New Roman" w:eastAsia="仿宋_GB2312" w:cs="Times New Roman"/>
          <w:b w:val="0"/>
          <w:sz w:val="28"/>
          <w:szCs w:val="28"/>
        </w:rPr>
        <w:t>21</w:t>
      </w:r>
      <w:r>
        <w:rPr>
          <w:rFonts w:ascii="Times New Roman" w:hAnsi="Times New Roman" w:eastAsia="仿宋_GB2312" w:cs="Times New Roman"/>
          <w:b w:val="0"/>
          <w:sz w:val="28"/>
          <w:szCs w:val="28"/>
        </w:rPr>
        <w:fldChar w:fldCharType="end"/>
      </w:r>
      <w:r>
        <w:rPr>
          <w:rFonts w:ascii="Times New Roman" w:hAnsi="Times New Roman" w:eastAsia="仿宋_GB2312" w:cs="Times New Roman"/>
          <w:b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"_Toc104389953" </w:instrText>
      </w:r>
      <w:r>
        <w:fldChar w:fldCharType="separate"/>
      </w:r>
      <w:r>
        <w:rPr>
          <w:rStyle w:val="14"/>
          <w:rFonts w:ascii="Times New Roman" w:hAnsi="Times New Roman" w:eastAsia="仿宋_GB2312" w:cs="Times New Roman"/>
          <w:kern w:val="0"/>
          <w:sz w:val="28"/>
          <w:szCs w:val="28"/>
        </w:rPr>
        <w:t>第一节  调查评价与勘查</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_Toc104389953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21</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"_Toc104389954" </w:instrText>
      </w:r>
      <w:r>
        <w:fldChar w:fldCharType="separate"/>
      </w:r>
      <w:r>
        <w:rPr>
          <w:rStyle w:val="14"/>
          <w:rFonts w:ascii="Times New Roman" w:hAnsi="Times New Roman" w:eastAsia="仿宋_GB2312" w:cs="Times New Roman"/>
          <w:i w:val="0"/>
          <w:kern w:val="0"/>
          <w:sz w:val="28"/>
          <w:szCs w:val="28"/>
        </w:rPr>
        <w:t>一、调查评价</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_Toc104389954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21</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"_Toc104389955" </w:instrText>
      </w:r>
      <w:r>
        <w:fldChar w:fldCharType="separate"/>
      </w:r>
      <w:r>
        <w:rPr>
          <w:rStyle w:val="14"/>
          <w:rFonts w:ascii="Times New Roman" w:hAnsi="Times New Roman" w:eastAsia="仿宋_GB2312" w:cs="Times New Roman"/>
          <w:i w:val="0"/>
          <w:kern w:val="0"/>
          <w:sz w:val="28"/>
          <w:szCs w:val="28"/>
        </w:rPr>
        <w:t>二、矿产资源勘查</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_Toc104389955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22</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"_Toc104389956" </w:instrText>
      </w:r>
      <w:r>
        <w:fldChar w:fldCharType="separate"/>
      </w:r>
      <w:r>
        <w:rPr>
          <w:rStyle w:val="14"/>
          <w:rFonts w:ascii="Times New Roman" w:hAnsi="Times New Roman" w:eastAsia="仿宋_GB2312" w:cs="Times New Roman"/>
          <w:kern w:val="0"/>
          <w:sz w:val="28"/>
          <w:szCs w:val="28"/>
        </w:rPr>
        <w:t>第二节  开发利用与保护</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_Toc104389956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22</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"_Toc104389957" </w:instrText>
      </w:r>
      <w:r>
        <w:fldChar w:fldCharType="separate"/>
      </w:r>
      <w:r>
        <w:rPr>
          <w:rStyle w:val="14"/>
          <w:rFonts w:ascii="Times New Roman" w:hAnsi="Times New Roman" w:eastAsia="仿宋_GB2312" w:cs="Times New Roman"/>
          <w:i w:val="0"/>
          <w:kern w:val="0"/>
          <w:sz w:val="28"/>
          <w:szCs w:val="28"/>
        </w:rPr>
        <w:t>一、明确开发利用方向</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_Toc104389957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23</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"_Toc104389958" </w:instrText>
      </w:r>
      <w:r>
        <w:fldChar w:fldCharType="separate"/>
      </w:r>
      <w:r>
        <w:rPr>
          <w:rStyle w:val="14"/>
          <w:rFonts w:ascii="Times New Roman" w:hAnsi="Times New Roman" w:eastAsia="仿宋_GB2312" w:cs="Times New Roman"/>
          <w:i w:val="0"/>
          <w:kern w:val="0"/>
          <w:sz w:val="28"/>
          <w:szCs w:val="28"/>
        </w:rPr>
        <w:t>二、调控开发利用强度</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_Toc104389958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23</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"_Toc104389959" </w:instrText>
      </w:r>
      <w:r>
        <w:fldChar w:fldCharType="separate"/>
      </w:r>
      <w:r>
        <w:rPr>
          <w:rStyle w:val="14"/>
          <w:rFonts w:ascii="Times New Roman" w:hAnsi="Times New Roman" w:eastAsia="仿宋_GB2312" w:cs="Times New Roman"/>
          <w:i w:val="0"/>
          <w:kern w:val="0"/>
          <w:sz w:val="28"/>
          <w:szCs w:val="28"/>
        </w:rPr>
        <w:t>三、优化开发利用结构</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_Toc104389959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24</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"_Toc104389960" </w:instrText>
      </w:r>
      <w:r>
        <w:fldChar w:fldCharType="separate"/>
      </w:r>
      <w:r>
        <w:rPr>
          <w:rStyle w:val="14"/>
          <w:rFonts w:ascii="Times New Roman" w:hAnsi="Times New Roman" w:eastAsia="仿宋_GB2312" w:cs="Times New Roman"/>
          <w:i w:val="0"/>
          <w:kern w:val="0"/>
          <w:sz w:val="28"/>
          <w:szCs w:val="28"/>
        </w:rPr>
        <w:t>四、严格矿山准入条件</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_Toc104389960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25</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"_Toc104389961" </w:instrText>
      </w:r>
      <w:r>
        <w:fldChar w:fldCharType="separate"/>
      </w:r>
      <w:r>
        <w:rPr>
          <w:rStyle w:val="14"/>
          <w:rFonts w:ascii="Times New Roman" w:hAnsi="Times New Roman" w:eastAsia="仿宋_GB2312" w:cs="Times New Roman"/>
          <w:i w:val="0"/>
          <w:kern w:val="0"/>
          <w:sz w:val="28"/>
          <w:szCs w:val="28"/>
        </w:rPr>
        <w:t>五、重点开发工作部署</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_Toc104389961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27</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8"/>
        <w:tabs>
          <w:tab w:val="right" w:leader="middleDot" w:pos="8540"/>
        </w:tabs>
        <w:spacing w:line="300" w:lineRule="auto"/>
        <w:rPr>
          <w:rFonts w:ascii="Times New Roman" w:hAnsi="Times New Roman" w:eastAsia="仿宋_GB2312" w:cs="Times New Roman"/>
          <w:b w:val="0"/>
          <w:bCs w:val="0"/>
          <w:caps w:val="0"/>
          <w:sz w:val="28"/>
          <w:szCs w:val="28"/>
        </w:rPr>
      </w:pPr>
      <w:r>
        <w:fldChar w:fldCharType="begin"/>
      </w:r>
      <w:r>
        <w:instrText xml:space="preserve"> HYPERLINK \l "_Toc104389962" </w:instrText>
      </w:r>
      <w:r>
        <w:fldChar w:fldCharType="separate"/>
      </w:r>
      <w:r>
        <w:rPr>
          <w:rStyle w:val="14"/>
          <w:rFonts w:ascii="Times New Roman" w:hAnsi="Times New Roman" w:eastAsia="仿宋_GB2312" w:cs="Times New Roman"/>
          <w:b w:val="0"/>
          <w:kern w:val="0"/>
          <w:sz w:val="28"/>
          <w:szCs w:val="28"/>
        </w:rPr>
        <w:t>第六章  矿业高质量发展</w:t>
      </w:r>
      <w:r>
        <w:rPr>
          <w:rFonts w:ascii="Times New Roman" w:hAnsi="Times New Roman" w:eastAsia="仿宋_GB2312" w:cs="Times New Roman"/>
          <w:b w:val="0"/>
          <w:sz w:val="28"/>
          <w:szCs w:val="28"/>
        </w:rPr>
        <w:tab/>
      </w:r>
      <w:r>
        <w:rPr>
          <w:rFonts w:ascii="Times New Roman" w:hAnsi="Times New Roman" w:eastAsia="仿宋_GB2312" w:cs="Times New Roman"/>
          <w:b w:val="0"/>
          <w:sz w:val="28"/>
          <w:szCs w:val="28"/>
        </w:rPr>
        <w:fldChar w:fldCharType="begin"/>
      </w:r>
      <w:r>
        <w:rPr>
          <w:rFonts w:ascii="Times New Roman" w:hAnsi="Times New Roman" w:eastAsia="仿宋_GB2312" w:cs="Times New Roman"/>
          <w:b w:val="0"/>
          <w:sz w:val="28"/>
          <w:szCs w:val="28"/>
        </w:rPr>
        <w:instrText xml:space="preserve"> PAGEREF _Toc104389962 \h </w:instrText>
      </w:r>
      <w:r>
        <w:rPr>
          <w:rFonts w:ascii="Times New Roman" w:hAnsi="Times New Roman" w:eastAsia="仿宋_GB2312" w:cs="Times New Roman"/>
          <w:b w:val="0"/>
          <w:sz w:val="28"/>
          <w:szCs w:val="28"/>
        </w:rPr>
        <w:fldChar w:fldCharType="separate"/>
      </w:r>
      <w:r>
        <w:rPr>
          <w:rFonts w:ascii="Times New Roman" w:hAnsi="Times New Roman" w:eastAsia="仿宋_GB2312" w:cs="Times New Roman"/>
          <w:b w:val="0"/>
          <w:sz w:val="28"/>
          <w:szCs w:val="28"/>
        </w:rPr>
        <w:t>29</w:t>
      </w:r>
      <w:r>
        <w:rPr>
          <w:rFonts w:ascii="Times New Roman" w:hAnsi="Times New Roman" w:eastAsia="仿宋_GB2312" w:cs="Times New Roman"/>
          <w:b w:val="0"/>
          <w:sz w:val="28"/>
          <w:szCs w:val="28"/>
        </w:rPr>
        <w:fldChar w:fldCharType="end"/>
      </w:r>
      <w:r>
        <w:rPr>
          <w:rFonts w:ascii="Times New Roman" w:hAnsi="Times New Roman" w:eastAsia="仿宋_GB2312" w:cs="Times New Roman"/>
          <w:b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"_Toc104389963" </w:instrText>
      </w:r>
      <w:r>
        <w:fldChar w:fldCharType="separate"/>
      </w:r>
      <w:r>
        <w:rPr>
          <w:rStyle w:val="14"/>
          <w:rFonts w:ascii="Times New Roman" w:hAnsi="Times New Roman" w:eastAsia="仿宋_GB2312" w:cs="Times New Roman"/>
          <w:kern w:val="0"/>
          <w:sz w:val="28"/>
          <w:szCs w:val="28"/>
        </w:rPr>
        <w:t>第一节  矿产资源高效利用</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_Toc104389963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29</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"_Toc104389964" </w:instrText>
      </w:r>
      <w:r>
        <w:fldChar w:fldCharType="separate"/>
      </w:r>
      <w:r>
        <w:rPr>
          <w:rStyle w:val="14"/>
          <w:rFonts w:ascii="Times New Roman" w:hAnsi="Times New Roman" w:eastAsia="仿宋_GB2312" w:cs="Times New Roman"/>
          <w:i w:val="0"/>
          <w:kern w:val="0"/>
          <w:sz w:val="28"/>
          <w:szCs w:val="28"/>
        </w:rPr>
        <w:t>一、高效利用矿产资源</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_Toc104389964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29</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"_Toc104389965" </w:instrText>
      </w:r>
      <w:r>
        <w:fldChar w:fldCharType="separate"/>
      </w:r>
      <w:r>
        <w:rPr>
          <w:rStyle w:val="14"/>
          <w:rFonts w:ascii="Times New Roman" w:hAnsi="Times New Roman" w:eastAsia="仿宋_GB2312" w:cs="Times New Roman"/>
          <w:i w:val="0"/>
          <w:kern w:val="0"/>
          <w:sz w:val="28"/>
          <w:szCs w:val="28"/>
        </w:rPr>
        <w:t>二、提升矿山“三率”管理</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_Toc104389965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29</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"_Toc104389966" </w:instrText>
      </w:r>
      <w:r>
        <w:fldChar w:fldCharType="separate"/>
      </w:r>
      <w:r>
        <w:rPr>
          <w:rStyle w:val="14"/>
          <w:rFonts w:ascii="Times New Roman" w:hAnsi="Times New Roman" w:eastAsia="仿宋_GB2312" w:cs="Times New Roman"/>
          <w:i w:val="0"/>
          <w:kern w:val="0"/>
          <w:sz w:val="28"/>
          <w:szCs w:val="28"/>
        </w:rPr>
        <w:t>三、发展矿业循环经济</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_Toc104389966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30</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"_Toc104389967" </w:instrText>
      </w:r>
      <w:r>
        <w:fldChar w:fldCharType="separate"/>
      </w:r>
      <w:r>
        <w:rPr>
          <w:rStyle w:val="14"/>
          <w:rFonts w:ascii="Times New Roman" w:hAnsi="Times New Roman" w:eastAsia="仿宋_GB2312" w:cs="Times New Roman"/>
          <w:i w:val="0"/>
          <w:kern w:val="0"/>
          <w:sz w:val="28"/>
          <w:szCs w:val="28"/>
        </w:rPr>
        <w:t>四、发展矿业延伸产业</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_Toc104389967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30</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"_Toc104389968" </w:instrText>
      </w:r>
      <w:r>
        <w:fldChar w:fldCharType="separate"/>
      </w:r>
      <w:r>
        <w:rPr>
          <w:rStyle w:val="14"/>
          <w:rFonts w:ascii="Times New Roman" w:hAnsi="Times New Roman" w:eastAsia="仿宋_GB2312" w:cs="Times New Roman"/>
          <w:kern w:val="0"/>
          <w:sz w:val="28"/>
          <w:szCs w:val="28"/>
        </w:rPr>
        <w:t>第二节  绿色矿业发展</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_Toc104389968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31</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"_Toc104389969" </w:instrText>
      </w:r>
      <w:r>
        <w:fldChar w:fldCharType="separate"/>
      </w:r>
      <w:r>
        <w:rPr>
          <w:rStyle w:val="14"/>
          <w:rFonts w:ascii="Times New Roman" w:hAnsi="Times New Roman" w:eastAsia="仿宋_GB2312" w:cs="Times New Roman"/>
          <w:i w:val="0"/>
          <w:kern w:val="0"/>
          <w:sz w:val="28"/>
          <w:szCs w:val="28"/>
        </w:rPr>
        <w:t>一、加快绿色矿业发展</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_Toc104389969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31</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"_Toc104389970" </w:instrText>
      </w:r>
      <w:r>
        <w:fldChar w:fldCharType="separate"/>
      </w:r>
      <w:r>
        <w:rPr>
          <w:rStyle w:val="14"/>
          <w:rFonts w:ascii="Times New Roman" w:hAnsi="Times New Roman" w:eastAsia="仿宋_GB2312" w:cs="Times New Roman"/>
          <w:i w:val="0"/>
          <w:kern w:val="0"/>
          <w:sz w:val="28"/>
          <w:szCs w:val="28"/>
        </w:rPr>
        <w:t>二、绿色矿山建设管理</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_Toc104389970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32</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"_Toc104389971" </w:instrText>
      </w:r>
      <w:r>
        <w:fldChar w:fldCharType="separate"/>
      </w:r>
      <w:r>
        <w:rPr>
          <w:rStyle w:val="14"/>
          <w:rFonts w:ascii="Times New Roman" w:hAnsi="Times New Roman" w:eastAsia="仿宋_GB2312" w:cs="Times New Roman"/>
          <w:kern w:val="0"/>
          <w:sz w:val="28"/>
          <w:szCs w:val="28"/>
        </w:rPr>
        <w:t>第三节  矿山生态修复</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_Toc104389971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33</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"_Toc104389972" </w:instrText>
      </w:r>
      <w:r>
        <w:fldChar w:fldCharType="separate"/>
      </w:r>
      <w:r>
        <w:rPr>
          <w:rStyle w:val="14"/>
          <w:rFonts w:ascii="Times New Roman" w:hAnsi="Times New Roman" w:eastAsia="仿宋_GB2312" w:cs="Times New Roman"/>
          <w:i w:val="0"/>
          <w:kern w:val="0"/>
          <w:sz w:val="28"/>
          <w:szCs w:val="28"/>
        </w:rPr>
        <w:t>一、生态修复总体目标</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_Toc104389972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33</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"_Toc104389973" </w:instrText>
      </w:r>
      <w:r>
        <w:fldChar w:fldCharType="separate"/>
      </w:r>
      <w:r>
        <w:rPr>
          <w:rStyle w:val="14"/>
          <w:rFonts w:ascii="Times New Roman" w:hAnsi="Times New Roman" w:eastAsia="仿宋_GB2312" w:cs="Times New Roman"/>
          <w:i w:val="0"/>
          <w:kern w:val="0"/>
          <w:sz w:val="28"/>
          <w:szCs w:val="28"/>
        </w:rPr>
        <w:t>二、矿区生态保护修复</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_Toc104389973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34</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"_Toc104389974" </w:instrText>
      </w:r>
      <w:r>
        <w:fldChar w:fldCharType="separate"/>
      </w:r>
      <w:r>
        <w:rPr>
          <w:rStyle w:val="14"/>
          <w:rFonts w:ascii="Times New Roman" w:hAnsi="Times New Roman" w:eastAsia="仿宋_GB2312" w:cs="Times New Roman"/>
          <w:i w:val="0"/>
          <w:kern w:val="0"/>
          <w:sz w:val="28"/>
          <w:szCs w:val="28"/>
        </w:rPr>
        <w:t>三、生态修复基金管理</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_Toc104389974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35</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9"/>
        <w:tabs>
          <w:tab w:val="right" w:leader="middleDot" w:pos="8540"/>
        </w:tabs>
        <w:spacing w:line="300" w:lineRule="auto"/>
        <w:rPr>
          <w:rFonts w:ascii="Times New Roman" w:hAnsi="Times New Roman" w:eastAsia="仿宋_GB2312" w:cs="Times New Roman"/>
          <w:smallCaps w:val="0"/>
          <w:sz w:val="28"/>
          <w:szCs w:val="28"/>
        </w:rPr>
      </w:pPr>
      <w:r>
        <w:fldChar w:fldCharType="begin"/>
      </w:r>
      <w:r>
        <w:instrText xml:space="preserve"> HYPERLINK \l "_Toc104389975" </w:instrText>
      </w:r>
      <w:r>
        <w:fldChar w:fldCharType="separate"/>
      </w:r>
      <w:r>
        <w:rPr>
          <w:rStyle w:val="14"/>
          <w:rFonts w:ascii="Times New Roman" w:hAnsi="Times New Roman" w:eastAsia="仿宋_GB2312" w:cs="Times New Roman"/>
          <w:kern w:val="0"/>
          <w:sz w:val="28"/>
          <w:szCs w:val="28"/>
        </w:rPr>
        <w:t>第四节  矿产资源管理</w:t>
      </w:r>
      <w:r>
        <w:rPr>
          <w:rFonts w:ascii="Times New Roman" w:hAnsi="Times New Roman" w:eastAsia="仿宋_GB2312" w:cs="Times New Roman"/>
          <w:sz w:val="28"/>
          <w:szCs w:val="28"/>
        </w:rPr>
        <w:tab/>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 PAGEREF _Toc104389975 \h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35</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"_Toc104389976" </w:instrText>
      </w:r>
      <w:r>
        <w:fldChar w:fldCharType="separate"/>
      </w:r>
      <w:r>
        <w:rPr>
          <w:rStyle w:val="14"/>
          <w:rFonts w:ascii="Times New Roman" w:hAnsi="Times New Roman" w:eastAsia="仿宋_GB2312" w:cs="Times New Roman"/>
          <w:i w:val="0"/>
          <w:kern w:val="0"/>
          <w:sz w:val="28"/>
          <w:szCs w:val="28"/>
        </w:rPr>
        <w:t>一、勘查管理</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_Toc104389976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35</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"_Toc104389977" </w:instrText>
      </w:r>
      <w:r>
        <w:fldChar w:fldCharType="separate"/>
      </w:r>
      <w:r>
        <w:rPr>
          <w:rStyle w:val="14"/>
          <w:rFonts w:ascii="Times New Roman" w:hAnsi="Times New Roman" w:eastAsia="仿宋_GB2312" w:cs="Times New Roman"/>
          <w:i w:val="0"/>
          <w:kern w:val="0"/>
          <w:sz w:val="28"/>
          <w:szCs w:val="28"/>
        </w:rPr>
        <w:t>二、开采管理</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_Toc104389977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36</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8"/>
        <w:tabs>
          <w:tab w:val="right" w:leader="middleDot" w:pos="8540"/>
        </w:tabs>
        <w:spacing w:line="300" w:lineRule="auto"/>
        <w:rPr>
          <w:rFonts w:ascii="Times New Roman" w:hAnsi="Times New Roman" w:eastAsia="仿宋_GB2312" w:cs="Times New Roman"/>
          <w:b w:val="0"/>
          <w:bCs w:val="0"/>
          <w:caps w:val="0"/>
          <w:sz w:val="28"/>
          <w:szCs w:val="28"/>
        </w:rPr>
      </w:pPr>
      <w:r>
        <w:fldChar w:fldCharType="begin"/>
      </w:r>
      <w:r>
        <w:instrText xml:space="preserve"> HYPERLINK \l "_Toc104389978" </w:instrText>
      </w:r>
      <w:r>
        <w:fldChar w:fldCharType="separate"/>
      </w:r>
      <w:r>
        <w:rPr>
          <w:rStyle w:val="14"/>
          <w:rFonts w:ascii="Times New Roman" w:hAnsi="Times New Roman" w:eastAsia="仿宋_GB2312" w:cs="Times New Roman"/>
          <w:b w:val="0"/>
          <w:kern w:val="0"/>
          <w:sz w:val="28"/>
          <w:szCs w:val="28"/>
        </w:rPr>
        <w:t>第七章  规划实施与保障措施</w:t>
      </w:r>
      <w:r>
        <w:rPr>
          <w:rFonts w:ascii="Times New Roman" w:hAnsi="Times New Roman" w:eastAsia="仿宋_GB2312" w:cs="Times New Roman"/>
          <w:b w:val="0"/>
          <w:sz w:val="28"/>
          <w:szCs w:val="28"/>
        </w:rPr>
        <w:tab/>
      </w:r>
      <w:r>
        <w:rPr>
          <w:rFonts w:ascii="Times New Roman" w:hAnsi="Times New Roman" w:eastAsia="仿宋_GB2312" w:cs="Times New Roman"/>
          <w:b w:val="0"/>
          <w:sz w:val="28"/>
          <w:szCs w:val="28"/>
        </w:rPr>
        <w:fldChar w:fldCharType="begin"/>
      </w:r>
      <w:r>
        <w:rPr>
          <w:rFonts w:ascii="Times New Roman" w:hAnsi="Times New Roman" w:eastAsia="仿宋_GB2312" w:cs="Times New Roman"/>
          <w:b w:val="0"/>
          <w:sz w:val="28"/>
          <w:szCs w:val="28"/>
        </w:rPr>
        <w:instrText xml:space="preserve"> PAGEREF _Toc104389978 \h </w:instrText>
      </w:r>
      <w:r>
        <w:rPr>
          <w:rFonts w:ascii="Times New Roman" w:hAnsi="Times New Roman" w:eastAsia="仿宋_GB2312" w:cs="Times New Roman"/>
          <w:b w:val="0"/>
          <w:sz w:val="28"/>
          <w:szCs w:val="28"/>
        </w:rPr>
        <w:fldChar w:fldCharType="separate"/>
      </w:r>
      <w:r>
        <w:rPr>
          <w:rFonts w:ascii="Times New Roman" w:hAnsi="Times New Roman" w:eastAsia="仿宋_GB2312" w:cs="Times New Roman"/>
          <w:b w:val="0"/>
          <w:sz w:val="28"/>
          <w:szCs w:val="28"/>
        </w:rPr>
        <w:t>38</w:t>
      </w:r>
      <w:r>
        <w:rPr>
          <w:rFonts w:ascii="Times New Roman" w:hAnsi="Times New Roman" w:eastAsia="仿宋_GB2312" w:cs="Times New Roman"/>
          <w:b w:val="0"/>
          <w:sz w:val="28"/>
          <w:szCs w:val="28"/>
        </w:rPr>
        <w:fldChar w:fldCharType="end"/>
      </w:r>
      <w:r>
        <w:rPr>
          <w:rFonts w:ascii="Times New Roman" w:hAnsi="Times New Roman" w:eastAsia="仿宋_GB2312" w:cs="Times New Roman"/>
          <w:b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"_Toc104389979" </w:instrText>
      </w:r>
      <w:r>
        <w:fldChar w:fldCharType="separate"/>
      </w:r>
      <w:r>
        <w:rPr>
          <w:rStyle w:val="14"/>
          <w:rFonts w:ascii="Times New Roman" w:hAnsi="Times New Roman" w:eastAsia="仿宋_GB2312" w:cs="Times New Roman"/>
          <w:i w:val="0"/>
          <w:kern w:val="0"/>
          <w:sz w:val="28"/>
          <w:szCs w:val="28"/>
        </w:rPr>
        <w:t>一、加强部门统筹协调</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_Toc104389979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38</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"_Toc104389980" </w:instrText>
      </w:r>
      <w:r>
        <w:fldChar w:fldCharType="separate"/>
      </w:r>
      <w:r>
        <w:rPr>
          <w:rStyle w:val="14"/>
          <w:rFonts w:ascii="Times New Roman" w:hAnsi="Times New Roman" w:eastAsia="仿宋_GB2312" w:cs="Times New Roman"/>
          <w:i w:val="0"/>
          <w:kern w:val="0"/>
          <w:sz w:val="28"/>
          <w:szCs w:val="28"/>
        </w:rPr>
        <w:t>二、严格执行审查制度</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_Toc104389980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38</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"_Toc104389981" </w:instrText>
      </w:r>
      <w:r>
        <w:fldChar w:fldCharType="separate"/>
      </w:r>
      <w:r>
        <w:rPr>
          <w:rStyle w:val="14"/>
          <w:rFonts w:ascii="Times New Roman" w:hAnsi="Times New Roman" w:eastAsia="仿宋_GB2312" w:cs="Times New Roman"/>
          <w:i w:val="0"/>
          <w:kern w:val="0"/>
          <w:sz w:val="28"/>
          <w:szCs w:val="28"/>
        </w:rPr>
        <w:t>三、强化矿业分析与评估</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_Toc104389981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38</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"_Toc104389982" </w:instrText>
      </w:r>
      <w:r>
        <w:fldChar w:fldCharType="separate"/>
      </w:r>
      <w:r>
        <w:rPr>
          <w:rStyle w:val="14"/>
          <w:rFonts w:ascii="Times New Roman" w:hAnsi="Times New Roman" w:eastAsia="仿宋_GB2312" w:cs="Times New Roman"/>
          <w:i w:val="0"/>
          <w:kern w:val="0"/>
          <w:sz w:val="28"/>
          <w:szCs w:val="28"/>
        </w:rPr>
        <w:t>四、加大矿业资金保障</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_Toc104389982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38</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"_Toc104389983" </w:instrText>
      </w:r>
      <w:r>
        <w:fldChar w:fldCharType="separate"/>
      </w:r>
      <w:r>
        <w:rPr>
          <w:rStyle w:val="14"/>
          <w:rFonts w:ascii="Times New Roman" w:hAnsi="Times New Roman" w:eastAsia="仿宋_GB2312" w:cs="Times New Roman"/>
          <w:i w:val="0"/>
          <w:kern w:val="0"/>
          <w:sz w:val="28"/>
          <w:szCs w:val="28"/>
        </w:rPr>
        <w:t>五、提高矿业信息化管理</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_Toc104389983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39</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pPr>
        <w:pStyle w:val="5"/>
        <w:tabs>
          <w:tab w:val="right" w:leader="middleDot" w:pos="8540"/>
        </w:tabs>
        <w:spacing w:line="300" w:lineRule="auto"/>
        <w:rPr>
          <w:rFonts w:ascii="Times New Roman" w:hAnsi="Times New Roman" w:eastAsia="仿宋_GB2312" w:cs="Times New Roman"/>
          <w:i w:val="0"/>
          <w:iCs w:val="0"/>
          <w:sz w:val="28"/>
          <w:szCs w:val="28"/>
        </w:rPr>
      </w:pPr>
      <w:r>
        <w:fldChar w:fldCharType="begin"/>
      </w:r>
      <w:r>
        <w:instrText xml:space="preserve"> HYPERLINK \l "_Toc104389984" </w:instrText>
      </w:r>
      <w:r>
        <w:fldChar w:fldCharType="separate"/>
      </w:r>
      <w:r>
        <w:rPr>
          <w:rStyle w:val="14"/>
          <w:rFonts w:ascii="Times New Roman" w:hAnsi="Times New Roman" w:eastAsia="仿宋_GB2312" w:cs="Times New Roman"/>
          <w:i w:val="0"/>
          <w:kern w:val="0"/>
          <w:sz w:val="28"/>
          <w:szCs w:val="28"/>
        </w:rPr>
        <w:t>六、建立健全矿业监督机制</w:t>
      </w:r>
      <w:r>
        <w:rPr>
          <w:rFonts w:ascii="Times New Roman" w:hAnsi="Times New Roman" w:eastAsia="仿宋_GB2312" w:cs="Times New Roman"/>
          <w:i w:val="0"/>
          <w:sz w:val="28"/>
          <w:szCs w:val="28"/>
        </w:rPr>
        <w:tab/>
      </w:r>
      <w:r>
        <w:rPr>
          <w:rFonts w:ascii="Times New Roman" w:hAnsi="Times New Roman" w:eastAsia="仿宋_GB2312" w:cs="Times New Roman"/>
          <w:i w:val="0"/>
          <w:sz w:val="28"/>
          <w:szCs w:val="28"/>
        </w:rPr>
        <w:fldChar w:fldCharType="begin"/>
      </w:r>
      <w:r>
        <w:rPr>
          <w:rFonts w:ascii="Times New Roman" w:hAnsi="Times New Roman" w:eastAsia="仿宋_GB2312" w:cs="Times New Roman"/>
          <w:i w:val="0"/>
          <w:sz w:val="28"/>
          <w:szCs w:val="28"/>
        </w:rPr>
        <w:instrText xml:space="preserve"> PAGEREF _Toc104389984 \h </w:instrText>
      </w:r>
      <w:r>
        <w:rPr>
          <w:rFonts w:ascii="Times New Roman" w:hAnsi="Times New Roman" w:eastAsia="仿宋_GB2312" w:cs="Times New Roman"/>
          <w:i w:val="0"/>
          <w:sz w:val="28"/>
          <w:szCs w:val="28"/>
        </w:rPr>
        <w:fldChar w:fldCharType="separate"/>
      </w:r>
      <w:r>
        <w:rPr>
          <w:rFonts w:ascii="Times New Roman" w:hAnsi="Times New Roman" w:eastAsia="仿宋_GB2312" w:cs="Times New Roman"/>
          <w:i w:val="0"/>
          <w:sz w:val="28"/>
          <w:szCs w:val="28"/>
        </w:rPr>
        <w:t>39</w:t>
      </w:r>
      <w:r>
        <w:rPr>
          <w:rFonts w:ascii="Times New Roman" w:hAnsi="Times New Roman" w:eastAsia="仿宋_GB2312" w:cs="Times New Roman"/>
          <w:i w:val="0"/>
          <w:sz w:val="28"/>
          <w:szCs w:val="28"/>
        </w:rPr>
        <w:fldChar w:fldCharType="end"/>
      </w:r>
      <w:r>
        <w:rPr>
          <w:rFonts w:ascii="Times New Roman" w:hAnsi="Times New Roman" w:eastAsia="仿宋_GB2312" w:cs="Times New Roman"/>
          <w:i w:val="0"/>
          <w:sz w:val="28"/>
          <w:szCs w:val="28"/>
        </w:rPr>
        <w:fldChar w:fldCharType="end"/>
      </w:r>
    </w:p>
    <w:p>
      <w:r>
        <w:fldChar w:fldCharType="end"/>
      </w:r>
    </w:p>
    <w:p>
      <w:pPr>
        <w:spacing w:line="40" w:lineRule="exact"/>
        <w:rPr>
          <w:rFonts w:ascii="Times New Roman" w:hAnsi="Times New Roman" w:eastAsia="宋体" w:cs="Times New Roman"/>
          <w:szCs w:val="24"/>
        </w:rPr>
      </w:pPr>
    </w:p>
    <w:p>
      <w:pPr>
        <w:spacing w:line="180" w:lineRule="exact"/>
        <w:rPr>
          <w:rFonts w:ascii="Times New Roman" w:hAnsi="Times New Roman" w:eastAsia="宋体" w:cs="Times New Roman"/>
          <w:szCs w:val="24"/>
        </w:rPr>
        <w:sectPr>
          <w:footerReference r:id="rId4" w:type="default"/>
          <w:pgSz w:w="11910" w:h="16840"/>
          <w:pgMar w:top="1600" w:right="1680" w:bottom="1240" w:left="1680" w:header="0" w:footer="964" w:gutter="0"/>
          <w:pgNumType w:fmt="decimal" w:start="1"/>
          <w:cols w:space="720" w:num="1"/>
          <w:docGrid w:linePitch="286" w:charSpace="0"/>
        </w:sectPr>
      </w:pPr>
    </w:p>
    <w:p>
      <w:pPr>
        <w:spacing w:before="156" w:beforeLines="50" w:after="156" w:afterLines="50" w:line="360" w:lineRule="auto"/>
        <w:jc w:val="center"/>
        <w:outlineLvl w:val="0"/>
        <w:rPr>
          <w:rFonts w:ascii="仿宋_GB2312" w:hAnsi="Calibri" w:eastAsia="仿宋_GB2312" w:cs="Times New Roman"/>
          <w:b/>
          <w:kern w:val="0"/>
          <w:sz w:val="32"/>
        </w:rPr>
      </w:pPr>
      <w:bookmarkStart w:id="10" w:name="_Toc104389924"/>
      <w:r>
        <w:rPr>
          <w:rFonts w:hint="eastAsia" w:ascii="仿宋_GB2312" w:hAnsi="Calibri" w:eastAsia="仿宋_GB2312" w:cs="Times New Roman"/>
          <w:b/>
          <w:kern w:val="0"/>
          <w:sz w:val="44"/>
        </w:rPr>
        <w:t xml:space="preserve">前 </w:t>
      </w:r>
      <w:r>
        <w:rPr>
          <w:rFonts w:ascii="仿宋_GB2312" w:hAnsi="Calibri" w:eastAsia="仿宋_GB2312" w:cs="Times New Roman"/>
          <w:b/>
          <w:kern w:val="0"/>
          <w:sz w:val="44"/>
        </w:rPr>
        <w:t xml:space="preserve">   </w:t>
      </w:r>
      <w:r>
        <w:rPr>
          <w:rFonts w:hint="eastAsia" w:ascii="仿宋_GB2312" w:hAnsi="Calibri" w:eastAsia="仿宋_GB2312" w:cs="Times New Roman"/>
          <w:b/>
          <w:kern w:val="0"/>
          <w:sz w:val="44"/>
        </w:rPr>
        <w:t>言</w:t>
      </w:r>
      <w:bookmarkEnd w:id="10"/>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矿产资源是经济社会发展的重要物质基础。为强化矿产资源安全保障，优化资源勘查开发保护布局，推进矿产资源规模开发和节约集约高效利用，促进矿业绿色转型与高质量发展，按照《中华人民共和国矿产资源法》及其《实施细则》《矿产资源规划编制实施办法（修正）》《江西省矿产资源管理条例》等法律法规要求，依据《江西省矿产资源规划（</w:t>
      </w:r>
      <w:r>
        <w:rPr>
          <w:rFonts w:ascii="仿宋" w:hAnsi="仿宋" w:eastAsia="仿宋" w:cs="Times New Roman"/>
          <w:kern w:val="0"/>
          <w:sz w:val="28"/>
          <w:szCs w:val="28"/>
        </w:rPr>
        <w:t>2021-2025</w:t>
      </w:r>
      <w:r>
        <w:rPr>
          <w:rFonts w:hint="eastAsia" w:ascii="仿宋" w:hAnsi="仿宋" w:eastAsia="仿宋" w:cs="Times New Roman"/>
          <w:kern w:val="0"/>
          <w:sz w:val="28"/>
          <w:szCs w:val="28"/>
        </w:rPr>
        <w:t>年）》《南昌市国民经济和社会发展第十四个五年规划和二Ο三五年远景目标纲要》等有关规划，编制《南昌市矿产资源总体规划（</w:t>
      </w:r>
      <w:r>
        <w:rPr>
          <w:rFonts w:ascii="仿宋" w:hAnsi="仿宋" w:eastAsia="仿宋" w:cs="Times New Roman"/>
          <w:kern w:val="0"/>
          <w:sz w:val="28"/>
          <w:szCs w:val="28"/>
        </w:rPr>
        <w:t>2021-2025</w:t>
      </w:r>
      <w:r>
        <w:rPr>
          <w:rFonts w:hint="eastAsia" w:ascii="仿宋" w:hAnsi="仿宋" w:eastAsia="仿宋" w:cs="Times New Roman"/>
          <w:kern w:val="0"/>
          <w:sz w:val="28"/>
          <w:szCs w:val="28"/>
        </w:rPr>
        <w:t>年）》（以下简称《规划》）。</w:t>
      </w:r>
    </w:p>
    <w:p>
      <w:pPr>
        <w:spacing w:line="360" w:lineRule="auto"/>
        <w:ind w:firstLine="560" w:firstLineChars="200"/>
        <w:rPr>
          <w:rFonts w:ascii="仿宋" w:hAnsi="仿宋" w:eastAsia="仿宋" w:cs="Times New Roman"/>
          <w:kern w:val="0"/>
          <w:sz w:val="28"/>
          <w:szCs w:val="28"/>
        </w:rPr>
      </w:pPr>
      <w:r>
        <w:rPr>
          <w:rFonts w:ascii="仿宋" w:hAnsi="仿宋" w:eastAsia="仿宋" w:cs="Times New Roman"/>
          <w:kern w:val="0"/>
          <w:sz w:val="28"/>
          <w:szCs w:val="28"/>
        </w:rPr>
        <w:t>《规划》是</w:t>
      </w:r>
      <w:r>
        <w:rPr>
          <w:rFonts w:hint="eastAsia" w:ascii="仿宋" w:hAnsi="仿宋" w:eastAsia="仿宋" w:cs="Times New Roman"/>
          <w:kern w:val="0"/>
          <w:sz w:val="28"/>
          <w:szCs w:val="28"/>
        </w:rPr>
        <w:t>南昌市“十四五”</w:t>
      </w:r>
      <w:r>
        <w:rPr>
          <w:rFonts w:ascii="仿宋" w:hAnsi="仿宋" w:eastAsia="仿宋" w:cs="Times New Roman"/>
          <w:kern w:val="0"/>
          <w:sz w:val="28"/>
          <w:szCs w:val="28"/>
        </w:rPr>
        <w:t>规划体系的组成部分</w:t>
      </w:r>
      <w:r>
        <w:rPr>
          <w:rFonts w:hint="eastAsia" w:ascii="仿宋" w:hAnsi="仿宋" w:eastAsia="仿宋" w:cs="Times New Roman"/>
          <w:kern w:val="0"/>
          <w:sz w:val="28"/>
          <w:szCs w:val="28"/>
        </w:rPr>
        <w:t>，是对江西省矿产资源总体规划的细化和落实，是南昌市</w:t>
      </w:r>
      <w:r>
        <w:rPr>
          <w:rFonts w:ascii="仿宋" w:hAnsi="仿宋" w:eastAsia="仿宋" w:cs="Times New Roman"/>
          <w:kern w:val="0"/>
          <w:sz w:val="28"/>
          <w:szCs w:val="28"/>
        </w:rPr>
        <w:t>矿产资源勘查、开发利用与保护的</w:t>
      </w:r>
      <w:r>
        <w:rPr>
          <w:rFonts w:hint="eastAsia" w:ascii="仿宋" w:hAnsi="仿宋" w:eastAsia="仿宋" w:cs="Times New Roman"/>
          <w:kern w:val="0"/>
          <w:sz w:val="28"/>
          <w:szCs w:val="28"/>
        </w:rPr>
        <w:t>指导性</w:t>
      </w:r>
      <w:r>
        <w:rPr>
          <w:rFonts w:ascii="仿宋" w:hAnsi="仿宋" w:eastAsia="仿宋" w:cs="Times New Roman"/>
          <w:kern w:val="0"/>
          <w:sz w:val="28"/>
          <w:szCs w:val="28"/>
        </w:rPr>
        <w:t>文件，是依法审批和监督管理地质勘查、矿产资源开发利用和保护活动的重要依据。涉及矿产资源开发活动的相关行业规划，应当与《规划》做好衔接。</w:t>
      </w:r>
    </w:p>
    <w:p>
      <w:pPr>
        <w:spacing w:line="360" w:lineRule="auto"/>
        <w:ind w:firstLine="560" w:firstLineChars="200"/>
        <w:rPr>
          <w:rFonts w:ascii="仿宋" w:hAnsi="仿宋" w:eastAsia="仿宋" w:cs="Times New Roman"/>
          <w:kern w:val="0"/>
          <w:sz w:val="28"/>
          <w:szCs w:val="28"/>
        </w:rPr>
      </w:pPr>
      <w:r>
        <w:rPr>
          <w:rFonts w:ascii="仿宋" w:hAnsi="仿宋" w:eastAsia="仿宋" w:cs="Times New Roman"/>
          <w:kern w:val="0"/>
          <w:sz w:val="28"/>
          <w:szCs w:val="28"/>
        </w:rPr>
        <w:t>《规划》基</w:t>
      </w:r>
      <w:r>
        <w:rPr>
          <w:rFonts w:hint="eastAsia" w:ascii="仿宋" w:hAnsi="仿宋" w:eastAsia="仿宋" w:cs="Times New Roman"/>
          <w:kern w:val="0"/>
          <w:sz w:val="28"/>
          <w:szCs w:val="28"/>
        </w:rPr>
        <w:t>准</w:t>
      </w:r>
      <w:r>
        <w:rPr>
          <w:rFonts w:ascii="仿宋" w:hAnsi="仿宋" w:eastAsia="仿宋" w:cs="Times New Roman"/>
          <w:kern w:val="0"/>
          <w:sz w:val="28"/>
          <w:szCs w:val="28"/>
        </w:rPr>
        <w:t>年为20</w:t>
      </w:r>
      <w:r>
        <w:rPr>
          <w:rFonts w:hint="eastAsia" w:ascii="仿宋" w:hAnsi="仿宋" w:eastAsia="仿宋" w:cs="Times New Roman"/>
          <w:kern w:val="0"/>
          <w:sz w:val="28"/>
          <w:szCs w:val="28"/>
        </w:rPr>
        <w:t>20</w:t>
      </w:r>
      <w:r>
        <w:rPr>
          <w:rFonts w:ascii="仿宋" w:hAnsi="仿宋" w:eastAsia="仿宋" w:cs="Times New Roman"/>
          <w:kern w:val="0"/>
          <w:sz w:val="28"/>
          <w:szCs w:val="28"/>
        </w:rPr>
        <w:t>年，规划期20</w:t>
      </w:r>
      <w:r>
        <w:rPr>
          <w:rFonts w:hint="eastAsia" w:ascii="仿宋" w:hAnsi="仿宋" w:eastAsia="仿宋" w:cs="Times New Roman"/>
          <w:kern w:val="0"/>
          <w:sz w:val="28"/>
          <w:szCs w:val="28"/>
        </w:rPr>
        <w:t>21</w:t>
      </w:r>
      <w:r>
        <w:rPr>
          <w:rFonts w:ascii="仿宋" w:hAnsi="仿宋" w:eastAsia="仿宋" w:cs="Times New Roman"/>
          <w:kern w:val="0"/>
          <w:sz w:val="28"/>
          <w:szCs w:val="28"/>
        </w:rPr>
        <w:t>-202</w:t>
      </w:r>
      <w:r>
        <w:rPr>
          <w:rFonts w:hint="eastAsia" w:ascii="仿宋" w:hAnsi="仿宋" w:eastAsia="仿宋" w:cs="Times New Roman"/>
          <w:kern w:val="0"/>
          <w:sz w:val="28"/>
          <w:szCs w:val="28"/>
        </w:rPr>
        <w:t>5</w:t>
      </w:r>
      <w:r>
        <w:rPr>
          <w:rFonts w:ascii="仿宋" w:hAnsi="仿宋" w:eastAsia="仿宋" w:cs="Times New Roman"/>
          <w:kern w:val="0"/>
          <w:sz w:val="28"/>
          <w:szCs w:val="28"/>
        </w:rPr>
        <w:t>年，展望到20</w:t>
      </w:r>
      <w:r>
        <w:rPr>
          <w:rFonts w:hint="eastAsia" w:ascii="仿宋" w:hAnsi="仿宋" w:eastAsia="仿宋" w:cs="Times New Roman"/>
          <w:kern w:val="0"/>
          <w:sz w:val="28"/>
          <w:szCs w:val="28"/>
        </w:rPr>
        <w:t>35</w:t>
      </w:r>
      <w:r>
        <w:rPr>
          <w:rFonts w:ascii="仿宋" w:hAnsi="仿宋" w:eastAsia="仿宋" w:cs="Times New Roman"/>
          <w:kern w:val="0"/>
          <w:sz w:val="28"/>
          <w:szCs w:val="28"/>
        </w:rPr>
        <w:t>年。</w:t>
      </w:r>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规划》适用于南昌市所辖行政区域。不单独编制县级矿产资源总体规划的南昌县、安义县及市辖区（东湖区、西湖区、青山湖区、青云谱区、红谷滩区、新建区）范围内的建筑用石料、砖瓦用页岩等三类矿产的管理纳入本《规划》。</w:t>
      </w:r>
    </w:p>
    <w:p>
      <w:pPr>
        <w:widowControl/>
        <w:jc w:val="left"/>
        <w:rPr>
          <w:rFonts w:ascii="仿宋_GB2312" w:hAnsi="Calibri" w:eastAsia="仿宋_GB2312" w:cs="Times New Roman"/>
          <w:b/>
          <w:kern w:val="0"/>
          <w:sz w:val="44"/>
        </w:rPr>
      </w:pPr>
      <w:r>
        <w:rPr>
          <w:rFonts w:ascii="仿宋_GB2312" w:hAnsi="Calibri" w:eastAsia="仿宋_GB2312" w:cs="Times New Roman"/>
          <w:b/>
          <w:kern w:val="0"/>
          <w:sz w:val="44"/>
        </w:rPr>
        <w:br w:type="page"/>
      </w:r>
    </w:p>
    <w:p>
      <w:pPr>
        <w:spacing w:before="156" w:beforeLines="50" w:after="156" w:afterLines="50" w:line="360" w:lineRule="auto"/>
        <w:jc w:val="center"/>
        <w:outlineLvl w:val="0"/>
        <w:rPr>
          <w:rFonts w:ascii="仿宋_GB2312" w:hAnsi="Calibri" w:eastAsia="仿宋_GB2312" w:cs="Times New Roman"/>
          <w:b/>
          <w:kern w:val="0"/>
          <w:sz w:val="32"/>
        </w:rPr>
      </w:pPr>
      <w:bookmarkStart w:id="11" w:name="_Toc104389925"/>
      <w:r>
        <w:rPr>
          <w:rFonts w:ascii="仿宋_GB2312" w:hAnsi="Calibri" w:eastAsia="仿宋_GB2312" w:cs="Times New Roman"/>
          <w:b/>
          <w:kern w:val="0"/>
          <w:sz w:val="44"/>
        </w:rPr>
        <w:t>第一章</w:t>
      </w:r>
      <w:r>
        <w:rPr>
          <w:rFonts w:hint="eastAsia" w:ascii="仿宋_GB2312" w:hAnsi="Calibri" w:eastAsia="仿宋_GB2312" w:cs="Times New Roman"/>
          <w:b/>
          <w:kern w:val="0"/>
          <w:sz w:val="44"/>
        </w:rPr>
        <w:t xml:space="preserve"> </w:t>
      </w:r>
      <w:r>
        <w:rPr>
          <w:rFonts w:ascii="仿宋_GB2312" w:hAnsi="Calibri" w:eastAsia="仿宋_GB2312" w:cs="Times New Roman"/>
          <w:b/>
          <w:kern w:val="0"/>
          <w:sz w:val="44"/>
        </w:rPr>
        <w:t xml:space="preserve"> 现状与形势</w:t>
      </w:r>
      <w:bookmarkEnd w:id="11"/>
      <w:bookmarkStart w:id="80" w:name="_GoBack"/>
      <w:bookmarkEnd w:id="80"/>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南昌市地处赣鄱平原，地热、矿泉水等矿产资源较丰富。</w:t>
      </w:r>
      <w:r>
        <w:rPr>
          <w:rFonts w:ascii="仿宋" w:hAnsi="仿宋" w:eastAsia="仿宋" w:cs="Times New Roman"/>
          <w:spacing w:val="-4"/>
          <w:kern w:val="0"/>
          <w:sz w:val="28"/>
          <w:szCs w:val="28"/>
        </w:rPr>
        <w:t>2020</w:t>
      </w:r>
      <w:r>
        <w:rPr>
          <w:rFonts w:hint="eastAsia" w:ascii="仿宋" w:hAnsi="仿宋" w:eastAsia="仿宋" w:cs="Times New Roman"/>
          <w:spacing w:val="-4"/>
          <w:kern w:val="0"/>
          <w:sz w:val="28"/>
          <w:szCs w:val="28"/>
        </w:rPr>
        <w:t>年矿业及其延伸产业营业收入</w:t>
      </w:r>
      <w:r>
        <w:rPr>
          <w:rFonts w:ascii="仿宋" w:hAnsi="仿宋" w:eastAsia="仿宋" w:cs="Times New Roman"/>
          <w:spacing w:val="-4"/>
          <w:kern w:val="0"/>
          <w:sz w:val="28"/>
          <w:szCs w:val="28"/>
        </w:rPr>
        <w:t>804.52</w:t>
      </w:r>
      <w:r>
        <w:rPr>
          <w:rFonts w:hint="eastAsia" w:ascii="仿宋" w:hAnsi="仿宋" w:eastAsia="仿宋" w:cs="Times New Roman"/>
          <w:spacing w:val="-4"/>
          <w:kern w:val="0"/>
          <w:sz w:val="28"/>
          <w:szCs w:val="28"/>
        </w:rPr>
        <w:t>亿元，其中，矿业营业收入为</w:t>
      </w:r>
      <w:r>
        <w:rPr>
          <w:rFonts w:ascii="仿宋" w:hAnsi="仿宋" w:eastAsia="仿宋" w:cs="Times New Roman"/>
          <w:spacing w:val="-4"/>
          <w:kern w:val="0"/>
          <w:sz w:val="28"/>
          <w:szCs w:val="28"/>
        </w:rPr>
        <w:t>0.27</w:t>
      </w:r>
      <w:r>
        <w:rPr>
          <w:rFonts w:hint="eastAsia" w:ascii="仿宋" w:hAnsi="仿宋" w:eastAsia="仿宋" w:cs="Times New Roman"/>
          <w:spacing w:val="-4"/>
          <w:kern w:val="0"/>
          <w:sz w:val="28"/>
          <w:szCs w:val="28"/>
        </w:rPr>
        <w:t>亿元（全部为非金属矿采选业），矿业延伸企业营业收入为</w:t>
      </w:r>
      <w:r>
        <w:rPr>
          <w:rFonts w:ascii="仿宋" w:hAnsi="仿宋" w:eastAsia="仿宋" w:cs="Times New Roman"/>
          <w:spacing w:val="-4"/>
          <w:kern w:val="0"/>
          <w:sz w:val="28"/>
          <w:szCs w:val="28"/>
        </w:rPr>
        <w:t>804.25</w:t>
      </w:r>
      <w:r>
        <w:rPr>
          <w:rFonts w:hint="eastAsia" w:ascii="仿宋" w:hAnsi="仿宋" w:eastAsia="仿宋" w:cs="Times New Roman"/>
          <w:spacing w:val="-4"/>
          <w:kern w:val="0"/>
          <w:sz w:val="28"/>
          <w:szCs w:val="28"/>
        </w:rPr>
        <w:t>亿元。矿业及其延伸产业经济占南昌市生产总值（</w:t>
      </w:r>
      <w:r>
        <w:rPr>
          <w:rFonts w:ascii="仿宋" w:hAnsi="仿宋" w:eastAsia="仿宋" w:cs="Times New Roman"/>
          <w:spacing w:val="-4"/>
          <w:kern w:val="0"/>
          <w:sz w:val="28"/>
          <w:szCs w:val="28"/>
        </w:rPr>
        <w:t>GDP</w:t>
      </w:r>
      <w:r>
        <w:rPr>
          <w:rFonts w:hint="eastAsia" w:ascii="仿宋" w:hAnsi="仿宋" w:eastAsia="仿宋" w:cs="Times New Roman"/>
          <w:spacing w:val="-4"/>
          <w:kern w:val="0"/>
          <w:sz w:val="28"/>
          <w:szCs w:val="28"/>
        </w:rPr>
        <w:t>）约1</w:t>
      </w:r>
      <w:r>
        <w:rPr>
          <w:rFonts w:ascii="仿宋" w:hAnsi="仿宋" w:eastAsia="仿宋" w:cs="Times New Roman"/>
          <w:spacing w:val="-4"/>
          <w:kern w:val="0"/>
          <w:sz w:val="28"/>
          <w:szCs w:val="28"/>
        </w:rPr>
        <w:t>4%</w:t>
      </w:r>
      <w:r>
        <w:rPr>
          <w:rFonts w:hint="eastAsia" w:ascii="仿宋" w:hAnsi="仿宋" w:eastAsia="仿宋" w:cs="Times New Roman"/>
          <w:spacing w:val="-4"/>
          <w:kern w:val="0"/>
          <w:sz w:val="28"/>
          <w:szCs w:val="28"/>
        </w:rPr>
        <w:t>，其中矿业营业收入占比约0</w:t>
      </w:r>
      <w:r>
        <w:rPr>
          <w:rFonts w:ascii="仿宋" w:hAnsi="仿宋" w:eastAsia="仿宋" w:cs="Times New Roman"/>
          <w:spacing w:val="-4"/>
          <w:kern w:val="0"/>
          <w:sz w:val="28"/>
          <w:szCs w:val="28"/>
        </w:rPr>
        <w:t>.005%</w:t>
      </w:r>
      <w:r>
        <w:rPr>
          <w:rFonts w:hint="eastAsia" w:ascii="仿宋" w:hAnsi="仿宋" w:eastAsia="仿宋" w:cs="Times New Roman"/>
          <w:spacing w:val="-4"/>
          <w:kern w:val="0"/>
          <w:sz w:val="28"/>
          <w:szCs w:val="28"/>
        </w:rPr>
        <w:t>。矿业开发为国民经济建设做出了一定贡献。</w:t>
      </w:r>
    </w:p>
    <w:p>
      <w:pPr>
        <w:spacing w:before="156" w:beforeLines="50" w:after="156" w:afterLines="50" w:line="360" w:lineRule="auto"/>
        <w:jc w:val="center"/>
        <w:outlineLvl w:val="1"/>
        <w:rPr>
          <w:rFonts w:ascii="仿宋" w:hAnsi="仿宋" w:eastAsia="仿宋" w:cs="Times New Roman"/>
          <w:kern w:val="0"/>
          <w:sz w:val="28"/>
          <w:szCs w:val="28"/>
        </w:rPr>
      </w:pPr>
      <w:bookmarkStart w:id="12" w:name="_Toc104389926"/>
      <w:r>
        <w:rPr>
          <w:rFonts w:hint="eastAsia" w:ascii="仿宋_GB2312" w:hAnsi="Calibri" w:eastAsia="仿宋_GB2312" w:cs="Times New Roman"/>
          <w:b/>
          <w:kern w:val="0"/>
          <w:sz w:val="32"/>
        </w:rPr>
        <w:t xml:space="preserve">第一节 </w:t>
      </w:r>
      <w:r>
        <w:rPr>
          <w:rFonts w:ascii="仿宋_GB2312" w:hAnsi="Calibri" w:eastAsia="仿宋_GB2312" w:cs="Times New Roman"/>
          <w:b/>
          <w:kern w:val="0"/>
          <w:sz w:val="32"/>
        </w:rPr>
        <w:t xml:space="preserve"> </w:t>
      </w:r>
      <w:r>
        <w:rPr>
          <w:rFonts w:hint="eastAsia" w:ascii="仿宋_GB2312" w:hAnsi="Calibri" w:eastAsia="仿宋_GB2312" w:cs="Times New Roman"/>
          <w:b/>
          <w:kern w:val="0"/>
          <w:sz w:val="32"/>
        </w:rPr>
        <w:t>发展现状</w:t>
      </w:r>
      <w:bookmarkEnd w:id="12"/>
    </w:p>
    <w:p>
      <w:pPr>
        <w:spacing w:line="360" w:lineRule="auto"/>
        <w:ind w:firstLine="602" w:firstLineChars="200"/>
        <w:jc w:val="left"/>
        <w:outlineLvl w:val="2"/>
        <w:rPr>
          <w:rFonts w:ascii="仿宋_GB2312" w:hAnsi="仿宋" w:eastAsia="仿宋_GB2312" w:cs="Times New Roman"/>
          <w:b/>
          <w:kern w:val="0"/>
          <w:sz w:val="30"/>
          <w:szCs w:val="30"/>
        </w:rPr>
      </w:pPr>
      <w:bookmarkStart w:id="13" w:name="_Toc104389927"/>
      <w:r>
        <w:rPr>
          <w:rFonts w:hint="eastAsia" w:ascii="仿宋_GB2312" w:hAnsi="仿宋" w:eastAsia="仿宋_GB2312" w:cs="Times New Roman"/>
          <w:b/>
          <w:kern w:val="0"/>
          <w:sz w:val="30"/>
          <w:szCs w:val="30"/>
        </w:rPr>
        <w:t>一、矿产资源特点</w:t>
      </w:r>
      <w:bookmarkEnd w:id="13"/>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截至</w:t>
      </w:r>
      <w:r>
        <w:rPr>
          <w:rFonts w:ascii="仿宋" w:hAnsi="仿宋" w:eastAsia="仿宋" w:cs="Times New Roman"/>
          <w:kern w:val="0"/>
          <w:sz w:val="28"/>
          <w:szCs w:val="28"/>
        </w:rPr>
        <w:t>2020</w:t>
      </w:r>
      <w:r>
        <w:rPr>
          <w:rFonts w:hint="eastAsia" w:ascii="仿宋" w:hAnsi="仿宋" w:eastAsia="仿宋" w:cs="Times New Roman"/>
          <w:kern w:val="0"/>
          <w:sz w:val="28"/>
          <w:szCs w:val="28"/>
        </w:rPr>
        <w:t>年底，全市共发现矿产</w:t>
      </w:r>
      <w:r>
        <w:rPr>
          <w:rFonts w:ascii="仿宋" w:hAnsi="仿宋" w:eastAsia="仿宋" w:cs="Times New Roman"/>
          <w:kern w:val="0"/>
          <w:sz w:val="28"/>
          <w:szCs w:val="28"/>
        </w:rPr>
        <w:t>18</w:t>
      </w:r>
      <w:r>
        <w:rPr>
          <w:rFonts w:hint="eastAsia" w:ascii="仿宋" w:hAnsi="仿宋" w:eastAsia="仿宋" w:cs="Times New Roman"/>
          <w:kern w:val="0"/>
          <w:sz w:val="28"/>
          <w:szCs w:val="28"/>
        </w:rPr>
        <w:t>种，分别是煤、地热、泥炭；砂金、金、钛、锑、钴铜；瓷土（高岭土）、水泥用灰岩、水泥配料用粘土、脉石英、辉绿岩、石膏；矿泉水；建筑石料用灰岩、砖瓦用页岩、砖瓦用粘土。其中探明有资源量的矿产</w:t>
      </w:r>
      <w:r>
        <w:rPr>
          <w:rFonts w:ascii="仿宋" w:hAnsi="仿宋" w:eastAsia="仿宋" w:cs="Times New Roman"/>
          <w:kern w:val="0"/>
          <w:sz w:val="28"/>
          <w:szCs w:val="28"/>
        </w:rPr>
        <w:t>6</w:t>
      </w:r>
      <w:r>
        <w:rPr>
          <w:rFonts w:hint="eastAsia" w:ascii="仿宋" w:hAnsi="仿宋" w:eastAsia="仿宋" w:cs="Times New Roman"/>
          <w:kern w:val="0"/>
          <w:sz w:val="28"/>
          <w:szCs w:val="28"/>
        </w:rPr>
        <w:t>种，列入矿产资源量表的矿产</w:t>
      </w:r>
      <w:r>
        <w:rPr>
          <w:rFonts w:ascii="仿宋" w:hAnsi="仿宋" w:eastAsia="仿宋" w:cs="Times New Roman"/>
          <w:kern w:val="0"/>
          <w:sz w:val="28"/>
          <w:szCs w:val="28"/>
        </w:rPr>
        <w:t>4</w:t>
      </w:r>
      <w:r>
        <w:rPr>
          <w:rFonts w:hint="eastAsia" w:ascii="仿宋" w:hAnsi="仿宋" w:eastAsia="仿宋" w:cs="Times New Roman"/>
          <w:kern w:val="0"/>
          <w:sz w:val="28"/>
          <w:szCs w:val="28"/>
        </w:rPr>
        <w:t>种，探明的矿产地</w:t>
      </w:r>
      <w:r>
        <w:rPr>
          <w:rFonts w:ascii="仿宋" w:hAnsi="仿宋" w:eastAsia="仿宋" w:cs="Times New Roman"/>
          <w:kern w:val="0"/>
          <w:sz w:val="28"/>
          <w:szCs w:val="28"/>
        </w:rPr>
        <w:t>11</w:t>
      </w:r>
      <w:r>
        <w:rPr>
          <w:rFonts w:hint="eastAsia" w:ascii="仿宋" w:hAnsi="仿宋" w:eastAsia="仿宋" w:cs="Times New Roman"/>
          <w:kern w:val="0"/>
          <w:sz w:val="28"/>
          <w:szCs w:val="28"/>
        </w:rPr>
        <w:t>处；其中中型矿床</w:t>
      </w:r>
      <w:r>
        <w:rPr>
          <w:rFonts w:ascii="仿宋" w:hAnsi="仿宋" w:eastAsia="仿宋" w:cs="Times New Roman"/>
          <w:kern w:val="0"/>
          <w:sz w:val="28"/>
          <w:szCs w:val="28"/>
        </w:rPr>
        <w:t>2</w:t>
      </w:r>
      <w:r>
        <w:rPr>
          <w:rFonts w:hint="eastAsia" w:ascii="仿宋" w:hAnsi="仿宋" w:eastAsia="仿宋" w:cs="Times New Roman"/>
          <w:kern w:val="0"/>
          <w:sz w:val="28"/>
          <w:szCs w:val="28"/>
        </w:rPr>
        <w:t>个（地热水、矿泉水各</w:t>
      </w:r>
      <w:r>
        <w:rPr>
          <w:rFonts w:ascii="仿宋" w:hAnsi="仿宋" w:eastAsia="仿宋" w:cs="Times New Roman"/>
          <w:kern w:val="0"/>
          <w:sz w:val="28"/>
          <w:szCs w:val="28"/>
        </w:rPr>
        <w:t>1</w:t>
      </w:r>
      <w:r>
        <w:rPr>
          <w:rFonts w:hint="eastAsia" w:ascii="仿宋" w:hAnsi="仿宋" w:eastAsia="仿宋" w:cs="Times New Roman"/>
          <w:kern w:val="0"/>
          <w:sz w:val="28"/>
          <w:szCs w:val="28"/>
        </w:rPr>
        <w:t>个），小型矿床</w:t>
      </w:r>
      <w:r>
        <w:rPr>
          <w:rFonts w:ascii="仿宋" w:hAnsi="仿宋" w:eastAsia="仿宋" w:cs="Times New Roman"/>
          <w:kern w:val="0"/>
          <w:sz w:val="28"/>
          <w:szCs w:val="28"/>
        </w:rPr>
        <w:t>9</w:t>
      </w:r>
      <w:r>
        <w:rPr>
          <w:rFonts w:hint="eastAsia" w:ascii="仿宋" w:hAnsi="仿宋" w:eastAsia="仿宋" w:cs="Times New Roman"/>
          <w:kern w:val="0"/>
          <w:sz w:val="28"/>
          <w:szCs w:val="28"/>
        </w:rPr>
        <w:t>个，具有开发利用价值的盆地隐伏型地热为全省首次探明；已开发利用矿产地</w:t>
      </w:r>
      <w:r>
        <w:rPr>
          <w:rFonts w:ascii="仿宋" w:hAnsi="仿宋" w:eastAsia="仿宋" w:cs="Times New Roman"/>
          <w:kern w:val="0"/>
          <w:sz w:val="28"/>
          <w:szCs w:val="28"/>
        </w:rPr>
        <w:t>5</w:t>
      </w:r>
      <w:r>
        <w:rPr>
          <w:rFonts w:hint="eastAsia" w:ascii="仿宋" w:hAnsi="仿宋" w:eastAsia="仿宋" w:cs="Times New Roman"/>
          <w:kern w:val="0"/>
          <w:sz w:val="28"/>
          <w:szCs w:val="28"/>
        </w:rPr>
        <w:t>处，主要为矿泉水3处、煤2处，目前均已停采。主要矿产资源量见专栏</w:t>
      </w:r>
      <w:r>
        <w:rPr>
          <w:rFonts w:ascii="仿宋" w:hAnsi="仿宋" w:eastAsia="仿宋" w:cs="Times New Roman"/>
          <w:kern w:val="0"/>
          <w:sz w:val="28"/>
          <w:szCs w:val="28"/>
        </w:rPr>
        <w:t>1-1</w:t>
      </w:r>
      <w:r>
        <w:rPr>
          <w:rFonts w:hint="eastAsia" w:ascii="仿宋" w:hAnsi="仿宋" w:eastAsia="仿宋" w:cs="Times New Roman"/>
          <w:kern w:val="0"/>
          <w:sz w:val="28"/>
          <w:szCs w:val="28"/>
        </w:rPr>
        <w:t>。</w:t>
      </w:r>
    </w:p>
    <w:tbl>
      <w:tblPr>
        <w:tblStyle w:val="12"/>
        <w:tblW w:w="4917" w:type="pct"/>
        <w:jc w:val="center"/>
        <w:tblLayout w:type="autofit"/>
        <w:tblCellMar>
          <w:top w:w="0" w:type="dxa"/>
          <w:left w:w="108" w:type="dxa"/>
          <w:bottom w:w="0" w:type="dxa"/>
          <w:right w:w="108" w:type="dxa"/>
        </w:tblCellMar>
      </w:tblPr>
      <w:tblGrid>
        <w:gridCol w:w="870"/>
        <w:gridCol w:w="1301"/>
        <w:gridCol w:w="1708"/>
        <w:gridCol w:w="1460"/>
        <w:gridCol w:w="1832"/>
        <w:gridCol w:w="1210"/>
      </w:tblGrid>
      <w:tr>
        <w:tblPrEx>
          <w:tblCellMar>
            <w:top w:w="0" w:type="dxa"/>
            <w:left w:w="108" w:type="dxa"/>
            <w:bottom w:w="0" w:type="dxa"/>
            <w:right w:w="108" w:type="dxa"/>
          </w:tblCellMar>
        </w:tblPrEx>
        <w:trPr>
          <w:trHeight w:val="285" w:hRule="atLeast"/>
          <w:tblHeader/>
          <w:jc w:val="center"/>
        </w:trPr>
        <w:tc>
          <w:tcPr>
            <w:tcW w:w="5000" w:type="pct"/>
            <w:gridSpan w:val="6"/>
            <w:tcBorders>
              <w:top w:val="single" w:color="auto" w:sz="4" w:space="0"/>
              <w:left w:val="single" w:color="auto" w:sz="4" w:space="0"/>
              <w:bottom w:val="single" w:color="auto" w:sz="4" w:space="0"/>
              <w:right w:val="single" w:color="auto" w:sz="4" w:space="0"/>
            </w:tcBorders>
            <w:shd w:val="clear" w:color="auto" w:fill="99CCFF"/>
            <w:noWrap/>
            <w:vAlign w:val="center"/>
          </w:tcPr>
          <w:p>
            <w:pPr>
              <w:widowControl/>
              <w:jc w:val="center"/>
              <w:rPr>
                <w:rFonts w:ascii="仿宋_GB2312" w:hAnsi="宋体" w:eastAsia="仿宋_GB2312" w:cs="宋体"/>
                <w:b/>
                <w:bCs/>
                <w:color w:val="000000"/>
                <w:kern w:val="0"/>
                <w:sz w:val="24"/>
                <w:szCs w:val="24"/>
              </w:rPr>
            </w:pPr>
            <w:r>
              <w:rPr>
                <w:rFonts w:hint="eastAsia" w:ascii="仿宋_GB2312" w:hAnsi="Times New Roman" w:eastAsia="仿宋_GB2312" w:cs="Times New Roman"/>
                <w:b/>
                <w:bCs/>
                <w:sz w:val="24"/>
                <w:szCs w:val="24"/>
              </w:rPr>
              <w:t>专栏1</w:t>
            </w:r>
            <w:r>
              <w:rPr>
                <w:rFonts w:ascii="仿宋_GB2312" w:hAnsi="Times New Roman" w:eastAsia="仿宋_GB2312" w:cs="Times New Roman"/>
                <w:b/>
                <w:bCs/>
                <w:sz w:val="24"/>
                <w:szCs w:val="24"/>
              </w:rPr>
              <w:t>-</w:t>
            </w:r>
            <w:r>
              <w:rPr>
                <w:rFonts w:hint="eastAsia" w:ascii="仿宋_GB2312" w:hAnsi="Times New Roman" w:eastAsia="仿宋_GB2312" w:cs="Times New Roman"/>
                <w:b/>
                <w:bCs/>
                <w:sz w:val="24"/>
                <w:szCs w:val="24"/>
              </w:rPr>
              <w:t>1</w:t>
            </w:r>
            <w:r>
              <w:rPr>
                <w:rFonts w:ascii="仿宋_GB2312" w:hAnsi="Times New Roman" w:eastAsia="仿宋_GB2312" w:cs="Times New Roman"/>
                <w:b/>
                <w:bCs/>
                <w:sz w:val="24"/>
                <w:szCs w:val="24"/>
              </w:rPr>
              <w:t xml:space="preserve">  </w:t>
            </w:r>
            <w:r>
              <w:rPr>
                <w:rFonts w:hint="eastAsia" w:ascii="仿宋_GB2312" w:hAnsi="Times New Roman" w:eastAsia="仿宋_GB2312" w:cs="Times New Roman"/>
                <w:b/>
                <w:bCs/>
                <w:color w:val="000000"/>
                <w:kern w:val="0"/>
                <w:sz w:val="24"/>
                <w:szCs w:val="24"/>
              </w:rPr>
              <w:t>南昌市</w:t>
            </w:r>
            <w:r>
              <w:rPr>
                <w:rFonts w:hint="eastAsia" w:ascii="仿宋_GB2312" w:hAnsi="Times New Roman" w:eastAsia="仿宋_GB2312" w:cs="Times New Roman"/>
                <w:b/>
                <w:bCs/>
                <w:sz w:val="24"/>
                <w:szCs w:val="24"/>
              </w:rPr>
              <w:t>主要矿产资源保有资源储量</w:t>
            </w:r>
          </w:p>
        </w:tc>
      </w:tr>
      <w:tr>
        <w:tblPrEx>
          <w:tblCellMar>
            <w:top w:w="0" w:type="dxa"/>
            <w:left w:w="108" w:type="dxa"/>
            <w:bottom w:w="0" w:type="dxa"/>
            <w:right w:w="108" w:type="dxa"/>
          </w:tblCellMar>
        </w:tblPrEx>
        <w:trPr>
          <w:trHeight w:val="285" w:hRule="atLeast"/>
          <w:tblHeader/>
          <w:jc w:val="center"/>
        </w:trPr>
        <w:tc>
          <w:tcPr>
            <w:tcW w:w="519" w:type="pct"/>
            <w:tcBorders>
              <w:top w:val="single" w:color="auto" w:sz="4" w:space="0"/>
              <w:left w:val="single" w:color="auto" w:sz="4" w:space="0"/>
              <w:bottom w:val="single" w:color="auto" w:sz="4" w:space="0"/>
              <w:right w:val="single" w:color="auto" w:sz="4" w:space="0"/>
            </w:tcBorders>
            <w:shd w:val="clear" w:color="auto" w:fill="CCFFFF"/>
            <w:noWrap/>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类别</w:t>
            </w:r>
          </w:p>
        </w:tc>
        <w:tc>
          <w:tcPr>
            <w:tcW w:w="776" w:type="pct"/>
            <w:tcBorders>
              <w:top w:val="single" w:color="auto" w:sz="4" w:space="0"/>
              <w:left w:val="nil"/>
              <w:bottom w:val="single" w:color="auto" w:sz="4" w:space="0"/>
              <w:right w:val="single" w:color="auto" w:sz="4" w:space="0"/>
            </w:tcBorders>
            <w:shd w:val="clear" w:color="auto" w:fill="CCFFFF"/>
            <w:noWrap/>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矿产名称</w:t>
            </w:r>
          </w:p>
        </w:tc>
        <w:tc>
          <w:tcPr>
            <w:tcW w:w="1019" w:type="pct"/>
            <w:tcBorders>
              <w:top w:val="single" w:color="auto" w:sz="4" w:space="0"/>
              <w:left w:val="nil"/>
              <w:bottom w:val="single" w:color="auto" w:sz="4" w:space="0"/>
              <w:right w:val="single" w:color="auto" w:sz="4" w:space="0"/>
            </w:tcBorders>
            <w:shd w:val="clear" w:color="auto" w:fill="CCFFFF"/>
            <w:noWrap/>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资源储量单位</w:t>
            </w:r>
          </w:p>
        </w:tc>
        <w:tc>
          <w:tcPr>
            <w:tcW w:w="871" w:type="pct"/>
            <w:tcBorders>
              <w:top w:val="single" w:color="auto" w:sz="4" w:space="0"/>
              <w:left w:val="nil"/>
              <w:bottom w:val="single" w:color="auto" w:sz="4" w:space="0"/>
              <w:right w:val="single" w:color="auto" w:sz="4" w:space="0"/>
            </w:tcBorders>
            <w:shd w:val="clear" w:color="auto" w:fill="CCFFFF"/>
            <w:noWrap/>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保有资源量</w:t>
            </w:r>
          </w:p>
        </w:tc>
        <w:tc>
          <w:tcPr>
            <w:tcW w:w="1093" w:type="pct"/>
            <w:tcBorders>
              <w:top w:val="single" w:color="auto" w:sz="4" w:space="0"/>
              <w:left w:val="nil"/>
              <w:bottom w:val="single" w:color="auto" w:sz="4" w:space="0"/>
              <w:right w:val="single" w:color="auto" w:sz="4" w:space="0"/>
            </w:tcBorders>
            <w:shd w:val="clear" w:color="auto" w:fill="CCFFFF"/>
            <w:noWrap/>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全省占比（%）</w:t>
            </w:r>
          </w:p>
        </w:tc>
        <w:tc>
          <w:tcPr>
            <w:tcW w:w="723" w:type="pct"/>
            <w:tcBorders>
              <w:top w:val="single" w:color="auto" w:sz="4" w:space="0"/>
              <w:left w:val="nil"/>
              <w:bottom w:val="single" w:color="auto" w:sz="4" w:space="0"/>
              <w:right w:val="single" w:color="auto" w:sz="4" w:space="0"/>
            </w:tcBorders>
            <w:shd w:val="clear" w:color="auto" w:fill="CCFFFF"/>
            <w:noWrap/>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全省排名</w:t>
            </w:r>
          </w:p>
        </w:tc>
      </w:tr>
      <w:tr>
        <w:tblPrEx>
          <w:tblCellMar>
            <w:top w:w="0" w:type="dxa"/>
            <w:left w:w="108" w:type="dxa"/>
            <w:bottom w:w="0" w:type="dxa"/>
            <w:right w:w="108" w:type="dxa"/>
          </w:tblCellMar>
        </w:tblPrEx>
        <w:trPr>
          <w:trHeight w:val="285" w:hRule="atLeast"/>
          <w:jc w:val="center"/>
        </w:trPr>
        <w:tc>
          <w:tcPr>
            <w:tcW w:w="519" w:type="pct"/>
            <w:vMerge w:val="restart"/>
            <w:tcBorders>
              <w:top w:val="nil"/>
              <w:left w:val="single" w:color="auto" w:sz="4" w:space="0"/>
              <w:bottom w:val="single" w:color="auto" w:sz="4" w:space="0"/>
              <w:right w:val="single" w:color="auto" w:sz="4" w:space="0"/>
            </w:tcBorders>
            <w:shd w:val="clear" w:color="auto" w:fill="CCFFFF"/>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能源</w:t>
            </w:r>
          </w:p>
        </w:tc>
        <w:tc>
          <w:tcPr>
            <w:tcW w:w="776" w:type="pct"/>
            <w:tcBorders>
              <w:top w:val="nil"/>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煤</w:t>
            </w:r>
          </w:p>
        </w:tc>
        <w:tc>
          <w:tcPr>
            <w:tcW w:w="1019" w:type="pct"/>
            <w:tcBorders>
              <w:top w:val="nil"/>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万吨</w:t>
            </w:r>
          </w:p>
        </w:tc>
        <w:tc>
          <w:tcPr>
            <w:tcW w:w="871" w:type="pct"/>
            <w:tcBorders>
              <w:top w:val="nil"/>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138.81</w:t>
            </w:r>
          </w:p>
        </w:tc>
        <w:tc>
          <w:tcPr>
            <w:tcW w:w="1093" w:type="pct"/>
            <w:tcBorders>
              <w:top w:val="nil"/>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0</w:t>
            </w:r>
            <w:r>
              <w:rPr>
                <w:rFonts w:ascii="Times New Roman" w:eastAsia="仿宋"/>
                <w:szCs w:val="21"/>
              </w:rPr>
              <w:t>.1</w:t>
            </w:r>
          </w:p>
        </w:tc>
        <w:tc>
          <w:tcPr>
            <w:tcW w:w="723" w:type="pct"/>
            <w:tcBorders>
              <w:top w:val="nil"/>
              <w:left w:val="nil"/>
              <w:bottom w:val="single" w:color="auto" w:sz="4" w:space="0"/>
              <w:right w:val="single" w:color="auto" w:sz="4" w:space="0"/>
            </w:tcBorders>
            <w:shd w:val="clear" w:color="auto" w:fill="CCFFFF"/>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r>
              <w:rPr>
                <w:rFonts w:ascii="仿宋_GB2312" w:hAnsi="宋体" w:eastAsia="仿宋_GB2312" w:cs="宋体"/>
                <w:color w:val="000000"/>
                <w:kern w:val="0"/>
                <w:sz w:val="24"/>
                <w:szCs w:val="24"/>
              </w:rPr>
              <w:t>0</w:t>
            </w:r>
          </w:p>
        </w:tc>
      </w:tr>
      <w:tr>
        <w:tblPrEx>
          <w:tblCellMar>
            <w:top w:w="0" w:type="dxa"/>
            <w:left w:w="108" w:type="dxa"/>
            <w:bottom w:w="0" w:type="dxa"/>
            <w:right w:w="108" w:type="dxa"/>
          </w:tblCellMar>
        </w:tblPrEx>
        <w:trPr>
          <w:trHeight w:val="285" w:hRule="atLeast"/>
          <w:jc w:val="center"/>
        </w:trPr>
        <w:tc>
          <w:tcPr>
            <w:tcW w:w="519" w:type="pct"/>
            <w:vMerge w:val="continue"/>
            <w:tcBorders>
              <w:top w:val="nil"/>
              <w:left w:val="single" w:color="auto" w:sz="4" w:space="0"/>
              <w:bottom w:val="single" w:color="auto" w:sz="4" w:space="0"/>
              <w:right w:val="single" w:color="auto" w:sz="4" w:space="0"/>
            </w:tcBorders>
            <w:shd w:val="clear" w:color="auto" w:fill="CCFFFF"/>
            <w:vAlign w:val="center"/>
          </w:tcPr>
          <w:p>
            <w:pPr>
              <w:widowControl/>
              <w:jc w:val="left"/>
              <w:rPr>
                <w:rFonts w:ascii="仿宋_GB2312" w:hAnsi="宋体" w:eastAsia="仿宋_GB2312" w:cs="宋体"/>
                <w:color w:val="000000"/>
                <w:kern w:val="0"/>
                <w:sz w:val="24"/>
                <w:szCs w:val="24"/>
              </w:rPr>
            </w:pPr>
          </w:p>
        </w:tc>
        <w:tc>
          <w:tcPr>
            <w:tcW w:w="776" w:type="pct"/>
            <w:tcBorders>
              <w:top w:val="nil"/>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地热水</w:t>
            </w:r>
          </w:p>
        </w:tc>
        <w:tc>
          <w:tcPr>
            <w:tcW w:w="1019" w:type="pct"/>
            <w:tcBorders>
              <w:top w:val="nil"/>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立方米/日</w:t>
            </w:r>
          </w:p>
        </w:tc>
        <w:tc>
          <w:tcPr>
            <w:tcW w:w="871" w:type="pct"/>
            <w:tcBorders>
              <w:top w:val="nil"/>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8</w:t>
            </w:r>
            <w:r>
              <w:rPr>
                <w:rFonts w:ascii="Times New Roman" w:eastAsia="仿宋"/>
                <w:szCs w:val="21"/>
              </w:rPr>
              <w:t>726.37</w:t>
            </w:r>
          </w:p>
        </w:tc>
        <w:tc>
          <w:tcPr>
            <w:tcW w:w="1093" w:type="pct"/>
            <w:tcBorders>
              <w:top w:val="nil"/>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1</w:t>
            </w:r>
            <w:r>
              <w:rPr>
                <w:rFonts w:ascii="Times New Roman" w:eastAsia="仿宋"/>
                <w:szCs w:val="21"/>
              </w:rPr>
              <w:t>5.27</w:t>
            </w:r>
          </w:p>
        </w:tc>
        <w:tc>
          <w:tcPr>
            <w:tcW w:w="723" w:type="pct"/>
            <w:tcBorders>
              <w:top w:val="nil"/>
              <w:left w:val="nil"/>
              <w:bottom w:val="single" w:color="auto" w:sz="4" w:space="0"/>
              <w:right w:val="single" w:color="auto" w:sz="4" w:space="0"/>
            </w:tcBorders>
            <w:shd w:val="clear" w:color="auto" w:fill="CCFFFF"/>
            <w:vAlign w:val="center"/>
          </w:tcPr>
          <w:p>
            <w:pPr>
              <w:widowControl/>
              <w:jc w:val="center"/>
              <w:rPr>
                <w:rFonts w:ascii="仿宋_GB2312" w:hAnsi="宋体" w:eastAsia="仿宋_GB2312" w:cs="宋体"/>
                <w:color w:val="000000"/>
                <w:kern w:val="0"/>
                <w:sz w:val="24"/>
                <w:szCs w:val="24"/>
              </w:rPr>
            </w:pPr>
          </w:p>
        </w:tc>
      </w:tr>
      <w:tr>
        <w:tblPrEx>
          <w:tblCellMar>
            <w:top w:w="0" w:type="dxa"/>
            <w:left w:w="108" w:type="dxa"/>
            <w:bottom w:w="0" w:type="dxa"/>
            <w:right w:w="108" w:type="dxa"/>
          </w:tblCellMar>
        </w:tblPrEx>
        <w:trPr>
          <w:trHeight w:val="361" w:hRule="atLeast"/>
          <w:jc w:val="center"/>
        </w:trPr>
        <w:tc>
          <w:tcPr>
            <w:tcW w:w="519" w:type="pct"/>
            <w:vMerge w:val="restart"/>
            <w:tcBorders>
              <w:top w:val="single" w:color="auto" w:sz="4" w:space="0"/>
              <w:left w:val="single" w:color="auto" w:sz="4" w:space="0"/>
              <w:bottom w:val="single" w:color="auto" w:sz="4" w:space="0"/>
              <w:right w:val="single" w:color="auto" w:sz="4" w:space="0"/>
            </w:tcBorders>
            <w:shd w:val="clear" w:color="auto" w:fill="CCFFFF"/>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建材矿产</w:t>
            </w:r>
          </w:p>
        </w:tc>
        <w:tc>
          <w:tcPr>
            <w:tcW w:w="776"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水泥用灰岩</w:t>
            </w:r>
          </w:p>
        </w:tc>
        <w:tc>
          <w:tcPr>
            <w:tcW w:w="1019"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万吨</w:t>
            </w:r>
          </w:p>
        </w:tc>
        <w:tc>
          <w:tcPr>
            <w:tcW w:w="871"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1</w:t>
            </w:r>
            <w:r>
              <w:rPr>
                <w:rFonts w:ascii="Times New Roman" w:eastAsia="仿宋"/>
                <w:szCs w:val="21"/>
              </w:rPr>
              <w:t>698.18</w:t>
            </w:r>
          </w:p>
        </w:tc>
        <w:tc>
          <w:tcPr>
            <w:tcW w:w="1093"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0</w:t>
            </w:r>
            <w:r>
              <w:rPr>
                <w:rFonts w:ascii="Times New Roman" w:eastAsia="仿宋"/>
                <w:szCs w:val="21"/>
              </w:rPr>
              <w:t>.36</w:t>
            </w:r>
          </w:p>
        </w:tc>
        <w:tc>
          <w:tcPr>
            <w:tcW w:w="723" w:type="pct"/>
            <w:tcBorders>
              <w:top w:val="single" w:color="auto" w:sz="4" w:space="0"/>
              <w:left w:val="nil"/>
              <w:bottom w:val="single" w:color="auto" w:sz="4" w:space="0"/>
              <w:right w:val="single" w:color="auto" w:sz="4" w:space="0"/>
            </w:tcBorders>
            <w:shd w:val="clear" w:color="auto" w:fill="CCFFFF"/>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r>
              <w:rPr>
                <w:rFonts w:ascii="仿宋_GB2312" w:hAnsi="宋体" w:eastAsia="仿宋_GB2312" w:cs="宋体"/>
                <w:color w:val="000000"/>
                <w:kern w:val="0"/>
                <w:sz w:val="24"/>
                <w:szCs w:val="24"/>
              </w:rPr>
              <w:t>0</w:t>
            </w:r>
          </w:p>
        </w:tc>
      </w:tr>
      <w:tr>
        <w:tblPrEx>
          <w:tblCellMar>
            <w:top w:w="0" w:type="dxa"/>
            <w:left w:w="108" w:type="dxa"/>
            <w:bottom w:w="0" w:type="dxa"/>
            <w:right w:w="108" w:type="dxa"/>
          </w:tblCellMar>
        </w:tblPrEx>
        <w:trPr>
          <w:trHeight w:val="560" w:hRule="atLeast"/>
          <w:jc w:val="center"/>
        </w:trPr>
        <w:tc>
          <w:tcPr>
            <w:tcW w:w="519" w:type="pct"/>
            <w:vMerge w:val="continue"/>
            <w:tcBorders>
              <w:top w:val="single" w:color="auto" w:sz="4" w:space="0"/>
              <w:left w:val="single" w:color="auto" w:sz="4" w:space="0"/>
              <w:bottom w:val="single" w:color="auto" w:sz="4" w:space="0"/>
              <w:right w:val="single" w:color="auto" w:sz="4" w:space="0"/>
            </w:tcBorders>
            <w:shd w:val="clear" w:color="auto" w:fill="CCFFFF"/>
            <w:vAlign w:val="center"/>
          </w:tcPr>
          <w:p>
            <w:pPr>
              <w:widowControl/>
              <w:jc w:val="center"/>
              <w:rPr>
                <w:rFonts w:ascii="仿宋_GB2312" w:hAnsi="宋体" w:eastAsia="仿宋_GB2312" w:cs="宋体"/>
                <w:color w:val="000000"/>
                <w:kern w:val="0"/>
                <w:sz w:val="24"/>
                <w:szCs w:val="24"/>
              </w:rPr>
            </w:pPr>
          </w:p>
        </w:tc>
        <w:tc>
          <w:tcPr>
            <w:tcW w:w="776" w:type="pct"/>
            <w:tcBorders>
              <w:top w:val="single" w:color="auto" w:sz="4" w:space="0"/>
              <w:left w:val="nil"/>
              <w:bottom w:val="single" w:color="auto" w:sz="4" w:space="0"/>
              <w:right w:val="single" w:color="auto" w:sz="4" w:space="0"/>
            </w:tcBorders>
            <w:shd w:val="clear" w:color="auto" w:fill="CCFFFF"/>
            <w:noWrap/>
            <w:vAlign w:val="center"/>
          </w:tcPr>
          <w:p>
            <w:pPr>
              <w:spacing w:line="280" w:lineRule="exact"/>
              <w:jc w:val="center"/>
              <w:rPr>
                <w:rFonts w:ascii="Times New Roman" w:eastAsia="仿宋"/>
                <w:szCs w:val="21"/>
              </w:rPr>
            </w:pPr>
            <w:r>
              <w:rPr>
                <w:rFonts w:hint="eastAsia" w:ascii="Times New Roman" w:eastAsia="仿宋"/>
                <w:szCs w:val="21"/>
              </w:rPr>
              <w:t>建筑石料用</w:t>
            </w:r>
          </w:p>
          <w:p>
            <w:pPr>
              <w:spacing w:line="280" w:lineRule="exact"/>
              <w:jc w:val="center"/>
              <w:rPr>
                <w:rFonts w:ascii="Times New Roman" w:eastAsia="仿宋"/>
                <w:szCs w:val="21"/>
              </w:rPr>
            </w:pPr>
            <w:r>
              <w:rPr>
                <w:rFonts w:hint="eastAsia" w:ascii="Times New Roman" w:eastAsia="仿宋"/>
                <w:szCs w:val="21"/>
              </w:rPr>
              <w:t>灰岩</w:t>
            </w:r>
          </w:p>
        </w:tc>
        <w:tc>
          <w:tcPr>
            <w:tcW w:w="1019"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万吨</w:t>
            </w:r>
          </w:p>
        </w:tc>
        <w:tc>
          <w:tcPr>
            <w:tcW w:w="871"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2</w:t>
            </w:r>
            <w:r>
              <w:rPr>
                <w:rFonts w:ascii="Times New Roman" w:eastAsia="仿宋"/>
                <w:szCs w:val="21"/>
              </w:rPr>
              <w:t>435.28</w:t>
            </w:r>
          </w:p>
        </w:tc>
        <w:tc>
          <w:tcPr>
            <w:tcW w:w="1093"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ascii="Times New Roman" w:eastAsia="仿宋"/>
                <w:szCs w:val="21"/>
              </w:rPr>
              <w:t>28.32</w:t>
            </w:r>
          </w:p>
        </w:tc>
        <w:tc>
          <w:tcPr>
            <w:tcW w:w="723" w:type="pct"/>
            <w:tcBorders>
              <w:top w:val="single" w:color="auto" w:sz="4" w:space="0"/>
              <w:left w:val="nil"/>
              <w:bottom w:val="single" w:color="auto" w:sz="4" w:space="0"/>
              <w:right w:val="single" w:color="auto" w:sz="4" w:space="0"/>
            </w:tcBorders>
            <w:shd w:val="clear" w:color="auto" w:fill="CCFFFF"/>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3</w:t>
            </w:r>
          </w:p>
        </w:tc>
      </w:tr>
      <w:tr>
        <w:tblPrEx>
          <w:tblCellMar>
            <w:top w:w="0" w:type="dxa"/>
            <w:left w:w="108" w:type="dxa"/>
            <w:bottom w:w="0" w:type="dxa"/>
            <w:right w:w="108" w:type="dxa"/>
          </w:tblCellMar>
        </w:tblPrEx>
        <w:trPr>
          <w:trHeight w:val="285" w:hRule="atLeast"/>
          <w:jc w:val="center"/>
        </w:trPr>
        <w:tc>
          <w:tcPr>
            <w:tcW w:w="519" w:type="pct"/>
            <w:vMerge w:val="continue"/>
            <w:tcBorders>
              <w:top w:val="single" w:color="auto" w:sz="4" w:space="0"/>
              <w:left w:val="single" w:color="auto" w:sz="4" w:space="0"/>
              <w:bottom w:val="single" w:color="auto" w:sz="4" w:space="0"/>
              <w:right w:val="single" w:color="auto" w:sz="4" w:space="0"/>
            </w:tcBorders>
            <w:shd w:val="clear" w:color="auto" w:fill="CCFFFF"/>
            <w:vAlign w:val="center"/>
          </w:tcPr>
          <w:p>
            <w:pPr>
              <w:widowControl/>
              <w:jc w:val="left"/>
              <w:rPr>
                <w:rFonts w:ascii="仿宋_GB2312" w:hAnsi="宋体" w:eastAsia="仿宋_GB2312" w:cs="宋体"/>
                <w:color w:val="000000"/>
                <w:kern w:val="0"/>
                <w:sz w:val="24"/>
                <w:szCs w:val="24"/>
              </w:rPr>
            </w:pPr>
          </w:p>
        </w:tc>
        <w:tc>
          <w:tcPr>
            <w:tcW w:w="776" w:type="pct"/>
            <w:tcBorders>
              <w:top w:val="single" w:color="auto" w:sz="4" w:space="0"/>
              <w:left w:val="nil"/>
              <w:bottom w:val="single" w:color="auto" w:sz="4" w:space="0"/>
              <w:right w:val="single" w:color="auto" w:sz="4" w:space="0"/>
            </w:tcBorders>
            <w:shd w:val="clear" w:color="auto" w:fill="CCFFFF"/>
            <w:noWrap/>
            <w:vAlign w:val="center"/>
          </w:tcPr>
          <w:p>
            <w:pPr>
              <w:widowControl/>
              <w:jc w:val="center"/>
              <w:rPr>
                <w:rFonts w:ascii="仿宋_GB2312" w:hAnsi="宋体" w:eastAsia="仿宋_GB2312" w:cs="宋体"/>
                <w:color w:val="000000"/>
                <w:kern w:val="0"/>
                <w:sz w:val="24"/>
                <w:szCs w:val="24"/>
              </w:rPr>
            </w:pPr>
            <w:r>
              <w:rPr>
                <w:rFonts w:hint="eastAsia" w:ascii="Times New Roman" w:eastAsia="仿宋"/>
                <w:szCs w:val="21"/>
              </w:rPr>
              <w:t>砖瓦用页岩</w:t>
            </w:r>
          </w:p>
        </w:tc>
        <w:tc>
          <w:tcPr>
            <w:tcW w:w="1019"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万吨</w:t>
            </w:r>
          </w:p>
        </w:tc>
        <w:tc>
          <w:tcPr>
            <w:tcW w:w="871"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4</w:t>
            </w:r>
            <w:r>
              <w:rPr>
                <w:rFonts w:ascii="Times New Roman" w:eastAsia="仿宋"/>
                <w:szCs w:val="21"/>
              </w:rPr>
              <w:t>72.54</w:t>
            </w:r>
          </w:p>
        </w:tc>
        <w:tc>
          <w:tcPr>
            <w:tcW w:w="1093"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w:t>
            </w:r>
          </w:p>
        </w:tc>
        <w:tc>
          <w:tcPr>
            <w:tcW w:w="723" w:type="pct"/>
            <w:tcBorders>
              <w:top w:val="single" w:color="auto" w:sz="4" w:space="0"/>
              <w:left w:val="nil"/>
              <w:bottom w:val="single" w:color="auto" w:sz="4" w:space="0"/>
              <w:right w:val="single" w:color="auto" w:sz="4" w:space="0"/>
            </w:tcBorders>
            <w:shd w:val="clear" w:color="auto" w:fill="CCFFFF"/>
            <w:vAlign w:val="center"/>
          </w:tcPr>
          <w:p>
            <w:pPr>
              <w:widowControl/>
              <w:jc w:val="center"/>
              <w:rPr>
                <w:rFonts w:ascii="仿宋_GB2312" w:hAnsi="宋体" w:eastAsia="仿宋_GB2312" w:cs="宋体"/>
                <w:color w:val="000000"/>
                <w:kern w:val="0"/>
                <w:sz w:val="24"/>
                <w:szCs w:val="24"/>
              </w:rPr>
            </w:pPr>
            <w:r>
              <w:rPr>
                <w:rFonts w:hint="eastAsia" w:ascii="Times New Roman" w:eastAsia="仿宋"/>
                <w:szCs w:val="21"/>
              </w:rPr>
              <w:t>/</w:t>
            </w:r>
          </w:p>
        </w:tc>
      </w:tr>
      <w:tr>
        <w:tblPrEx>
          <w:tblCellMar>
            <w:top w:w="0" w:type="dxa"/>
            <w:left w:w="108" w:type="dxa"/>
            <w:bottom w:w="0" w:type="dxa"/>
            <w:right w:w="108" w:type="dxa"/>
          </w:tblCellMar>
        </w:tblPrEx>
        <w:trPr>
          <w:trHeight w:val="285" w:hRule="atLeast"/>
          <w:jc w:val="center"/>
        </w:trPr>
        <w:tc>
          <w:tcPr>
            <w:tcW w:w="519" w:type="pct"/>
            <w:tcBorders>
              <w:top w:val="single" w:color="auto" w:sz="4" w:space="0"/>
              <w:left w:val="single" w:color="auto" w:sz="4" w:space="0"/>
              <w:bottom w:val="single" w:color="auto" w:sz="4" w:space="0"/>
              <w:right w:val="single" w:color="auto" w:sz="4" w:space="0"/>
            </w:tcBorders>
            <w:shd w:val="clear" w:color="auto" w:fill="CCFFFF"/>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水气矿产</w:t>
            </w:r>
          </w:p>
        </w:tc>
        <w:tc>
          <w:tcPr>
            <w:tcW w:w="776" w:type="pct"/>
            <w:tcBorders>
              <w:top w:val="single" w:color="auto" w:sz="4" w:space="0"/>
              <w:left w:val="nil"/>
              <w:bottom w:val="single" w:color="auto" w:sz="4" w:space="0"/>
              <w:right w:val="single" w:color="auto" w:sz="4" w:space="0"/>
            </w:tcBorders>
            <w:shd w:val="clear" w:color="auto" w:fill="CCFFFF"/>
            <w:noWrap/>
            <w:vAlign w:val="center"/>
          </w:tcPr>
          <w:p>
            <w:pPr>
              <w:widowControl/>
              <w:jc w:val="center"/>
              <w:rPr>
                <w:rFonts w:ascii="Times New Roman" w:eastAsia="仿宋"/>
                <w:szCs w:val="21"/>
              </w:rPr>
            </w:pPr>
            <w:r>
              <w:rPr>
                <w:rFonts w:hint="eastAsia" w:ascii="Times New Roman" w:eastAsia="仿宋"/>
                <w:szCs w:val="21"/>
              </w:rPr>
              <w:t>矿泉水</w:t>
            </w:r>
          </w:p>
        </w:tc>
        <w:tc>
          <w:tcPr>
            <w:tcW w:w="1019"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立方米/日</w:t>
            </w:r>
          </w:p>
        </w:tc>
        <w:tc>
          <w:tcPr>
            <w:tcW w:w="871"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1</w:t>
            </w:r>
            <w:r>
              <w:rPr>
                <w:rFonts w:ascii="Times New Roman" w:eastAsia="仿宋"/>
                <w:szCs w:val="21"/>
              </w:rPr>
              <w:t>549.33</w:t>
            </w:r>
          </w:p>
        </w:tc>
        <w:tc>
          <w:tcPr>
            <w:tcW w:w="1093" w:type="pct"/>
            <w:tcBorders>
              <w:top w:val="single" w:color="auto" w:sz="4" w:space="0"/>
              <w:left w:val="nil"/>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1</w:t>
            </w:r>
            <w:r>
              <w:rPr>
                <w:rFonts w:ascii="Times New Roman" w:eastAsia="仿宋"/>
                <w:szCs w:val="21"/>
              </w:rPr>
              <w:t>0.97</w:t>
            </w:r>
          </w:p>
        </w:tc>
        <w:tc>
          <w:tcPr>
            <w:tcW w:w="723" w:type="pct"/>
            <w:tcBorders>
              <w:top w:val="single" w:color="auto" w:sz="4" w:space="0"/>
              <w:left w:val="nil"/>
              <w:bottom w:val="single" w:color="auto" w:sz="4" w:space="0"/>
              <w:right w:val="single" w:color="auto" w:sz="4" w:space="0"/>
            </w:tcBorders>
            <w:shd w:val="clear" w:color="auto" w:fill="CCFFFF"/>
            <w:vAlign w:val="center"/>
          </w:tcPr>
          <w:p>
            <w:pPr>
              <w:widowControl/>
              <w:jc w:val="center"/>
              <w:rPr>
                <w:rFonts w:ascii="Times New Roman" w:eastAsia="仿宋"/>
                <w:szCs w:val="21"/>
              </w:rPr>
            </w:pPr>
          </w:p>
        </w:tc>
      </w:tr>
    </w:tbl>
    <w:p>
      <w:pPr>
        <w:spacing w:line="360" w:lineRule="auto"/>
        <w:ind w:firstLine="560" w:firstLineChars="200"/>
        <w:rPr>
          <w:rFonts w:ascii="仿宋" w:hAnsi="仿宋" w:eastAsia="仿宋" w:cs="Times New Roman"/>
          <w:spacing w:val="-4"/>
          <w:kern w:val="0"/>
          <w:sz w:val="28"/>
          <w:szCs w:val="28"/>
        </w:rPr>
      </w:pPr>
      <w:r>
        <w:rPr>
          <w:rFonts w:hint="eastAsia" w:ascii="仿宋" w:hAnsi="仿宋" w:eastAsia="仿宋" w:cs="Times New Roman"/>
          <w:kern w:val="0"/>
          <w:sz w:val="28"/>
          <w:szCs w:val="28"/>
        </w:rPr>
        <w:t>南昌市矿产资源特点:一是地热、矿泉水资源丰富，勘查开发利用前景好；二是建筑用石料、砖瓦用页岩等矿产资源开发利用市场前景好。</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截止2020年底，全市有效勘查许可证</w:t>
      </w:r>
      <w:r>
        <w:rPr>
          <w:rFonts w:ascii="仿宋" w:hAnsi="仿宋" w:eastAsia="仿宋" w:cs="Times New Roman"/>
          <w:spacing w:val="-4"/>
          <w:kern w:val="0"/>
          <w:sz w:val="28"/>
          <w:szCs w:val="28"/>
        </w:rPr>
        <w:t>16</w:t>
      </w:r>
      <w:r>
        <w:rPr>
          <w:rFonts w:hint="eastAsia" w:ascii="仿宋" w:hAnsi="仿宋" w:eastAsia="仿宋" w:cs="Times New Roman"/>
          <w:spacing w:val="-4"/>
          <w:kern w:val="0"/>
          <w:sz w:val="28"/>
          <w:szCs w:val="28"/>
        </w:rPr>
        <w:t>个，勘查许可证总面积</w:t>
      </w:r>
      <w:r>
        <w:rPr>
          <w:rFonts w:ascii="仿宋" w:hAnsi="仿宋" w:eastAsia="仿宋" w:cs="Times New Roman"/>
          <w:spacing w:val="-4"/>
          <w:kern w:val="0"/>
          <w:sz w:val="28"/>
          <w:szCs w:val="28"/>
        </w:rPr>
        <w:t>76.77</w:t>
      </w:r>
      <w:r>
        <w:rPr>
          <w:rFonts w:hint="eastAsia" w:ascii="仿宋" w:hAnsi="仿宋" w:eastAsia="仿宋" w:cs="Times New Roman"/>
          <w:spacing w:val="-4"/>
          <w:kern w:val="0"/>
          <w:sz w:val="28"/>
          <w:szCs w:val="28"/>
        </w:rPr>
        <w:t>平方千米，占全市面积的</w:t>
      </w:r>
      <w:r>
        <w:rPr>
          <w:rFonts w:ascii="仿宋" w:hAnsi="仿宋" w:eastAsia="仿宋" w:cs="Times New Roman"/>
          <w:spacing w:val="-4"/>
          <w:kern w:val="0"/>
          <w:sz w:val="28"/>
          <w:szCs w:val="28"/>
        </w:rPr>
        <w:t>1.07</w:t>
      </w:r>
      <w:r>
        <w:rPr>
          <w:rFonts w:hint="eastAsia" w:ascii="仿宋" w:hAnsi="仿宋" w:eastAsia="仿宋" w:cs="Times New Roman"/>
          <w:spacing w:val="-4"/>
          <w:kern w:val="0"/>
          <w:sz w:val="28"/>
          <w:szCs w:val="28"/>
        </w:rPr>
        <w:t>%。按勘查阶段划分：普查（含预可行性勘查）</w:t>
      </w:r>
      <w:r>
        <w:rPr>
          <w:rFonts w:ascii="仿宋" w:hAnsi="仿宋" w:eastAsia="仿宋" w:cs="Times New Roman"/>
          <w:spacing w:val="-4"/>
          <w:kern w:val="0"/>
          <w:sz w:val="28"/>
          <w:szCs w:val="28"/>
        </w:rPr>
        <w:t>1</w:t>
      </w:r>
      <w:r>
        <w:rPr>
          <w:rFonts w:hint="eastAsia" w:ascii="仿宋" w:hAnsi="仿宋" w:eastAsia="仿宋" w:cs="Times New Roman"/>
          <w:spacing w:val="-4"/>
          <w:kern w:val="0"/>
          <w:sz w:val="28"/>
          <w:szCs w:val="28"/>
        </w:rPr>
        <w:t>个，详查（含可行性勘查）1</w:t>
      </w:r>
      <w:r>
        <w:rPr>
          <w:rFonts w:ascii="仿宋" w:hAnsi="仿宋" w:eastAsia="仿宋" w:cs="Times New Roman"/>
          <w:spacing w:val="-4"/>
          <w:kern w:val="0"/>
          <w:sz w:val="28"/>
          <w:szCs w:val="28"/>
        </w:rPr>
        <w:t>2</w:t>
      </w:r>
      <w:r>
        <w:rPr>
          <w:rFonts w:hint="eastAsia" w:ascii="仿宋" w:hAnsi="仿宋" w:eastAsia="仿宋" w:cs="Times New Roman"/>
          <w:spacing w:val="-4"/>
          <w:kern w:val="0"/>
          <w:sz w:val="28"/>
          <w:szCs w:val="28"/>
        </w:rPr>
        <w:t>个，勘探（含开发性勘查）</w:t>
      </w:r>
      <w:r>
        <w:rPr>
          <w:rFonts w:ascii="仿宋" w:hAnsi="仿宋" w:eastAsia="仿宋" w:cs="Times New Roman"/>
          <w:spacing w:val="-4"/>
          <w:kern w:val="0"/>
          <w:sz w:val="28"/>
          <w:szCs w:val="28"/>
        </w:rPr>
        <w:t>3</w:t>
      </w:r>
      <w:r>
        <w:rPr>
          <w:rFonts w:hint="eastAsia" w:ascii="仿宋" w:hAnsi="仿宋" w:eastAsia="仿宋" w:cs="Times New Roman"/>
          <w:spacing w:val="-4"/>
          <w:kern w:val="0"/>
          <w:sz w:val="28"/>
          <w:szCs w:val="28"/>
        </w:rPr>
        <w:t>个。地热探矿权分布较广，新建区、红谷滩区、南昌县、安义县均有分布，金矿探矿权分布于进贤县，矿泉水探矿权分布于安义县、新建区。勘查现状见专栏1</w:t>
      </w:r>
      <w:r>
        <w:rPr>
          <w:rFonts w:ascii="仿宋" w:hAnsi="仿宋" w:eastAsia="仿宋" w:cs="Times New Roman"/>
          <w:spacing w:val="-4"/>
          <w:kern w:val="0"/>
          <w:sz w:val="28"/>
          <w:szCs w:val="28"/>
        </w:rPr>
        <w:t>-2</w:t>
      </w:r>
      <w:r>
        <w:rPr>
          <w:rFonts w:hint="eastAsia" w:ascii="仿宋" w:hAnsi="仿宋" w:eastAsia="仿宋" w:cs="Times New Roman"/>
          <w:spacing w:val="-4"/>
          <w:kern w:val="0"/>
          <w:sz w:val="28"/>
          <w:szCs w:val="28"/>
        </w:rPr>
        <w:t>。</w:t>
      </w:r>
    </w:p>
    <w:tbl>
      <w:tblPr>
        <w:tblStyle w:val="12"/>
        <w:tblW w:w="0" w:type="auto"/>
        <w:jc w:val="center"/>
        <w:tblLayout w:type="autofit"/>
        <w:tblCellMar>
          <w:top w:w="0" w:type="dxa"/>
          <w:left w:w="108" w:type="dxa"/>
          <w:bottom w:w="0" w:type="dxa"/>
          <w:right w:w="108" w:type="dxa"/>
        </w:tblCellMar>
      </w:tblPr>
      <w:tblGrid>
        <w:gridCol w:w="1413"/>
        <w:gridCol w:w="1417"/>
        <w:gridCol w:w="1276"/>
        <w:gridCol w:w="1276"/>
        <w:gridCol w:w="1276"/>
        <w:gridCol w:w="1276"/>
      </w:tblGrid>
      <w:tr>
        <w:tblPrEx>
          <w:tblCellMar>
            <w:top w:w="0" w:type="dxa"/>
            <w:left w:w="108" w:type="dxa"/>
            <w:bottom w:w="0" w:type="dxa"/>
            <w:right w:w="108" w:type="dxa"/>
          </w:tblCellMar>
        </w:tblPrEx>
        <w:trPr>
          <w:trHeight w:val="300" w:hRule="atLeast"/>
          <w:tblHeader/>
          <w:jc w:val="center"/>
        </w:trPr>
        <w:tc>
          <w:tcPr>
            <w:tcW w:w="7934" w:type="dxa"/>
            <w:gridSpan w:val="6"/>
            <w:tcBorders>
              <w:top w:val="single" w:color="auto" w:sz="4" w:space="0"/>
              <w:left w:val="single" w:color="auto" w:sz="4" w:space="0"/>
              <w:bottom w:val="single" w:color="auto" w:sz="4" w:space="0"/>
              <w:right w:val="single" w:color="auto" w:sz="4" w:space="0"/>
            </w:tcBorders>
            <w:shd w:val="clear" w:color="auto" w:fill="99CCFF"/>
            <w:noWrap/>
            <w:vAlign w:val="center"/>
          </w:tcPr>
          <w:p>
            <w:pPr>
              <w:widowControl/>
              <w:jc w:val="center"/>
              <w:rPr>
                <w:rFonts w:ascii="仿宋_GB2312" w:hAnsi="Times New Roman" w:eastAsia="仿宋_GB2312" w:cs="Times New Roman"/>
                <w:b/>
                <w:bCs/>
                <w:color w:val="000000"/>
                <w:kern w:val="0"/>
                <w:sz w:val="24"/>
                <w:szCs w:val="24"/>
              </w:rPr>
            </w:pPr>
            <w:r>
              <w:rPr>
                <w:rFonts w:hint="eastAsia" w:ascii="仿宋_GB2312" w:hAnsi="Times New Roman" w:eastAsia="仿宋_GB2312" w:cs="Times New Roman"/>
                <w:b/>
                <w:bCs/>
                <w:color w:val="000000"/>
                <w:kern w:val="0"/>
                <w:sz w:val="24"/>
                <w:szCs w:val="24"/>
              </w:rPr>
              <w:t>专栏1-</w:t>
            </w:r>
            <w:r>
              <w:rPr>
                <w:rFonts w:ascii="仿宋_GB2312" w:hAnsi="Times New Roman" w:eastAsia="仿宋_GB2312" w:cs="Times New Roman"/>
                <w:b/>
                <w:bCs/>
                <w:color w:val="000000"/>
                <w:kern w:val="0"/>
                <w:sz w:val="24"/>
                <w:szCs w:val="24"/>
              </w:rPr>
              <w:t xml:space="preserve">2  </w:t>
            </w:r>
            <w:r>
              <w:rPr>
                <w:rFonts w:hint="eastAsia" w:ascii="仿宋_GB2312" w:hAnsi="Times New Roman" w:eastAsia="仿宋_GB2312" w:cs="Times New Roman"/>
                <w:b/>
                <w:bCs/>
                <w:color w:val="000000"/>
                <w:kern w:val="0"/>
                <w:sz w:val="24"/>
                <w:szCs w:val="24"/>
              </w:rPr>
              <w:t>南昌市勘查许可证设置情况</w:t>
            </w:r>
          </w:p>
        </w:tc>
      </w:tr>
      <w:tr>
        <w:tblPrEx>
          <w:tblCellMar>
            <w:top w:w="0" w:type="dxa"/>
            <w:left w:w="108" w:type="dxa"/>
            <w:bottom w:w="0" w:type="dxa"/>
            <w:right w:w="108" w:type="dxa"/>
          </w:tblCellMar>
        </w:tblPrEx>
        <w:trPr>
          <w:trHeight w:val="349" w:hRule="atLeast"/>
          <w:tblHeader/>
          <w:jc w:val="center"/>
        </w:trPr>
        <w:tc>
          <w:tcPr>
            <w:tcW w:w="1413" w:type="dxa"/>
            <w:vMerge w:val="restart"/>
            <w:tcBorders>
              <w:top w:val="nil"/>
              <w:left w:val="single" w:color="auto" w:sz="4" w:space="0"/>
              <w:right w:val="single" w:color="auto" w:sz="4" w:space="0"/>
            </w:tcBorders>
            <w:shd w:val="clear" w:color="auto" w:fill="CCFFFF"/>
            <w:noWrap/>
            <w:vAlign w:val="center"/>
          </w:tcPr>
          <w:p>
            <w:pPr>
              <w:widowControl/>
              <w:jc w:val="center"/>
              <w:rPr>
                <w:rFonts w:ascii="Times New Roman" w:hAnsi="Times New Roman" w:eastAsia="等线" w:cs="Times New Roman"/>
                <w:b/>
                <w:bCs/>
                <w:color w:val="000000"/>
                <w:kern w:val="0"/>
                <w:sz w:val="24"/>
                <w:szCs w:val="24"/>
              </w:rPr>
            </w:pPr>
            <w:r>
              <w:rPr>
                <w:rFonts w:hint="eastAsia" w:ascii="仿宋_GB2312" w:hAnsi="Times New Roman" w:eastAsia="仿宋_GB2312" w:cs="Times New Roman"/>
                <w:b/>
                <w:bCs/>
                <w:color w:val="000000"/>
                <w:kern w:val="0"/>
                <w:sz w:val="24"/>
                <w:szCs w:val="24"/>
              </w:rPr>
              <w:t>发证机关</w:t>
            </w:r>
          </w:p>
        </w:tc>
        <w:tc>
          <w:tcPr>
            <w:tcW w:w="1417" w:type="dxa"/>
            <w:vMerge w:val="restart"/>
            <w:tcBorders>
              <w:top w:val="nil"/>
              <w:left w:val="nil"/>
              <w:right w:val="single" w:color="auto" w:sz="4" w:space="0"/>
            </w:tcBorders>
            <w:shd w:val="clear" w:color="auto" w:fill="CCFFFF"/>
            <w:noWrap/>
            <w:vAlign w:val="center"/>
          </w:tcPr>
          <w:p>
            <w:pPr>
              <w:widowControl/>
              <w:jc w:val="center"/>
              <w:rPr>
                <w:rFonts w:ascii="Times New Roman" w:hAnsi="Times New Roman" w:eastAsia="等线" w:cs="Times New Roman"/>
                <w:b/>
                <w:bCs/>
                <w:color w:val="000000"/>
                <w:kern w:val="0"/>
                <w:sz w:val="24"/>
                <w:szCs w:val="24"/>
              </w:rPr>
            </w:pPr>
            <w:r>
              <w:rPr>
                <w:rFonts w:hint="eastAsia" w:ascii="仿宋_GB2312" w:hAnsi="Times New Roman" w:eastAsia="仿宋_GB2312" w:cs="Times New Roman"/>
                <w:b/>
                <w:bCs/>
                <w:color w:val="000000"/>
                <w:kern w:val="0"/>
                <w:sz w:val="24"/>
                <w:szCs w:val="24"/>
              </w:rPr>
              <w:t>矿种</w:t>
            </w:r>
          </w:p>
        </w:tc>
        <w:tc>
          <w:tcPr>
            <w:tcW w:w="1276" w:type="dxa"/>
            <w:vMerge w:val="restart"/>
            <w:tcBorders>
              <w:top w:val="nil"/>
              <w:left w:val="nil"/>
              <w:right w:val="single" w:color="auto" w:sz="4" w:space="0"/>
            </w:tcBorders>
            <w:shd w:val="clear" w:color="auto" w:fill="CCFFFF"/>
            <w:noWrap/>
            <w:vAlign w:val="center"/>
          </w:tcPr>
          <w:p>
            <w:pPr>
              <w:widowControl/>
              <w:jc w:val="center"/>
              <w:rPr>
                <w:rFonts w:ascii="Times New Roman" w:hAnsi="Times New Roman" w:eastAsia="等线" w:cs="Times New Roman"/>
                <w:b/>
                <w:bCs/>
                <w:color w:val="000000"/>
                <w:kern w:val="0"/>
                <w:sz w:val="24"/>
                <w:szCs w:val="24"/>
              </w:rPr>
            </w:pPr>
            <w:r>
              <w:rPr>
                <w:rFonts w:hint="eastAsia" w:ascii="仿宋_GB2312" w:hAnsi="Times New Roman" w:eastAsia="仿宋_GB2312" w:cs="Times New Roman"/>
                <w:b/>
                <w:bCs/>
                <w:color w:val="000000"/>
                <w:kern w:val="0"/>
                <w:sz w:val="24"/>
                <w:szCs w:val="24"/>
              </w:rPr>
              <w:t>数量</w:t>
            </w:r>
          </w:p>
        </w:tc>
        <w:tc>
          <w:tcPr>
            <w:tcW w:w="3828" w:type="dxa"/>
            <w:gridSpan w:val="3"/>
            <w:tcBorders>
              <w:top w:val="nil"/>
              <w:left w:val="nil"/>
              <w:bottom w:val="single" w:color="auto" w:sz="4" w:space="0"/>
              <w:right w:val="single" w:color="auto" w:sz="4" w:space="0"/>
            </w:tcBorders>
            <w:shd w:val="clear" w:color="auto" w:fill="CCFFFF"/>
          </w:tcPr>
          <w:p>
            <w:pPr>
              <w:widowControl/>
              <w:jc w:val="center"/>
              <w:rPr>
                <w:rFonts w:ascii="仿宋_GB2312" w:hAnsi="Times New Roman" w:eastAsia="仿宋_GB2312" w:cs="Times New Roman"/>
                <w:b/>
                <w:bCs/>
                <w:color w:val="000000"/>
                <w:kern w:val="0"/>
                <w:sz w:val="24"/>
                <w:szCs w:val="24"/>
              </w:rPr>
            </w:pPr>
            <w:r>
              <w:rPr>
                <w:rFonts w:hint="eastAsia" w:ascii="仿宋_GB2312" w:hAnsi="Times New Roman" w:eastAsia="仿宋_GB2312" w:cs="Times New Roman"/>
                <w:b/>
                <w:bCs/>
                <w:color w:val="000000"/>
                <w:kern w:val="0"/>
                <w:sz w:val="24"/>
                <w:szCs w:val="24"/>
              </w:rPr>
              <w:t>勘查程度</w:t>
            </w:r>
          </w:p>
        </w:tc>
      </w:tr>
      <w:tr>
        <w:tblPrEx>
          <w:tblCellMar>
            <w:top w:w="0" w:type="dxa"/>
            <w:left w:w="108" w:type="dxa"/>
            <w:bottom w:w="0" w:type="dxa"/>
            <w:right w:w="108" w:type="dxa"/>
          </w:tblCellMar>
        </w:tblPrEx>
        <w:trPr>
          <w:trHeight w:val="349" w:hRule="atLeast"/>
          <w:tblHeader/>
          <w:jc w:val="center"/>
        </w:trPr>
        <w:tc>
          <w:tcPr>
            <w:tcW w:w="1413" w:type="dxa"/>
            <w:vMerge w:val="continue"/>
            <w:tcBorders>
              <w:left w:val="single" w:color="auto" w:sz="4" w:space="0"/>
              <w:bottom w:val="single" w:color="auto" w:sz="4" w:space="0"/>
              <w:right w:val="single" w:color="auto" w:sz="4" w:space="0"/>
            </w:tcBorders>
            <w:shd w:val="clear" w:color="auto" w:fill="CCFFFF"/>
            <w:noWrap/>
            <w:vAlign w:val="center"/>
          </w:tcPr>
          <w:p>
            <w:pPr>
              <w:widowControl/>
              <w:jc w:val="center"/>
              <w:rPr>
                <w:rFonts w:ascii="仿宋_GB2312" w:hAnsi="Times New Roman" w:eastAsia="仿宋_GB2312" w:cs="Times New Roman"/>
                <w:b/>
                <w:bCs/>
                <w:color w:val="000000"/>
                <w:kern w:val="0"/>
                <w:sz w:val="24"/>
                <w:szCs w:val="24"/>
              </w:rPr>
            </w:pPr>
          </w:p>
        </w:tc>
        <w:tc>
          <w:tcPr>
            <w:tcW w:w="1417" w:type="dxa"/>
            <w:vMerge w:val="continue"/>
            <w:tcBorders>
              <w:left w:val="nil"/>
              <w:bottom w:val="single" w:color="auto" w:sz="4" w:space="0"/>
              <w:right w:val="single" w:color="auto" w:sz="4" w:space="0"/>
            </w:tcBorders>
            <w:shd w:val="clear" w:color="auto" w:fill="CCFFFF"/>
            <w:noWrap/>
            <w:vAlign w:val="center"/>
          </w:tcPr>
          <w:p>
            <w:pPr>
              <w:widowControl/>
              <w:jc w:val="center"/>
              <w:rPr>
                <w:rFonts w:ascii="仿宋_GB2312" w:hAnsi="Times New Roman" w:eastAsia="仿宋_GB2312" w:cs="Times New Roman"/>
                <w:b/>
                <w:bCs/>
                <w:color w:val="000000"/>
                <w:kern w:val="0"/>
                <w:sz w:val="24"/>
                <w:szCs w:val="24"/>
              </w:rPr>
            </w:pPr>
          </w:p>
        </w:tc>
        <w:tc>
          <w:tcPr>
            <w:tcW w:w="1276" w:type="dxa"/>
            <w:vMerge w:val="continue"/>
            <w:tcBorders>
              <w:left w:val="nil"/>
              <w:bottom w:val="single" w:color="auto" w:sz="4" w:space="0"/>
              <w:right w:val="single" w:color="auto" w:sz="4" w:space="0"/>
            </w:tcBorders>
            <w:shd w:val="clear" w:color="auto" w:fill="CCFFFF"/>
            <w:noWrap/>
            <w:vAlign w:val="center"/>
          </w:tcPr>
          <w:p>
            <w:pPr>
              <w:widowControl/>
              <w:jc w:val="center"/>
              <w:rPr>
                <w:rFonts w:ascii="仿宋_GB2312" w:hAnsi="Times New Roman" w:eastAsia="仿宋_GB2312" w:cs="Times New Roman"/>
                <w:b/>
                <w:bCs/>
                <w:color w:val="000000"/>
                <w:kern w:val="0"/>
                <w:sz w:val="24"/>
                <w:szCs w:val="24"/>
              </w:rPr>
            </w:pPr>
          </w:p>
        </w:tc>
        <w:tc>
          <w:tcPr>
            <w:tcW w:w="1276" w:type="dxa"/>
            <w:tcBorders>
              <w:top w:val="nil"/>
              <w:left w:val="nil"/>
              <w:bottom w:val="single" w:color="auto" w:sz="4" w:space="0"/>
              <w:right w:val="single" w:color="auto" w:sz="4" w:space="0"/>
            </w:tcBorders>
            <w:shd w:val="clear" w:color="auto" w:fill="CCFFFF"/>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普查</w:t>
            </w:r>
          </w:p>
        </w:tc>
        <w:tc>
          <w:tcPr>
            <w:tcW w:w="1276" w:type="dxa"/>
            <w:tcBorders>
              <w:top w:val="nil"/>
              <w:left w:val="nil"/>
              <w:bottom w:val="single" w:color="auto" w:sz="4" w:space="0"/>
              <w:right w:val="single" w:color="auto" w:sz="4" w:space="0"/>
            </w:tcBorders>
            <w:shd w:val="clear" w:color="auto" w:fill="CCFFFF"/>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详查</w:t>
            </w:r>
          </w:p>
        </w:tc>
        <w:tc>
          <w:tcPr>
            <w:tcW w:w="1276" w:type="dxa"/>
            <w:tcBorders>
              <w:top w:val="nil"/>
              <w:left w:val="nil"/>
              <w:bottom w:val="single" w:color="auto" w:sz="4" w:space="0"/>
              <w:right w:val="single" w:color="auto" w:sz="4" w:space="0"/>
            </w:tcBorders>
            <w:shd w:val="clear" w:color="auto" w:fill="CCFFFF"/>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勘探</w:t>
            </w:r>
          </w:p>
        </w:tc>
      </w:tr>
      <w:tr>
        <w:tblPrEx>
          <w:tblCellMar>
            <w:top w:w="0" w:type="dxa"/>
            <w:left w:w="108" w:type="dxa"/>
            <w:bottom w:w="0" w:type="dxa"/>
            <w:right w:w="108" w:type="dxa"/>
          </w:tblCellMar>
        </w:tblPrEx>
        <w:trPr>
          <w:trHeight w:val="397" w:hRule="exact"/>
          <w:jc w:val="center"/>
        </w:trPr>
        <w:tc>
          <w:tcPr>
            <w:tcW w:w="1413" w:type="dxa"/>
            <w:vMerge w:val="restart"/>
            <w:tcBorders>
              <w:top w:val="single" w:color="auto" w:sz="4" w:space="0"/>
              <w:left w:val="single" w:color="auto" w:sz="4" w:space="0"/>
              <w:bottom w:val="single" w:color="auto" w:sz="4" w:space="0"/>
              <w:right w:val="single" w:color="auto" w:sz="4" w:space="0"/>
            </w:tcBorders>
            <w:shd w:val="clear" w:color="auto" w:fill="CCFFFF"/>
            <w:noWrap/>
            <w:vAlign w:val="center"/>
          </w:tcPr>
          <w:p>
            <w:pPr>
              <w:jc w:val="center"/>
              <w:rPr>
                <w:rFonts w:ascii="Times New Roman" w:hAnsi="Times New Roman" w:eastAsia="等线" w:cs="Times New Roman"/>
                <w:color w:val="000000"/>
                <w:kern w:val="0"/>
                <w:sz w:val="24"/>
                <w:szCs w:val="24"/>
              </w:rPr>
            </w:pPr>
            <w:r>
              <w:rPr>
                <w:rFonts w:hint="eastAsia" w:ascii="仿宋_GB2312" w:hAnsi="Times New Roman" w:eastAsia="仿宋_GB2312" w:cs="Times New Roman"/>
                <w:color w:val="000000"/>
                <w:kern w:val="0"/>
                <w:sz w:val="24"/>
                <w:szCs w:val="24"/>
              </w:rPr>
              <w:t>省级</w:t>
            </w:r>
          </w:p>
        </w:tc>
        <w:tc>
          <w:tcPr>
            <w:tcW w:w="1417" w:type="dxa"/>
            <w:tcBorders>
              <w:top w:val="single" w:color="auto" w:sz="4" w:space="0"/>
              <w:left w:val="single" w:color="auto" w:sz="4" w:space="0"/>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地热水</w:t>
            </w:r>
          </w:p>
        </w:tc>
        <w:tc>
          <w:tcPr>
            <w:tcW w:w="1276" w:type="dxa"/>
            <w:tcBorders>
              <w:top w:val="single" w:color="auto" w:sz="4" w:space="0"/>
              <w:left w:val="single" w:color="auto" w:sz="4" w:space="0"/>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ascii="Times New Roman" w:eastAsia="仿宋"/>
                <w:szCs w:val="21"/>
              </w:rPr>
              <w:t>14</w:t>
            </w:r>
          </w:p>
        </w:tc>
        <w:tc>
          <w:tcPr>
            <w:tcW w:w="1276" w:type="dxa"/>
            <w:tcBorders>
              <w:top w:val="single" w:color="auto" w:sz="4" w:space="0"/>
              <w:left w:val="single" w:color="auto" w:sz="4" w:space="0"/>
              <w:bottom w:val="single" w:color="auto" w:sz="4" w:space="0"/>
              <w:right w:val="single" w:color="auto" w:sz="4" w:space="0"/>
            </w:tcBorders>
            <w:shd w:val="clear" w:color="auto" w:fill="CCFFFF"/>
          </w:tcPr>
          <w:p>
            <w:pPr>
              <w:jc w:val="center"/>
              <w:rPr>
                <w:rFonts w:ascii="Times New Roman" w:eastAsia="仿宋"/>
                <w:szCs w:val="21"/>
              </w:rPr>
            </w:pPr>
            <w:r>
              <w:rPr>
                <w:rFonts w:hint="eastAsia" w:ascii="Times New Roman" w:eastAsia="仿宋"/>
                <w:szCs w:val="21"/>
              </w:rPr>
              <w:t>1</w:t>
            </w:r>
          </w:p>
        </w:tc>
        <w:tc>
          <w:tcPr>
            <w:tcW w:w="1276"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1</w:t>
            </w:r>
            <w:r>
              <w:rPr>
                <w:rFonts w:ascii="Times New Roman" w:eastAsia="仿宋"/>
                <w:szCs w:val="21"/>
              </w:rPr>
              <w:t>0</w:t>
            </w:r>
          </w:p>
        </w:tc>
        <w:tc>
          <w:tcPr>
            <w:tcW w:w="1276"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3</w:t>
            </w:r>
          </w:p>
        </w:tc>
      </w:tr>
      <w:tr>
        <w:tblPrEx>
          <w:tblCellMar>
            <w:top w:w="0" w:type="dxa"/>
            <w:left w:w="108" w:type="dxa"/>
            <w:bottom w:w="0" w:type="dxa"/>
            <w:right w:w="108" w:type="dxa"/>
          </w:tblCellMar>
        </w:tblPrEx>
        <w:trPr>
          <w:trHeight w:val="397" w:hRule="exact"/>
          <w:jc w:val="center"/>
        </w:trPr>
        <w:tc>
          <w:tcPr>
            <w:tcW w:w="1413" w:type="dxa"/>
            <w:vMerge w:val="continue"/>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等线" w:cs="Times New Roman"/>
                <w:color w:val="000000"/>
                <w:kern w:val="0"/>
                <w:sz w:val="24"/>
                <w:szCs w:val="24"/>
              </w:rPr>
            </w:pPr>
          </w:p>
        </w:tc>
        <w:tc>
          <w:tcPr>
            <w:tcW w:w="1417"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金矿</w:t>
            </w:r>
          </w:p>
        </w:tc>
        <w:tc>
          <w:tcPr>
            <w:tcW w:w="1276"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1</w:t>
            </w:r>
          </w:p>
        </w:tc>
        <w:tc>
          <w:tcPr>
            <w:tcW w:w="1276" w:type="dxa"/>
            <w:tcBorders>
              <w:top w:val="single" w:color="auto" w:sz="4" w:space="0"/>
              <w:left w:val="single" w:color="auto" w:sz="4" w:space="0"/>
              <w:bottom w:val="single" w:color="auto" w:sz="4" w:space="0"/>
              <w:right w:val="single" w:color="auto" w:sz="4" w:space="0"/>
            </w:tcBorders>
            <w:shd w:val="clear" w:color="auto" w:fill="CCFFFF"/>
          </w:tcPr>
          <w:p>
            <w:pPr>
              <w:jc w:val="center"/>
              <w:rPr>
                <w:rFonts w:ascii="Times New Roman" w:eastAsia="仿宋"/>
                <w:szCs w:val="21"/>
              </w:rPr>
            </w:pPr>
            <w:r>
              <w:rPr>
                <w:rFonts w:ascii="Times New Roman" w:eastAsia="仿宋"/>
                <w:szCs w:val="21"/>
              </w:rPr>
              <w:t>—</w:t>
            </w:r>
          </w:p>
        </w:tc>
        <w:tc>
          <w:tcPr>
            <w:tcW w:w="1276"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1</w:t>
            </w:r>
          </w:p>
        </w:tc>
        <w:tc>
          <w:tcPr>
            <w:tcW w:w="1276"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w:t>
            </w:r>
          </w:p>
        </w:tc>
      </w:tr>
      <w:tr>
        <w:tblPrEx>
          <w:tblCellMar>
            <w:top w:w="0" w:type="dxa"/>
            <w:left w:w="108" w:type="dxa"/>
            <w:bottom w:w="0" w:type="dxa"/>
            <w:right w:w="108" w:type="dxa"/>
          </w:tblCellMar>
        </w:tblPrEx>
        <w:trPr>
          <w:trHeight w:val="397" w:hRule="exact"/>
          <w:jc w:val="center"/>
        </w:trPr>
        <w:tc>
          <w:tcPr>
            <w:tcW w:w="1413" w:type="dxa"/>
            <w:vMerge w:val="continue"/>
            <w:tcBorders>
              <w:top w:val="single" w:color="auto" w:sz="4" w:space="0"/>
              <w:left w:val="single" w:color="auto" w:sz="4" w:space="0"/>
              <w:bottom w:val="single" w:color="auto" w:sz="4" w:space="0"/>
              <w:right w:val="single" w:color="auto" w:sz="4" w:space="0"/>
            </w:tcBorders>
            <w:shd w:val="clear" w:color="auto" w:fill="CCFFFF"/>
            <w:noWrap/>
            <w:vAlign w:val="center"/>
          </w:tcPr>
          <w:p>
            <w:pPr>
              <w:widowControl/>
              <w:jc w:val="center"/>
              <w:rPr>
                <w:rFonts w:ascii="Times New Roman" w:hAnsi="Times New Roman" w:eastAsia="等线" w:cs="Times New Roman"/>
                <w:color w:val="000000"/>
                <w:kern w:val="0"/>
                <w:sz w:val="24"/>
                <w:szCs w:val="24"/>
              </w:rPr>
            </w:pPr>
          </w:p>
        </w:tc>
        <w:tc>
          <w:tcPr>
            <w:tcW w:w="1417"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矿泉水</w:t>
            </w:r>
          </w:p>
        </w:tc>
        <w:tc>
          <w:tcPr>
            <w:tcW w:w="1276" w:type="dxa"/>
            <w:tcBorders>
              <w:top w:val="single" w:color="auto" w:sz="4" w:space="0"/>
              <w:left w:val="single" w:color="auto" w:sz="4" w:space="0"/>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ascii="Times New Roman" w:eastAsia="仿宋"/>
                <w:szCs w:val="21"/>
              </w:rPr>
              <w:t>1</w:t>
            </w:r>
          </w:p>
        </w:tc>
        <w:tc>
          <w:tcPr>
            <w:tcW w:w="1276" w:type="dxa"/>
            <w:tcBorders>
              <w:top w:val="single" w:color="auto" w:sz="4" w:space="0"/>
              <w:left w:val="single" w:color="auto" w:sz="4" w:space="0"/>
              <w:bottom w:val="single" w:color="auto" w:sz="4" w:space="0"/>
              <w:right w:val="single" w:color="auto" w:sz="4" w:space="0"/>
            </w:tcBorders>
            <w:shd w:val="clear" w:color="auto" w:fill="CCFFFF"/>
          </w:tcPr>
          <w:p>
            <w:pPr>
              <w:jc w:val="center"/>
              <w:rPr>
                <w:rFonts w:ascii="Times New Roman" w:eastAsia="仿宋"/>
                <w:szCs w:val="21"/>
              </w:rPr>
            </w:pPr>
            <w:r>
              <w:rPr>
                <w:rFonts w:ascii="Times New Roman" w:eastAsia="仿宋"/>
                <w:szCs w:val="21"/>
              </w:rPr>
              <w:t>—</w:t>
            </w:r>
          </w:p>
        </w:tc>
        <w:tc>
          <w:tcPr>
            <w:tcW w:w="1276"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1</w:t>
            </w:r>
          </w:p>
        </w:tc>
        <w:tc>
          <w:tcPr>
            <w:tcW w:w="1276"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w:t>
            </w:r>
          </w:p>
        </w:tc>
      </w:tr>
      <w:tr>
        <w:tblPrEx>
          <w:tblCellMar>
            <w:top w:w="0" w:type="dxa"/>
            <w:left w:w="108" w:type="dxa"/>
            <w:bottom w:w="0" w:type="dxa"/>
            <w:right w:w="108" w:type="dxa"/>
          </w:tblCellMar>
        </w:tblPrEx>
        <w:trPr>
          <w:trHeight w:val="397" w:hRule="exact"/>
          <w:jc w:val="center"/>
        </w:trPr>
        <w:tc>
          <w:tcPr>
            <w:tcW w:w="2830" w:type="dxa"/>
            <w:gridSpan w:val="2"/>
            <w:tcBorders>
              <w:top w:val="single" w:color="auto" w:sz="4" w:space="0"/>
              <w:left w:val="single" w:color="auto" w:sz="4" w:space="0"/>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 xml:space="preserve">合 </w:t>
            </w:r>
            <w:r>
              <w:rPr>
                <w:rFonts w:ascii="Times New Roman" w:eastAsia="仿宋"/>
                <w:szCs w:val="21"/>
              </w:rPr>
              <w:t xml:space="preserve"> </w:t>
            </w:r>
            <w:r>
              <w:rPr>
                <w:rFonts w:hint="eastAsia" w:ascii="Times New Roman" w:eastAsia="仿宋"/>
                <w:szCs w:val="21"/>
              </w:rPr>
              <w:t>计</w:t>
            </w:r>
          </w:p>
        </w:tc>
        <w:tc>
          <w:tcPr>
            <w:tcW w:w="1276" w:type="dxa"/>
            <w:tcBorders>
              <w:top w:val="single" w:color="auto" w:sz="4" w:space="0"/>
              <w:left w:val="single" w:color="auto" w:sz="4" w:space="0"/>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1</w:t>
            </w:r>
            <w:r>
              <w:rPr>
                <w:rFonts w:ascii="Times New Roman" w:eastAsia="仿宋"/>
                <w:szCs w:val="21"/>
              </w:rPr>
              <w:t>6</w:t>
            </w:r>
          </w:p>
        </w:tc>
        <w:tc>
          <w:tcPr>
            <w:tcW w:w="1276" w:type="dxa"/>
            <w:tcBorders>
              <w:top w:val="single" w:color="auto" w:sz="4" w:space="0"/>
              <w:left w:val="single" w:color="auto" w:sz="4" w:space="0"/>
              <w:bottom w:val="single" w:color="auto" w:sz="4" w:space="0"/>
              <w:right w:val="single" w:color="auto" w:sz="4" w:space="0"/>
            </w:tcBorders>
            <w:shd w:val="clear" w:color="auto" w:fill="CCFFFF"/>
          </w:tcPr>
          <w:p>
            <w:pPr>
              <w:jc w:val="center"/>
              <w:rPr>
                <w:rFonts w:ascii="Times New Roman" w:eastAsia="仿宋"/>
                <w:szCs w:val="21"/>
              </w:rPr>
            </w:pPr>
            <w:r>
              <w:rPr>
                <w:rFonts w:hint="eastAsia" w:ascii="Times New Roman" w:eastAsia="仿宋"/>
                <w:szCs w:val="21"/>
              </w:rPr>
              <w:t>1</w:t>
            </w:r>
          </w:p>
        </w:tc>
        <w:tc>
          <w:tcPr>
            <w:tcW w:w="1276"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1</w:t>
            </w:r>
            <w:r>
              <w:rPr>
                <w:rFonts w:ascii="Times New Roman" w:eastAsia="仿宋"/>
                <w:szCs w:val="21"/>
              </w:rPr>
              <w:t>2</w:t>
            </w:r>
          </w:p>
        </w:tc>
        <w:tc>
          <w:tcPr>
            <w:tcW w:w="1276"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3</w:t>
            </w:r>
          </w:p>
        </w:tc>
      </w:tr>
    </w:tbl>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截止</w:t>
      </w:r>
      <w:r>
        <w:rPr>
          <w:rFonts w:ascii="仿宋" w:hAnsi="仿宋" w:eastAsia="仿宋" w:cs="Times New Roman"/>
          <w:spacing w:val="-4"/>
          <w:kern w:val="0"/>
          <w:sz w:val="28"/>
          <w:szCs w:val="28"/>
        </w:rPr>
        <w:t>2020</w:t>
      </w:r>
      <w:r>
        <w:rPr>
          <w:rFonts w:hint="eastAsia" w:ascii="仿宋" w:hAnsi="仿宋" w:eastAsia="仿宋" w:cs="Times New Roman"/>
          <w:spacing w:val="-4"/>
          <w:kern w:val="0"/>
          <w:sz w:val="28"/>
          <w:szCs w:val="28"/>
        </w:rPr>
        <w:t>年底，南昌市共有采矿许可证</w:t>
      </w:r>
      <w:r>
        <w:rPr>
          <w:rFonts w:ascii="仿宋" w:hAnsi="仿宋" w:eastAsia="仿宋" w:cs="Times New Roman"/>
          <w:spacing w:val="-4"/>
          <w:kern w:val="0"/>
          <w:sz w:val="28"/>
          <w:szCs w:val="28"/>
        </w:rPr>
        <w:t>15</w:t>
      </w:r>
      <w:r>
        <w:rPr>
          <w:rFonts w:hint="eastAsia" w:ascii="仿宋" w:hAnsi="仿宋" w:eastAsia="仿宋" w:cs="Times New Roman"/>
          <w:spacing w:val="-4"/>
          <w:kern w:val="0"/>
          <w:sz w:val="28"/>
          <w:szCs w:val="28"/>
        </w:rPr>
        <w:t>个（生产</w:t>
      </w:r>
      <w:r>
        <w:rPr>
          <w:rFonts w:ascii="仿宋" w:hAnsi="仿宋" w:eastAsia="仿宋" w:cs="Times New Roman"/>
          <w:spacing w:val="-4"/>
          <w:kern w:val="0"/>
          <w:sz w:val="28"/>
          <w:szCs w:val="28"/>
        </w:rPr>
        <w:t>10</w:t>
      </w:r>
      <w:r>
        <w:rPr>
          <w:rFonts w:hint="eastAsia" w:ascii="仿宋" w:hAnsi="仿宋" w:eastAsia="仿宋" w:cs="Times New Roman"/>
          <w:spacing w:val="-4"/>
          <w:kern w:val="0"/>
          <w:sz w:val="28"/>
          <w:szCs w:val="28"/>
        </w:rPr>
        <w:t>个，停产</w:t>
      </w:r>
      <w:r>
        <w:rPr>
          <w:rFonts w:ascii="仿宋" w:hAnsi="仿宋" w:eastAsia="仿宋" w:cs="Times New Roman"/>
          <w:spacing w:val="-4"/>
          <w:kern w:val="0"/>
          <w:sz w:val="28"/>
          <w:szCs w:val="28"/>
        </w:rPr>
        <w:t>5</w:t>
      </w:r>
      <w:r>
        <w:rPr>
          <w:rFonts w:hint="eastAsia" w:ascii="仿宋" w:hAnsi="仿宋" w:eastAsia="仿宋" w:cs="Times New Roman"/>
          <w:spacing w:val="-4"/>
          <w:kern w:val="0"/>
          <w:sz w:val="28"/>
          <w:szCs w:val="28"/>
        </w:rPr>
        <w:t>个），采矿证总面积</w:t>
      </w:r>
      <w:r>
        <w:rPr>
          <w:rFonts w:ascii="仿宋" w:hAnsi="仿宋" w:eastAsia="仿宋" w:cs="Times New Roman"/>
          <w:spacing w:val="-4"/>
          <w:kern w:val="0"/>
          <w:sz w:val="28"/>
          <w:szCs w:val="28"/>
        </w:rPr>
        <w:t>0.9813</w:t>
      </w:r>
      <w:r>
        <w:rPr>
          <w:rFonts w:hint="eastAsia" w:ascii="仿宋" w:hAnsi="仿宋" w:eastAsia="仿宋" w:cs="Times New Roman"/>
          <w:spacing w:val="-4"/>
          <w:kern w:val="0"/>
          <w:sz w:val="28"/>
          <w:szCs w:val="28"/>
        </w:rPr>
        <w:t>平方千米，占全市面积的</w:t>
      </w:r>
      <w:r>
        <w:rPr>
          <w:rFonts w:ascii="仿宋" w:hAnsi="仿宋" w:eastAsia="仿宋" w:cs="Times New Roman"/>
          <w:spacing w:val="-4"/>
          <w:kern w:val="0"/>
          <w:sz w:val="28"/>
          <w:szCs w:val="28"/>
        </w:rPr>
        <w:t>0.012%</w:t>
      </w:r>
      <w:r>
        <w:rPr>
          <w:rFonts w:hint="eastAsia" w:ascii="仿宋" w:hAnsi="仿宋" w:eastAsia="仿宋" w:cs="Times New Roman"/>
          <w:spacing w:val="-4"/>
          <w:kern w:val="0"/>
          <w:sz w:val="28"/>
          <w:szCs w:val="28"/>
        </w:rPr>
        <w:t>（见专栏1</w:t>
      </w:r>
      <w:r>
        <w:rPr>
          <w:rFonts w:ascii="仿宋" w:hAnsi="仿宋" w:eastAsia="仿宋" w:cs="Times New Roman"/>
          <w:spacing w:val="-4"/>
          <w:kern w:val="0"/>
          <w:sz w:val="28"/>
          <w:szCs w:val="28"/>
        </w:rPr>
        <w:t>-3</w:t>
      </w:r>
      <w:r>
        <w:rPr>
          <w:rFonts w:hint="eastAsia" w:ascii="仿宋" w:hAnsi="仿宋" w:eastAsia="仿宋" w:cs="Times New Roman"/>
          <w:spacing w:val="-4"/>
          <w:kern w:val="0"/>
          <w:sz w:val="28"/>
          <w:szCs w:val="28"/>
        </w:rPr>
        <w:t>）。全部为县级发证矿山。其中大型矿山２个（均为建筑石料用灰岩），中型矿山</w:t>
      </w:r>
      <w:r>
        <w:rPr>
          <w:rFonts w:ascii="仿宋" w:hAnsi="仿宋" w:eastAsia="仿宋" w:cs="Times New Roman"/>
          <w:spacing w:val="-4"/>
          <w:kern w:val="0"/>
          <w:sz w:val="28"/>
          <w:szCs w:val="28"/>
        </w:rPr>
        <w:t>6</w:t>
      </w:r>
      <w:r>
        <w:rPr>
          <w:rFonts w:hint="eastAsia" w:ascii="仿宋" w:hAnsi="仿宋" w:eastAsia="仿宋" w:cs="Times New Roman"/>
          <w:spacing w:val="-4"/>
          <w:kern w:val="0"/>
          <w:sz w:val="28"/>
          <w:szCs w:val="28"/>
        </w:rPr>
        <w:t>个（3个建筑石料用灰岩、3个砖瓦用页岩），小型矿山</w:t>
      </w:r>
      <w:r>
        <w:rPr>
          <w:rFonts w:ascii="仿宋" w:hAnsi="仿宋" w:eastAsia="仿宋" w:cs="Times New Roman"/>
          <w:spacing w:val="-4"/>
          <w:kern w:val="0"/>
          <w:sz w:val="28"/>
          <w:szCs w:val="28"/>
        </w:rPr>
        <w:t>7</w:t>
      </w:r>
      <w:r>
        <w:rPr>
          <w:rFonts w:hint="eastAsia" w:ascii="仿宋" w:hAnsi="仿宋" w:eastAsia="仿宋" w:cs="Times New Roman"/>
          <w:spacing w:val="-4"/>
          <w:kern w:val="0"/>
          <w:sz w:val="28"/>
          <w:szCs w:val="28"/>
        </w:rPr>
        <w:t>个（均为砖瓦用粘土）。</w:t>
      </w:r>
    </w:p>
    <w:tbl>
      <w:tblPr>
        <w:tblStyle w:val="12"/>
        <w:tblW w:w="0" w:type="auto"/>
        <w:jc w:val="center"/>
        <w:tblLayout w:type="autofit"/>
        <w:tblCellMar>
          <w:top w:w="0" w:type="dxa"/>
          <w:left w:w="108" w:type="dxa"/>
          <w:bottom w:w="0" w:type="dxa"/>
          <w:right w:w="108" w:type="dxa"/>
        </w:tblCellMar>
      </w:tblPr>
      <w:tblGrid>
        <w:gridCol w:w="1271"/>
        <w:gridCol w:w="1701"/>
        <w:gridCol w:w="851"/>
        <w:gridCol w:w="850"/>
        <w:gridCol w:w="851"/>
        <w:gridCol w:w="850"/>
        <w:gridCol w:w="851"/>
        <w:gridCol w:w="851"/>
      </w:tblGrid>
      <w:tr>
        <w:tblPrEx>
          <w:tblCellMar>
            <w:top w:w="0" w:type="dxa"/>
            <w:left w:w="108" w:type="dxa"/>
            <w:bottom w:w="0" w:type="dxa"/>
            <w:right w:w="108" w:type="dxa"/>
          </w:tblCellMar>
        </w:tblPrEx>
        <w:trPr>
          <w:trHeight w:val="300" w:hRule="atLeast"/>
          <w:tblHeader/>
          <w:jc w:val="center"/>
        </w:trPr>
        <w:tc>
          <w:tcPr>
            <w:tcW w:w="8076" w:type="dxa"/>
            <w:gridSpan w:val="8"/>
            <w:tcBorders>
              <w:top w:val="single" w:color="auto" w:sz="4" w:space="0"/>
              <w:left w:val="single" w:color="auto" w:sz="4" w:space="0"/>
              <w:bottom w:val="single" w:color="auto" w:sz="4" w:space="0"/>
              <w:right w:val="single" w:color="auto" w:sz="4" w:space="0"/>
            </w:tcBorders>
            <w:shd w:val="clear" w:color="auto" w:fill="99CCFF"/>
            <w:noWrap/>
            <w:vAlign w:val="center"/>
          </w:tcPr>
          <w:p>
            <w:pPr>
              <w:widowControl/>
              <w:jc w:val="center"/>
              <w:rPr>
                <w:rFonts w:ascii="仿宋_GB2312" w:hAnsi="Times New Roman" w:eastAsia="仿宋_GB2312" w:cs="Times New Roman"/>
                <w:b/>
                <w:bCs/>
                <w:color w:val="000000"/>
                <w:kern w:val="0"/>
                <w:sz w:val="24"/>
                <w:szCs w:val="24"/>
              </w:rPr>
            </w:pPr>
            <w:r>
              <w:rPr>
                <w:rFonts w:hint="eastAsia" w:ascii="仿宋_GB2312" w:hAnsi="Times New Roman" w:eastAsia="仿宋_GB2312" w:cs="Times New Roman"/>
                <w:b/>
                <w:bCs/>
                <w:color w:val="000000"/>
                <w:kern w:val="0"/>
                <w:sz w:val="24"/>
                <w:szCs w:val="24"/>
              </w:rPr>
              <w:t>专栏1-</w:t>
            </w:r>
            <w:r>
              <w:rPr>
                <w:rFonts w:ascii="仿宋_GB2312" w:hAnsi="Times New Roman" w:eastAsia="仿宋_GB2312" w:cs="Times New Roman"/>
                <w:b/>
                <w:bCs/>
                <w:color w:val="000000"/>
                <w:kern w:val="0"/>
                <w:sz w:val="24"/>
                <w:szCs w:val="24"/>
              </w:rPr>
              <w:t xml:space="preserve">3  </w:t>
            </w:r>
            <w:r>
              <w:rPr>
                <w:rFonts w:hint="eastAsia" w:ascii="仿宋_GB2312" w:hAnsi="Times New Roman" w:eastAsia="仿宋_GB2312" w:cs="Times New Roman"/>
                <w:b/>
                <w:bCs/>
                <w:color w:val="000000"/>
                <w:kern w:val="0"/>
                <w:sz w:val="24"/>
                <w:szCs w:val="24"/>
              </w:rPr>
              <w:t>南昌市采矿许可证设置情况</w:t>
            </w:r>
          </w:p>
        </w:tc>
      </w:tr>
      <w:tr>
        <w:tblPrEx>
          <w:tblCellMar>
            <w:top w:w="0" w:type="dxa"/>
            <w:left w:w="108" w:type="dxa"/>
            <w:bottom w:w="0" w:type="dxa"/>
            <w:right w:w="108" w:type="dxa"/>
          </w:tblCellMar>
        </w:tblPrEx>
        <w:trPr>
          <w:trHeight w:val="300" w:hRule="atLeast"/>
          <w:tblHeader/>
          <w:jc w:val="center"/>
        </w:trPr>
        <w:tc>
          <w:tcPr>
            <w:tcW w:w="1271" w:type="dxa"/>
            <w:vMerge w:val="restart"/>
            <w:tcBorders>
              <w:top w:val="nil"/>
              <w:left w:val="single" w:color="auto" w:sz="4" w:space="0"/>
              <w:right w:val="single" w:color="auto" w:sz="4" w:space="0"/>
            </w:tcBorders>
            <w:shd w:val="clear" w:color="auto" w:fill="CCFFFF"/>
            <w:noWrap/>
            <w:vAlign w:val="center"/>
          </w:tcPr>
          <w:p>
            <w:pPr>
              <w:widowControl/>
              <w:jc w:val="center"/>
              <w:rPr>
                <w:rFonts w:ascii="Times New Roman" w:hAnsi="Times New Roman" w:eastAsia="等线" w:cs="Times New Roman"/>
                <w:b/>
                <w:bCs/>
                <w:color w:val="000000"/>
                <w:kern w:val="0"/>
                <w:sz w:val="24"/>
                <w:szCs w:val="24"/>
              </w:rPr>
            </w:pPr>
            <w:r>
              <w:rPr>
                <w:rFonts w:hint="eastAsia" w:ascii="仿宋_GB2312" w:hAnsi="Times New Roman" w:eastAsia="仿宋_GB2312" w:cs="Times New Roman"/>
                <w:b/>
                <w:bCs/>
                <w:color w:val="000000"/>
                <w:kern w:val="0"/>
                <w:sz w:val="24"/>
                <w:szCs w:val="24"/>
              </w:rPr>
              <w:t>发证机关</w:t>
            </w:r>
          </w:p>
        </w:tc>
        <w:tc>
          <w:tcPr>
            <w:tcW w:w="1701" w:type="dxa"/>
            <w:vMerge w:val="restart"/>
            <w:tcBorders>
              <w:top w:val="nil"/>
              <w:left w:val="nil"/>
              <w:right w:val="single" w:color="auto" w:sz="4" w:space="0"/>
            </w:tcBorders>
            <w:shd w:val="clear" w:color="auto" w:fill="CCFFFF"/>
            <w:noWrap/>
            <w:vAlign w:val="center"/>
          </w:tcPr>
          <w:p>
            <w:pPr>
              <w:widowControl/>
              <w:jc w:val="center"/>
              <w:rPr>
                <w:rFonts w:ascii="Times New Roman" w:hAnsi="Times New Roman" w:eastAsia="等线" w:cs="Times New Roman"/>
                <w:b/>
                <w:bCs/>
                <w:color w:val="000000"/>
                <w:kern w:val="0"/>
                <w:sz w:val="24"/>
                <w:szCs w:val="24"/>
              </w:rPr>
            </w:pPr>
            <w:r>
              <w:rPr>
                <w:rFonts w:hint="eastAsia" w:ascii="仿宋_GB2312" w:hAnsi="Times New Roman" w:eastAsia="仿宋_GB2312" w:cs="Times New Roman"/>
                <w:b/>
                <w:bCs/>
                <w:color w:val="000000"/>
                <w:kern w:val="0"/>
                <w:sz w:val="24"/>
                <w:szCs w:val="24"/>
              </w:rPr>
              <w:t>矿种</w:t>
            </w:r>
          </w:p>
        </w:tc>
        <w:tc>
          <w:tcPr>
            <w:tcW w:w="851" w:type="dxa"/>
            <w:vMerge w:val="restart"/>
            <w:tcBorders>
              <w:top w:val="nil"/>
              <w:left w:val="nil"/>
              <w:right w:val="single" w:color="auto" w:sz="4" w:space="0"/>
            </w:tcBorders>
            <w:shd w:val="clear" w:color="auto" w:fill="CCFFFF"/>
            <w:noWrap/>
            <w:vAlign w:val="center"/>
          </w:tcPr>
          <w:p>
            <w:pPr>
              <w:widowControl/>
              <w:jc w:val="center"/>
              <w:rPr>
                <w:rFonts w:ascii="Times New Roman" w:hAnsi="Times New Roman" w:eastAsia="等线" w:cs="Times New Roman"/>
                <w:b/>
                <w:bCs/>
                <w:color w:val="000000"/>
                <w:kern w:val="0"/>
                <w:sz w:val="24"/>
                <w:szCs w:val="24"/>
              </w:rPr>
            </w:pPr>
            <w:r>
              <w:rPr>
                <w:rFonts w:hint="eastAsia" w:ascii="仿宋_GB2312" w:hAnsi="Times New Roman" w:eastAsia="仿宋_GB2312" w:cs="Times New Roman"/>
                <w:b/>
                <w:bCs/>
                <w:color w:val="000000"/>
                <w:kern w:val="0"/>
                <w:sz w:val="24"/>
                <w:szCs w:val="24"/>
              </w:rPr>
              <w:t>数量</w:t>
            </w:r>
          </w:p>
        </w:tc>
        <w:tc>
          <w:tcPr>
            <w:tcW w:w="2551" w:type="dxa"/>
            <w:gridSpan w:val="3"/>
            <w:tcBorders>
              <w:top w:val="nil"/>
              <w:left w:val="nil"/>
              <w:bottom w:val="single" w:color="auto" w:sz="4" w:space="0"/>
              <w:right w:val="single" w:color="auto" w:sz="4" w:space="0"/>
            </w:tcBorders>
            <w:shd w:val="clear" w:color="auto" w:fill="CCFFFF"/>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矿山规模</w:t>
            </w:r>
          </w:p>
        </w:tc>
        <w:tc>
          <w:tcPr>
            <w:tcW w:w="1702" w:type="dxa"/>
            <w:gridSpan w:val="2"/>
            <w:tcBorders>
              <w:top w:val="nil"/>
              <w:left w:val="nil"/>
              <w:bottom w:val="single" w:color="auto" w:sz="4" w:space="0"/>
              <w:right w:val="single" w:color="auto" w:sz="4" w:space="0"/>
            </w:tcBorders>
            <w:shd w:val="clear" w:color="auto" w:fill="CCFFFF"/>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开发利用状态</w:t>
            </w:r>
          </w:p>
        </w:tc>
      </w:tr>
      <w:tr>
        <w:tblPrEx>
          <w:tblCellMar>
            <w:top w:w="0" w:type="dxa"/>
            <w:left w:w="108" w:type="dxa"/>
            <w:bottom w:w="0" w:type="dxa"/>
            <w:right w:w="108" w:type="dxa"/>
          </w:tblCellMar>
        </w:tblPrEx>
        <w:trPr>
          <w:trHeight w:val="300" w:hRule="atLeast"/>
          <w:tblHeader/>
          <w:jc w:val="center"/>
        </w:trPr>
        <w:tc>
          <w:tcPr>
            <w:tcW w:w="1271" w:type="dxa"/>
            <w:vMerge w:val="continue"/>
            <w:tcBorders>
              <w:left w:val="single" w:color="auto" w:sz="4" w:space="0"/>
              <w:bottom w:val="single" w:color="auto" w:sz="4" w:space="0"/>
              <w:right w:val="single" w:color="auto" w:sz="4" w:space="0"/>
            </w:tcBorders>
            <w:shd w:val="clear" w:color="auto" w:fill="CCFFFF"/>
            <w:noWrap/>
            <w:vAlign w:val="center"/>
          </w:tcPr>
          <w:p>
            <w:pPr>
              <w:widowControl/>
              <w:jc w:val="center"/>
              <w:rPr>
                <w:rFonts w:ascii="仿宋_GB2312" w:hAnsi="Times New Roman" w:eastAsia="仿宋_GB2312" w:cs="Times New Roman"/>
                <w:b/>
                <w:bCs/>
                <w:color w:val="000000"/>
                <w:kern w:val="0"/>
                <w:sz w:val="24"/>
                <w:szCs w:val="24"/>
              </w:rPr>
            </w:pPr>
          </w:p>
        </w:tc>
        <w:tc>
          <w:tcPr>
            <w:tcW w:w="1701" w:type="dxa"/>
            <w:vMerge w:val="continue"/>
            <w:tcBorders>
              <w:left w:val="nil"/>
              <w:bottom w:val="single" w:color="auto" w:sz="4" w:space="0"/>
              <w:right w:val="single" w:color="auto" w:sz="4" w:space="0"/>
            </w:tcBorders>
            <w:shd w:val="clear" w:color="auto" w:fill="CCFFFF"/>
            <w:noWrap/>
            <w:vAlign w:val="center"/>
          </w:tcPr>
          <w:p>
            <w:pPr>
              <w:widowControl/>
              <w:jc w:val="center"/>
              <w:rPr>
                <w:rFonts w:ascii="仿宋_GB2312" w:hAnsi="Times New Roman" w:eastAsia="仿宋_GB2312" w:cs="Times New Roman"/>
                <w:b/>
                <w:bCs/>
                <w:color w:val="000000"/>
                <w:kern w:val="0"/>
                <w:sz w:val="24"/>
                <w:szCs w:val="24"/>
              </w:rPr>
            </w:pPr>
          </w:p>
        </w:tc>
        <w:tc>
          <w:tcPr>
            <w:tcW w:w="851" w:type="dxa"/>
            <w:vMerge w:val="continue"/>
            <w:tcBorders>
              <w:left w:val="nil"/>
              <w:bottom w:val="single" w:color="auto" w:sz="4" w:space="0"/>
              <w:right w:val="single" w:color="auto" w:sz="4" w:space="0"/>
            </w:tcBorders>
            <w:shd w:val="clear" w:color="auto" w:fill="CCFFFF"/>
            <w:noWrap/>
            <w:vAlign w:val="center"/>
          </w:tcPr>
          <w:p>
            <w:pPr>
              <w:widowControl/>
              <w:jc w:val="center"/>
              <w:rPr>
                <w:rFonts w:ascii="仿宋_GB2312" w:hAnsi="Times New Roman" w:eastAsia="仿宋_GB2312" w:cs="Times New Roman"/>
                <w:b/>
                <w:bCs/>
                <w:color w:val="000000"/>
                <w:kern w:val="0"/>
                <w:sz w:val="24"/>
                <w:szCs w:val="24"/>
              </w:rPr>
            </w:pPr>
          </w:p>
        </w:tc>
        <w:tc>
          <w:tcPr>
            <w:tcW w:w="850" w:type="dxa"/>
            <w:tcBorders>
              <w:top w:val="nil"/>
              <w:left w:val="nil"/>
              <w:bottom w:val="single" w:color="auto" w:sz="4" w:space="0"/>
              <w:right w:val="single" w:color="auto" w:sz="4" w:space="0"/>
            </w:tcBorders>
            <w:shd w:val="clear" w:color="auto" w:fill="CCFFFF"/>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大型</w:t>
            </w:r>
          </w:p>
        </w:tc>
        <w:tc>
          <w:tcPr>
            <w:tcW w:w="851" w:type="dxa"/>
            <w:tcBorders>
              <w:top w:val="nil"/>
              <w:left w:val="nil"/>
              <w:bottom w:val="single" w:color="auto" w:sz="4" w:space="0"/>
              <w:right w:val="single" w:color="auto" w:sz="4" w:space="0"/>
            </w:tcBorders>
            <w:shd w:val="clear" w:color="auto" w:fill="CCFFFF"/>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中型</w:t>
            </w:r>
          </w:p>
        </w:tc>
        <w:tc>
          <w:tcPr>
            <w:tcW w:w="850" w:type="dxa"/>
            <w:tcBorders>
              <w:top w:val="nil"/>
              <w:left w:val="nil"/>
              <w:bottom w:val="single" w:color="auto" w:sz="4" w:space="0"/>
              <w:right w:val="single" w:color="auto" w:sz="4" w:space="0"/>
            </w:tcBorders>
            <w:shd w:val="clear" w:color="auto" w:fill="CCFFFF"/>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大型</w:t>
            </w:r>
          </w:p>
        </w:tc>
        <w:tc>
          <w:tcPr>
            <w:tcW w:w="851" w:type="dxa"/>
            <w:tcBorders>
              <w:top w:val="nil"/>
              <w:left w:val="nil"/>
              <w:bottom w:val="single" w:color="auto" w:sz="4" w:space="0"/>
              <w:right w:val="single" w:color="auto" w:sz="4" w:space="0"/>
            </w:tcBorders>
            <w:shd w:val="clear" w:color="auto" w:fill="CCFFFF"/>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生产</w:t>
            </w:r>
          </w:p>
        </w:tc>
        <w:tc>
          <w:tcPr>
            <w:tcW w:w="851" w:type="dxa"/>
            <w:tcBorders>
              <w:top w:val="nil"/>
              <w:left w:val="nil"/>
              <w:bottom w:val="single" w:color="auto" w:sz="4" w:space="0"/>
              <w:right w:val="single" w:color="auto" w:sz="4" w:space="0"/>
            </w:tcBorders>
            <w:shd w:val="clear" w:color="auto" w:fill="CCFFFF"/>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停产</w:t>
            </w:r>
          </w:p>
        </w:tc>
      </w:tr>
      <w:tr>
        <w:tblPrEx>
          <w:tblCellMar>
            <w:top w:w="0" w:type="dxa"/>
            <w:left w:w="108" w:type="dxa"/>
            <w:bottom w:w="0" w:type="dxa"/>
            <w:right w:w="108" w:type="dxa"/>
          </w:tblCellMar>
        </w:tblPrEx>
        <w:trPr>
          <w:trHeight w:val="397" w:hRule="exact"/>
          <w:jc w:val="center"/>
        </w:trPr>
        <w:tc>
          <w:tcPr>
            <w:tcW w:w="1271" w:type="dxa"/>
            <w:vMerge w:val="restart"/>
            <w:tcBorders>
              <w:top w:val="single" w:color="auto" w:sz="4" w:space="0"/>
              <w:left w:val="single" w:color="auto" w:sz="4" w:space="0"/>
              <w:bottom w:val="single" w:color="auto" w:sz="4" w:space="0"/>
              <w:right w:val="single" w:color="auto" w:sz="4" w:space="0"/>
            </w:tcBorders>
            <w:shd w:val="clear" w:color="auto" w:fill="CCFFFF"/>
            <w:noWrap/>
            <w:vAlign w:val="center"/>
          </w:tcPr>
          <w:p>
            <w:pPr>
              <w:jc w:val="center"/>
              <w:rPr>
                <w:rFonts w:ascii="Times New Roman" w:hAnsi="Times New Roman" w:eastAsia="等线" w:cs="Times New Roman"/>
                <w:color w:val="000000"/>
                <w:kern w:val="0"/>
                <w:sz w:val="24"/>
                <w:szCs w:val="24"/>
              </w:rPr>
            </w:pPr>
            <w:r>
              <w:rPr>
                <w:rFonts w:hint="eastAsia" w:ascii="仿宋_GB2312" w:hAnsi="Times New Roman" w:eastAsia="仿宋_GB2312" w:cs="Times New Roman"/>
                <w:color w:val="000000"/>
                <w:kern w:val="0"/>
                <w:sz w:val="24"/>
                <w:szCs w:val="24"/>
              </w:rPr>
              <w:t>县级</w:t>
            </w:r>
          </w:p>
        </w:tc>
        <w:tc>
          <w:tcPr>
            <w:tcW w:w="1701" w:type="dxa"/>
            <w:tcBorders>
              <w:top w:val="single" w:color="auto" w:sz="4" w:space="0"/>
              <w:left w:val="single" w:color="auto" w:sz="4" w:space="0"/>
              <w:bottom w:val="single" w:color="auto" w:sz="4" w:space="0"/>
              <w:right w:val="single" w:color="auto" w:sz="4" w:space="0"/>
            </w:tcBorders>
            <w:shd w:val="clear" w:color="auto" w:fill="CCFFFF"/>
            <w:noWrap/>
            <w:vAlign w:val="center"/>
          </w:tcPr>
          <w:p>
            <w:pPr>
              <w:spacing w:line="280" w:lineRule="exact"/>
              <w:jc w:val="center"/>
              <w:rPr>
                <w:rFonts w:ascii="Times New Roman" w:eastAsia="仿宋"/>
                <w:szCs w:val="21"/>
              </w:rPr>
            </w:pPr>
            <w:r>
              <w:rPr>
                <w:rFonts w:hint="eastAsia" w:ascii="Times New Roman" w:eastAsia="仿宋"/>
                <w:szCs w:val="21"/>
              </w:rPr>
              <w:t>建筑石料用灰岩</w:t>
            </w:r>
          </w:p>
        </w:tc>
        <w:tc>
          <w:tcPr>
            <w:tcW w:w="851" w:type="dxa"/>
            <w:tcBorders>
              <w:top w:val="single" w:color="auto" w:sz="4" w:space="0"/>
              <w:left w:val="single" w:color="auto" w:sz="4" w:space="0"/>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ascii="Times New Roman" w:eastAsia="仿宋"/>
                <w:szCs w:val="21"/>
              </w:rPr>
              <w:t>5</w:t>
            </w:r>
          </w:p>
        </w:tc>
        <w:tc>
          <w:tcPr>
            <w:tcW w:w="850"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2</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3</w:t>
            </w:r>
          </w:p>
        </w:tc>
        <w:tc>
          <w:tcPr>
            <w:tcW w:w="850"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4</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1</w:t>
            </w:r>
          </w:p>
        </w:tc>
      </w:tr>
      <w:tr>
        <w:tblPrEx>
          <w:tblCellMar>
            <w:top w:w="0" w:type="dxa"/>
            <w:left w:w="108" w:type="dxa"/>
            <w:bottom w:w="0" w:type="dxa"/>
            <w:right w:w="108" w:type="dxa"/>
          </w:tblCellMar>
        </w:tblPrEx>
        <w:trPr>
          <w:trHeight w:val="397" w:hRule="exact"/>
          <w:jc w:val="center"/>
        </w:trPr>
        <w:tc>
          <w:tcPr>
            <w:tcW w:w="1271" w:type="dxa"/>
            <w:vMerge w:val="continue"/>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等线" w:cs="Times New Roman"/>
                <w:color w:val="000000"/>
                <w:kern w:val="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CCFFFF"/>
            <w:vAlign w:val="center"/>
          </w:tcPr>
          <w:p>
            <w:pPr>
              <w:spacing w:line="280" w:lineRule="exact"/>
              <w:jc w:val="center"/>
              <w:rPr>
                <w:rFonts w:ascii="Times New Roman" w:eastAsia="仿宋"/>
                <w:szCs w:val="21"/>
              </w:rPr>
            </w:pPr>
            <w:r>
              <w:rPr>
                <w:rFonts w:hint="eastAsia" w:ascii="Times New Roman" w:eastAsia="仿宋"/>
                <w:szCs w:val="21"/>
              </w:rPr>
              <w:t>砖瓦用粘土</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7</w:t>
            </w:r>
          </w:p>
        </w:tc>
        <w:tc>
          <w:tcPr>
            <w:tcW w:w="850"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w:t>
            </w:r>
          </w:p>
        </w:tc>
        <w:tc>
          <w:tcPr>
            <w:tcW w:w="850"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7</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3</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4</w:t>
            </w:r>
          </w:p>
        </w:tc>
      </w:tr>
      <w:tr>
        <w:tblPrEx>
          <w:tblCellMar>
            <w:top w:w="0" w:type="dxa"/>
            <w:left w:w="108" w:type="dxa"/>
            <w:bottom w:w="0" w:type="dxa"/>
            <w:right w:w="108" w:type="dxa"/>
          </w:tblCellMar>
        </w:tblPrEx>
        <w:trPr>
          <w:trHeight w:val="397" w:hRule="exact"/>
          <w:jc w:val="center"/>
        </w:trPr>
        <w:tc>
          <w:tcPr>
            <w:tcW w:w="1271" w:type="dxa"/>
            <w:vMerge w:val="continue"/>
            <w:tcBorders>
              <w:top w:val="single" w:color="auto" w:sz="4" w:space="0"/>
              <w:left w:val="single" w:color="auto" w:sz="4" w:space="0"/>
              <w:bottom w:val="single" w:color="auto" w:sz="4" w:space="0"/>
              <w:right w:val="single" w:color="auto" w:sz="4" w:space="0"/>
            </w:tcBorders>
            <w:shd w:val="clear" w:color="auto" w:fill="CCFFFF"/>
            <w:noWrap/>
            <w:vAlign w:val="center"/>
          </w:tcPr>
          <w:p>
            <w:pPr>
              <w:widowControl/>
              <w:jc w:val="center"/>
              <w:rPr>
                <w:rFonts w:ascii="Times New Roman" w:hAnsi="Times New Roman" w:eastAsia="等线" w:cs="Times New Roman"/>
                <w:color w:val="000000"/>
                <w:kern w:val="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砖瓦用页岩</w:t>
            </w:r>
          </w:p>
        </w:tc>
        <w:tc>
          <w:tcPr>
            <w:tcW w:w="851" w:type="dxa"/>
            <w:tcBorders>
              <w:top w:val="single" w:color="auto" w:sz="4" w:space="0"/>
              <w:left w:val="single" w:color="auto" w:sz="4" w:space="0"/>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ascii="Times New Roman" w:eastAsia="仿宋"/>
                <w:szCs w:val="21"/>
              </w:rPr>
              <w:t>3</w:t>
            </w:r>
          </w:p>
        </w:tc>
        <w:tc>
          <w:tcPr>
            <w:tcW w:w="850"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3</w:t>
            </w:r>
          </w:p>
        </w:tc>
        <w:tc>
          <w:tcPr>
            <w:tcW w:w="850"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3</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ascii="Times New Roman" w:eastAsia="仿宋"/>
                <w:szCs w:val="21"/>
              </w:rPr>
              <w:t>—</w:t>
            </w:r>
          </w:p>
        </w:tc>
      </w:tr>
      <w:tr>
        <w:tblPrEx>
          <w:tblCellMar>
            <w:top w:w="0" w:type="dxa"/>
            <w:left w:w="108" w:type="dxa"/>
            <w:bottom w:w="0" w:type="dxa"/>
            <w:right w:w="108" w:type="dxa"/>
          </w:tblCellMar>
        </w:tblPrEx>
        <w:trPr>
          <w:trHeight w:val="397" w:hRule="exact"/>
          <w:jc w:val="center"/>
        </w:trPr>
        <w:tc>
          <w:tcPr>
            <w:tcW w:w="2972" w:type="dxa"/>
            <w:gridSpan w:val="2"/>
            <w:tcBorders>
              <w:top w:val="single" w:color="auto" w:sz="4" w:space="0"/>
              <w:left w:val="single" w:color="auto" w:sz="4" w:space="0"/>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 xml:space="preserve">合 </w:t>
            </w:r>
            <w:r>
              <w:rPr>
                <w:rFonts w:ascii="Times New Roman" w:eastAsia="仿宋"/>
                <w:szCs w:val="21"/>
              </w:rPr>
              <w:t xml:space="preserve"> </w:t>
            </w:r>
            <w:r>
              <w:rPr>
                <w:rFonts w:hint="eastAsia" w:ascii="Times New Roman" w:eastAsia="仿宋"/>
                <w:szCs w:val="21"/>
              </w:rPr>
              <w:t>计</w:t>
            </w:r>
          </w:p>
        </w:tc>
        <w:tc>
          <w:tcPr>
            <w:tcW w:w="851" w:type="dxa"/>
            <w:tcBorders>
              <w:top w:val="single" w:color="auto" w:sz="4" w:space="0"/>
              <w:left w:val="single" w:color="auto" w:sz="4" w:space="0"/>
              <w:bottom w:val="single" w:color="auto" w:sz="4" w:space="0"/>
              <w:right w:val="single" w:color="auto" w:sz="4" w:space="0"/>
            </w:tcBorders>
            <w:shd w:val="clear" w:color="auto" w:fill="CCFFFF"/>
            <w:noWrap/>
            <w:vAlign w:val="center"/>
          </w:tcPr>
          <w:p>
            <w:pPr>
              <w:jc w:val="center"/>
              <w:rPr>
                <w:rFonts w:ascii="Times New Roman" w:eastAsia="仿宋"/>
                <w:szCs w:val="21"/>
              </w:rPr>
            </w:pPr>
            <w:r>
              <w:rPr>
                <w:rFonts w:hint="eastAsia" w:ascii="Times New Roman" w:eastAsia="仿宋"/>
                <w:szCs w:val="21"/>
              </w:rPr>
              <w:t>1</w:t>
            </w:r>
            <w:r>
              <w:rPr>
                <w:rFonts w:ascii="Times New Roman" w:eastAsia="仿宋"/>
                <w:szCs w:val="21"/>
              </w:rPr>
              <w:t>5</w:t>
            </w:r>
          </w:p>
        </w:tc>
        <w:tc>
          <w:tcPr>
            <w:tcW w:w="850"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2</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6</w:t>
            </w:r>
          </w:p>
        </w:tc>
        <w:tc>
          <w:tcPr>
            <w:tcW w:w="850"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7</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1</w:t>
            </w:r>
            <w:r>
              <w:rPr>
                <w:rFonts w:ascii="Times New Roman" w:eastAsia="仿宋"/>
                <w:szCs w:val="21"/>
              </w:rPr>
              <w:t>0</w:t>
            </w:r>
          </w:p>
        </w:tc>
        <w:tc>
          <w:tcPr>
            <w:tcW w:w="85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eastAsia="仿宋"/>
                <w:szCs w:val="21"/>
              </w:rPr>
            </w:pPr>
            <w:r>
              <w:rPr>
                <w:rFonts w:hint="eastAsia" w:ascii="Times New Roman" w:eastAsia="仿宋"/>
                <w:szCs w:val="21"/>
              </w:rPr>
              <w:t>5</w:t>
            </w:r>
          </w:p>
        </w:tc>
      </w:tr>
    </w:tbl>
    <w:p>
      <w:pPr>
        <w:spacing w:line="360" w:lineRule="auto"/>
        <w:ind w:firstLine="544" w:firstLineChars="200"/>
        <w:rPr>
          <w:rFonts w:ascii="仿宋" w:hAnsi="仿宋" w:eastAsia="仿宋" w:cs="Times New Roman"/>
          <w:spacing w:val="-4"/>
          <w:kern w:val="0"/>
          <w:sz w:val="28"/>
          <w:szCs w:val="28"/>
        </w:rPr>
      </w:pPr>
      <w:r>
        <w:rPr>
          <w:rFonts w:ascii="仿宋" w:hAnsi="仿宋" w:eastAsia="仿宋" w:cs="Times New Roman"/>
          <w:spacing w:val="-4"/>
          <w:kern w:val="0"/>
          <w:sz w:val="28"/>
          <w:szCs w:val="28"/>
        </w:rPr>
        <w:t>2020</w:t>
      </w:r>
      <w:r>
        <w:rPr>
          <w:rFonts w:hint="eastAsia" w:ascii="仿宋" w:hAnsi="仿宋" w:eastAsia="仿宋" w:cs="Times New Roman"/>
          <w:spacing w:val="-4"/>
          <w:kern w:val="0"/>
          <w:sz w:val="28"/>
          <w:szCs w:val="28"/>
        </w:rPr>
        <w:t>年南昌市年开采总量</w:t>
      </w:r>
      <w:r>
        <w:rPr>
          <w:rFonts w:ascii="仿宋" w:hAnsi="仿宋" w:eastAsia="仿宋" w:cs="Times New Roman"/>
          <w:spacing w:val="-4"/>
          <w:kern w:val="0"/>
          <w:sz w:val="28"/>
          <w:szCs w:val="28"/>
        </w:rPr>
        <w:t>142.27</w:t>
      </w:r>
      <w:r>
        <w:rPr>
          <w:rFonts w:hint="eastAsia" w:ascii="仿宋" w:hAnsi="仿宋" w:eastAsia="仿宋" w:cs="Times New Roman"/>
          <w:spacing w:val="-4"/>
          <w:kern w:val="0"/>
          <w:sz w:val="28"/>
          <w:szCs w:val="28"/>
        </w:rPr>
        <w:t>万吨，全部为露采矿山。其中砖瓦用页岩矿3家，年开采量3</w:t>
      </w:r>
      <w:r>
        <w:rPr>
          <w:rFonts w:ascii="仿宋" w:hAnsi="仿宋" w:eastAsia="仿宋" w:cs="Times New Roman"/>
          <w:spacing w:val="-4"/>
          <w:kern w:val="0"/>
          <w:sz w:val="28"/>
          <w:szCs w:val="28"/>
        </w:rPr>
        <w:t>6</w:t>
      </w:r>
      <w:r>
        <w:rPr>
          <w:rFonts w:hint="eastAsia" w:ascii="仿宋" w:hAnsi="仿宋" w:eastAsia="仿宋" w:cs="Times New Roman"/>
          <w:spacing w:val="-4"/>
          <w:kern w:val="0"/>
          <w:sz w:val="28"/>
          <w:szCs w:val="28"/>
        </w:rPr>
        <w:t>.8万吨；砖瓦用粘土矿</w:t>
      </w:r>
      <w:r>
        <w:rPr>
          <w:rFonts w:ascii="仿宋" w:hAnsi="仿宋" w:eastAsia="仿宋" w:cs="Times New Roman"/>
          <w:spacing w:val="-4"/>
          <w:kern w:val="0"/>
          <w:sz w:val="28"/>
          <w:szCs w:val="28"/>
        </w:rPr>
        <w:t>3</w:t>
      </w:r>
      <w:r>
        <w:rPr>
          <w:rFonts w:hint="eastAsia" w:ascii="仿宋" w:hAnsi="仿宋" w:eastAsia="仿宋" w:cs="Times New Roman"/>
          <w:spacing w:val="-4"/>
          <w:kern w:val="0"/>
          <w:sz w:val="28"/>
          <w:szCs w:val="28"/>
        </w:rPr>
        <w:t>家，年开采量</w:t>
      </w:r>
      <w:r>
        <w:rPr>
          <w:rFonts w:ascii="仿宋" w:hAnsi="仿宋" w:eastAsia="仿宋" w:cs="Times New Roman"/>
          <w:spacing w:val="-4"/>
          <w:kern w:val="0"/>
          <w:sz w:val="28"/>
          <w:szCs w:val="28"/>
        </w:rPr>
        <w:t>8.07</w:t>
      </w:r>
      <w:r>
        <w:rPr>
          <w:rFonts w:hint="eastAsia" w:ascii="仿宋" w:hAnsi="仿宋" w:eastAsia="仿宋" w:cs="Times New Roman"/>
          <w:spacing w:val="-4"/>
          <w:kern w:val="0"/>
          <w:sz w:val="28"/>
          <w:szCs w:val="28"/>
        </w:rPr>
        <w:t>万吨；建筑石料用灰岩矿</w:t>
      </w:r>
      <w:r>
        <w:rPr>
          <w:rFonts w:ascii="仿宋" w:hAnsi="仿宋" w:eastAsia="仿宋" w:cs="Times New Roman"/>
          <w:spacing w:val="-4"/>
          <w:kern w:val="0"/>
          <w:sz w:val="28"/>
          <w:szCs w:val="28"/>
        </w:rPr>
        <w:t>4</w:t>
      </w:r>
      <w:r>
        <w:rPr>
          <w:rFonts w:hint="eastAsia" w:ascii="仿宋" w:hAnsi="仿宋" w:eastAsia="仿宋" w:cs="Times New Roman"/>
          <w:spacing w:val="-4"/>
          <w:kern w:val="0"/>
          <w:sz w:val="28"/>
          <w:szCs w:val="28"/>
        </w:rPr>
        <w:t>家，年开采量</w:t>
      </w:r>
      <w:r>
        <w:rPr>
          <w:rFonts w:ascii="仿宋" w:hAnsi="仿宋" w:eastAsia="仿宋" w:cs="Times New Roman"/>
          <w:spacing w:val="-4"/>
          <w:kern w:val="0"/>
          <w:sz w:val="28"/>
          <w:szCs w:val="28"/>
        </w:rPr>
        <w:t>97.4</w:t>
      </w:r>
      <w:r>
        <w:rPr>
          <w:rFonts w:hint="eastAsia" w:ascii="仿宋" w:hAnsi="仿宋" w:eastAsia="仿宋" w:cs="Times New Roman"/>
          <w:spacing w:val="-4"/>
          <w:kern w:val="0"/>
          <w:sz w:val="28"/>
          <w:szCs w:val="28"/>
        </w:rPr>
        <w:t>万吨。</w:t>
      </w:r>
    </w:p>
    <w:p>
      <w:pPr>
        <w:spacing w:line="360" w:lineRule="auto"/>
        <w:ind w:firstLine="602" w:firstLineChars="200"/>
        <w:jc w:val="left"/>
        <w:outlineLvl w:val="2"/>
        <w:rPr>
          <w:rFonts w:ascii="仿宋_GB2312" w:hAnsi="仿宋" w:eastAsia="仿宋_GB2312" w:cs="Times New Roman"/>
          <w:b/>
          <w:kern w:val="0"/>
          <w:sz w:val="30"/>
          <w:szCs w:val="30"/>
        </w:rPr>
      </w:pPr>
      <w:bookmarkStart w:id="14" w:name="_Toc104389928"/>
      <w:r>
        <w:rPr>
          <w:rFonts w:hint="eastAsia" w:ascii="仿宋_GB2312" w:hAnsi="仿宋" w:eastAsia="仿宋_GB2312" w:cs="Times New Roman"/>
          <w:b/>
          <w:kern w:val="0"/>
          <w:sz w:val="30"/>
          <w:szCs w:val="30"/>
        </w:rPr>
        <w:t>二、上轮规划实施成效与不足</w:t>
      </w:r>
      <w:bookmarkEnd w:id="14"/>
    </w:p>
    <w:p>
      <w:pPr>
        <w:snapToGrid w:val="0"/>
        <w:spacing w:line="600" w:lineRule="exact"/>
        <w:ind w:firstLine="562" w:firstLineChars="200"/>
        <w:outlineLvl w:val="3"/>
        <w:rPr>
          <w:rFonts w:ascii="仿宋_GB2312" w:hAnsi="仿宋" w:eastAsia="仿宋_GB2312" w:cs="Times New Roman"/>
          <w:b/>
          <w:kern w:val="0"/>
          <w:sz w:val="30"/>
          <w:szCs w:val="30"/>
        </w:rPr>
      </w:pPr>
      <w:r>
        <w:rPr>
          <w:rFonts w:hint="eastAsia" w:ascii="Times New Roman" w:hAnsi="Times New Roman" w:eastAsia="仿宋_GB2312" w:cs="Times New Roman"/>
          <w:b/>
          <w:bCs/>
          <w:sz w:val="28"/>
          <w:szCs w:val="32"/>
        </w:rPr>
        <w:t>（一）上轮规划实施成效</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上轮规划期间，南昌市未实施矿产资源勘查项目（三类矿产除外），无勘查资金投入，无新发现矿产地；加强了矿产资源整合力度，并充分利用外购和发展新型墙体材料等措施，大幅度减少了砖瓦用粘土矿开采总量，</w:t>
      </w:r>
      <w:r>
        <w:rPr>
          <w:rFonts w:ascii="仿宋" w:hAnsi="仿宋" w:eastAsia="仿宋" w:cs="Times New Roman"/>
          <w:spacing w:val="-4"/>
          <w:kern w:val="0"/>
          <w:sz w:val="28"/>
          <w:szCs w:val="28"/>
        </w:rPr>
        <w:t>2020</w:t>
      </w:r>
      <w:r>
        <w:rPr>
          <w:rFonts w:hint="eastAsia" w:ascii="仿宋" w:hAnsi="仿宋" w:eastAsia="仿宋" w:cs="Times New Roman"/>
          <w:spacing w:val="-4"/>
          <w:kern w:val="0"/>
          <w:sz w:val="28"/>
          <w:szCs w:val="28"/>
        </w:rPr>
        <w:t>年南昌市年开采总量</w:t>
      </w:r>
      <w:r>
        <w:rPr>
          <w:rFonts w:ascii="仿宋" w:hAnsi="仿宋" w:eastAsia="仿宋" w:cs="Times New Roman"/>
          <w:spacing w:val="-4"/>
          <w:kern w:val="0"/>
          <w:sz w:val="28"/>
          <w:szCs w:val="28"/>
        </w:rPr>
        <w:t>142.27</w:t>
      </w:r>
      <w:r>
        <w:rPr>
          <w:rFonts w:hint="eastAsia" w:ascii="仿宋" w:hAnsi="仿宋" w:eastAsia="仿宋" w:cs="Times New Roman"/>
          <w:spacing w:val="-4"/>
          <w:kern w:val="0"/>
          <w:sz w:val="28"/>
          <w:szCs w:val="28"/>
        </w:rPr>
        <w:t>万吨；2020年底，南昌市矿山总数实际为</w:t>
      </w:r>
      <w:r>
        <w:rPr>
          <w:rFonts w:ascii="仿宋" w:hAnsi="仿宋" w:eastAsia="仿宋" w:cs="Times New Roman"/>
          <w:spacing w:val="-4"/>
          <w:kern w:val="0"/>
          <w:sz w:val="28"/>
          <w:szCs w:val="28"/>
        </w:rPr>
        <w:t>15</w:t>
      </w:r>
      <w:r>
        <w:rPr>
          <w:rFonts w:hint="eastAsia" w:ascii="仿宋" w:hAnsi="仿宋" w:eastAsia="仿宋" w:cs="Times New Roman"/>
          <w:spacing w:val="-4"/>
          <w:kern w:val="0"/>
          <w:sz w:val="28"/>
          <w:szCs w:val="28"/>
        </w:rPr>
        <w:t>个，相比2015年减少了约</w:t>
      </w:r>
      <w:r>
        <w:rPr>
          <w:rFonts w:ascii="仿宋" w:hAnsi="仿宋" w:eastAsia="仿宋" w:cs="Times New Roman"/>
          <w:spacing w:val="-4"/>
          <w:kern w:val="0"/>
          <w:sz w:val="28"/>
          <w:szCs w:val="28"/>
        </w:rPr>
        <w:t>92</w:t>
      </w:r>
      <w:r>
        <w:rPr>
          <w:rFonts w:hint="eastAsia" w:ascii="仿宋" w:hAnsi="仿宋" w:eastAsia="仿宋" w:cs="Times New Roman"/>
          <w:spacing w:val="-4"/>
          <w:kern w:val="0"/>
          <w:sz w:val="28"/>
          <w:szCs w:val="28"/>
        </w:rPr>
        <w:t>%；由于关闭了大量小型砖瓦用粘土矿，实际大中型矿山比例从2015年的</w:t>
      </w:r>
      <w:r>
        <w:rPr>
          <w:rFonts w:ascii="仿宋" w:hAnsi="仿宋" w:eastAsia="仿宋" w:cs="Times New Roman"/>
          <w:spacing w:val="-4"/>
          <w:kern w:val="0"/>
          <w:sz w:val="28"/>
          <w:szCs w:val="28"/>
        </w:rPr>
        <w:t>1.15</w:t>
      </w:r>
      <w:r>
        <w:rPr>
          <w:rFonts w:hint="eastAsia" w:ascii="仿宋" w:hAnsi="仿宋" w:eastAsia="仿宋" w:cs="Times New Roman"/>
          <w:spacing w:val="-4"/>
          <w:kern w:val="0"/>
          <w:sz w:val="28"/>
          <w:szCs w:val="28"/>
        </w:rPr>
        <w:t>%增长到2020年的</w:t>
      </w:r>
      <w:r>
        <w:rPr>
          <w:rFonts w:ascii="仿宋" w:hAnsi="仿宋" w:eastAsia="仿宋" w:cs="Times New Roman"/>
          <w:spacing w:val="-4"/>
          <w:kern w:val="0"/>
          <w:sz w:val="28"/>
          <w:szCs w:val="28"/>
        </w:rPr>
        <w:t>53</w:t>
      </w:r>
      <w:r>
        <w:rPr>
          <w:rFonts w:hint="eastAsia" w:ascii="仿宋" w:hAnsi="仿宋" w:eastAsia="仿宋" w:cs="Times New Roman"/>
          <w:spacing w:val="-4"/>
          <w:kern w:val="0"/>
          <w:sz w:val="28"/>
          <w:szCs w:val="28"/>
        </w:rPr>
        <w:t>%。主要矿产勘查指标完成情况见</w:t>
      </w:r>
      <w:r>
        <w:rPr>
          <w:rFonts w:hint="eastAsia" w:ascii="仿宋" w:hAnsi="仿宋" w:eastAsia="仿宋" w:cs="Times New Roman"/>
          <w:kern w:val="0"/>
          <w:sz w:val="28"/>
          <w:szCs w:val="28"/>
        </w:rPr>
        <w:t>专栏</w:t>
      </w:r>
      <w:r>
        <w:rPr>
          <w:rFonts w:hint="eastAsia" w:ascii="仿宋" w:hAnsi="仿宋" w:eastAsia="仿宋" w:cs="Times New Roman"/>
          <w:spacing w:val="-4"/>
          <w:kern w:val="0"/>
          <w:sz w:val="28"/>
          <w:szCs w:val="28"/>
        </w:rPr>
        <w:t>1-</w:t>
      </w:r>
      <w:r>
        <w:rPr>
          <w:rFonts w:ascii="仿宋" w:hAnsi="仿宋" w:eastAsia="仿宋" w:cs="Times New Roman"/>
          <w:spacing w:val="-4"/>
          <w:kern w:val="0"/>
          <w:sz w:val="28"/>
          <w:szCs w:val="28"/>
        </w:rPr>
        <w:t>4</w:t>
      </w:r>
      <w:r>
        <w:rPr>
          <w:rFonts w:hint="eastAsia" w:ascii="仿宋" w:hAnsi="仿宋" w:eastAsia="仿宋" w:cs="Times New Roman"/>
          <w:spacing w:val="-4"/>
          <w:kern w:val="0"/>
          <w:sz w:val="28"/>
          <w:szCs w:val="28"/>
        </w:rPr>
        <w:t>。</w:t>
      </w:r>
    </w:p>
    <w:tbl>
      <w:tblPr>
        <w:tblStyle w:val="12"/>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770"/>
        <w:gridCol w:w="1266"/>
        <w:gridCol w:w="1276"/>
        <w:gridCol w:w="1048"/>
        <w:gridCol w:w="946"/>
        <w:gridCol w:w="992"/>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8368" w:type="dxa"/>
            <w:gridSpan w:val="8"/>
            <w:shd w:val="clear" w:color="000000" w:fill="99CC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专栏</w:t>
            </w:r>
            <w:r>
              <w:rPr>
                <w:rFonts w:hint="eastAsia" w:ascii="Times New Roman" w:hAnsi="Times New Roman" w:eastAsia="仿宋_GB2312" w:cs="Times New Roman"/>
                <w:b/>
                <w:bCs/>
                <w:color w:val="000000"/>
                <w:kern w:val="0"/>
                <w:sz w:val="24"/>
                <w:szCs w:val="24"/>
              </w:rPr>
              <w:t>1</w:t>
            </w:r>
            <w:r>
              <w:rPr>
                <w:rFonts w:ascii="Times New Roman" w:hAnsi="Times New Roman" w:eastAsia="仿宋_GB2312" w:cs="Times New Roman"/>
                <w:b/>
                <w:bCs/>
                <w:color w:val="000000"/>
                <w:kern w:val="0"/>
                <w:sz w:val="24"/>
                <w:szCs w:val="24"/>
              </w:rPr>
              <w:t xml:space="preserve">-4  </w:t>
            </w:r>
            <w:r>
              <w:rPr>
                <w:rFonts w:hint="eastAsia" w:ascii="Times New Roman" w:hAnsi="Times New Roman" w:eastAsia="仿宋_GB2312" w:cs="Times New Roman"/>
                <w:b/>
                <w:bCs/>
                <w:color w:val="000000"/>
                <w:kern w:val="0"/>
                <w:sz w:val="24"/>
                <w:szCs w:val="24"/>
              </w:rPr>
              <w:t>南昌</w:t>
            </w:r>
            <w:r>
              <w:rPr>
                <w:rFonts w:ascii="Times New Roman" w:hAnsi="Times New Roman" w:eastAsia="仿宋_GB2312" w:cs="Times New Roman"/>
                <w:b/>
                <w:bCs/>
                <w:color w:val="000000"/>
                <w:kern w:val="0"/>
                <w:sz w:val="24"/>
                <w:szCs w:val="24"/>
              </w:rPr>
              <w:t>市矿产资源规划</w:t>
            </w:r>
            <w:r>
              <w:rPr>
                <w:rFonts w:hint="eastAsia" w:ascii="Times New Roman" w:hAnsi="Times New Roman" w:eastAsia="仿宋_GB2312" w:cs="Times New Roman"/>
                <w:b/>
                <w:bCs/>
                <w:kern w:val="0"/>
                <w:sz w:val="24"/>
                <w:szCs w:val="24"/>
              </w:rPr>
              <w:t>主要</w:t>
            </w:r>
            <w:r>
              <w:rPr>
                <w:rFonts w:ascii="Times New Roman" w:hAnsi="Times New Roman" w:eastAsia="仿宋_GB2312" w:cs="Times New Roman"/>
                <w:b/>
                <w:bCs/>
                <w:kern w:val="0"/>
                <w:sz w:val="24"/>
                <w:szCs w:val="24"/>
              </w:rPr>
              <w:t>指标完成</w:t>
            </w:r>
            <w:r>
              <w:rPr>
                <w:rFonts w:ascii="Times New Roman" w:hAnsi="Times New Roman" w:eastAsia="仿宋_GB2312" w:cs="Times New Roman"/>
                <w:b/>
                <w:bCs/>
                <w:color w:val="000000"/>
                <w:kern w:val="0"/>
                <w:sz w:val="24"/>
                <w:szCs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94" w:type="dxa"/>
            <w:vMerge w:val="restart"/>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类别</w:t>
            </w:r>
          </w:p>
        </w:tc>
        <w:tc>
          <w:tcPr>
            <w:tcW w:w="2036" w:type="dxa"/>
            <w:gridSpan w:val="2"/>
            <w:vMerge w:val="restart"/>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指标名称</w:t>
            </w:r>
          </w:p>
        </w:tc>
        <w:tc>
          <w:tcPr>
            <w:tcW w:w="1276" w:type="dxa"/>
            <w:vMerge w:val="restart"/>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单位</w:t>
            </w:r>
          </w:p>
        </w:tc>
        <w:tc>
          <w:tcPr>
            <w:tcW w:w="1994" w:type="dxa"/>
            <w:gridSpan w:val="2"/>
            <w:shd w:val="clear" w:color="000000" w:fill="CCFFFF"/>
            <w:vAlign w:val="center"/>
          </w:tcPr>
          <w:p>
            <w:pPr>
              <w:widowControl/>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2020</w:t>
            </w:r>
            <w:r>
              <w:rPr>
                <w:rFonts w:ascii="Times New Roman" w:hAnsi="Times New Roman" w:eastAsia="宋体" w:cs="Times New Roman"/>
                <w:b/>
                <w:bCs/>
                <w:color w:val="000000"/>
                <w:kern w:val="0"/>
                <w:sz w:val="24"/>
                <w:szCs w:val="24"/>
              </w:rPr>
              <w:t>年</w:t>
            </w:r>
          </w:p>
        </w:tc>
        <w:tc>
          <w:tcPr>
            <w:tcW w:w="992" w:type="dxa"/>
            <w:vMerge w:val="restart"/>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指标</w:t>
            </w:r>
          </w:p>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属性</w:t>
            </w:r>
          </w:p>
        </w:tc>
        <w:tc>
          <w:tcPr>
            <w:tcW w:w="1276" w:type="dxa"/>
            <w:vMerge w:val="restart"/>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完成情况或比例</w:t>
            </w:r>
          </w:p>
          <w:p>
            <w:pPr>
              <w:widowControl/>
              <w:jc w:val="center"/>
              <w:rPr>
                <w:rFonts w:ascii="Times New Roman" w:hAnsi="Times New Roman" w:eastAsia="仿宋_GB2312" w:cs="Times New Roman"/>
                <w:b/>
                <w:bCs/>
                <w:color w:val="000000"/>
                <w:kern w:val="0"/>
                <w:sz w:val="24"/>
                <w:szCs w:val="24"/>
              </w:rPr>
            </w:pPr>
            <w:r>
              <w:rPr>
                <w:rFonts w:hint="eastAsia" w:ascii="Times New Roman" w:hAnsi="Times New Roman" w:eastAsia="仿宋_GB2312" w:cs="Times New Roman"/>
                <w:b/>
                <w:bCs/>
                <w:color w:val="000000"/>
                <w:kern w:val="0"/>
                <w:sz w:val="24"/>
                <w:szCs w:val="24"/>
              </w:rPr>
              <w:t>(</w:t>
            </w:r>
            <w:r>
              <w:rPr>
                <w:rFonts w:ascii="Times New Roman" w:hAnsi="Times New Roman" w:eastAsia="仿宋_GB2312" w:cs="Times New Roman"/>
                <w:b/>
                <w:bCs/>
                <w:color w:val="000000"/>
                <w:kern w:val="0"/>
                <w:sz w:val="24"/>
                <w:szCs w:val="24"/>
              </w:rPr>
              <w:t>%</w:t>
            </w:r>
            <w:r>
              <w:rPr>
                <w:rFonts w:hint="eastAsia" w:ascii="Times New Roman" w:hAnsi="Times New Roman" w:eastAsia="仿宋_GB2312" w:cs="Times New Roman"/>
                <w:b/>
                <w:bCs/>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vAlign w:val="center"/>
          </w:tcPr>
          <w:p>
            <w:pPr>
              <w:widowControl/>
              <w:jc w:val="left"/>
              <w:rPr>
                <w:rFonts w:ascii="Times New Roman" w:hAnsi="Times New Roman" w:eastAsia="仿宋_GB2312" w:cs="Times New Roman"/>
                <w:color w:val="000000"/>
                <w:kern w:val="0"/>
                <w:sz w:val="24"/>
                <w:szCs w:val="24"/>
              </w:rPr>
            </w:pPr>
          </w:p>
        </w:tc>
        <w:tc>
          <w:tcPr>
            <w:tcW w:w="2036" w:type="dxa"/>
            <w:gridSpan w:val="2"/>
            <w:vMerge w:val="continue"/>
            <w:vAlign w:val="center"/>
          </w:tcPr>
          <w:p>
            <w:pPr>
              <w:widowControl/>
              <w:jc w:val="left"/>
              <w:rPr>
                <w:rFonts w:ascii="Times New Roman" w:hAnsi="Times New Roman" w:eastAsia="仿宋_GB2312" w:cs="Times New Roman"/>
                <w:color w:val="000000"/>
                <w:kern w:val="0"/>
                <w:sz w:val="24"/>
                <w:szCs w:val="24"/>
              </w:rPr>
            </w:pPr>
          </w:p>
        </w:tc>
        <w:tc>
          <w:tcPr>
            <w:tcW w:w="1276" w:type="dxa"/>
            <w:vMerge w:val="continue"/>
            <w:vAlign w:val="center"/>
          </w:tcPr>
          <w:p>
            <w:pPr>
              <w:widowControl/>
              <w:jc w:val="left"/>
              <w:rPr>
                <w:rFonts w:ascii="Times New Roman" w:hAnsi="Times New Roman" w:eastAsia="仿宋_GB2312" w:cs="Times New Roman"/>
                <w:color w:val="000000"/>
                <w:kern w:val="0"/>
                <w:sz w:val="24"/>
                <w:szCs w:val="24"/>
              </w:rPr>
            </w:pPr>
          </w:p>
        </w:tc>
        <w:tc>
          <w:tcPr>
            <w:tcW w:w="1048" w:type="dxa"/>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规划</w:t>
            </w:r>
          </w:p>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目标</w:t>
            </w:r>
          </w:p>
        </w:tc>
        <w:tc>
          <w:tcPr>
            <w:tcW w:w="946" w:type="dxa"/>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完成</w:t>
            </w:r>
          </w:p>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情况</w:t>
            </w:r>
          </w:p>
        </w:tc>
        <w:tc>
          <w:tcPr>
            <w:tcW w:w="992" w:type="dxa"/>
            <w:vMerge w:val="continue"/>
            <w:vAlign w:val="center"/>
          </w:tcPr>
          <w:p>
            <w:pPr>
              <w:widowControl/>
              <w:jc w:val="left"/>
              <w:rPr>
                <w:rFonts w:ascii="Times New Roman" w:hAnsi="Times New Roman" w:eastAsia="仿宋_GB2312" w:cs="Times New Roman"/>
                <w:color w:val="000000"/>
                <w:kern w:val="0"/>
                <w:sz w:val="24"/>
                <w:szCs w:val="24"/>
              </w:rPr>
            </w:pPr>
          </w:p>
        </w:tc>
        <w:tc>
          <w:tcPr>
            <w:tcW w:w="1276" w:type="dxa"/>
            <w:vMerge w:val="continue"/>
            <w:vAlign w:val="center"/>
          </w:tcPr>
          <w:p>
            <w:pPr>
              <w:widowControl/>
              <w:jc w:val="left"/>
              <w:rPr>
                <w:rFonts w:ascii="Times New Roman" w:hAnsi="Times New Roman" w:eastAsia="仿宋_GB2312"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794" w:type="dxa"/>
            <w:vMerge w:val="restart"/>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矿业</w:t>
            </w:r>
          </w:p>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经济</w:t>
            </w:r>
          </w:p>
        </w:tc>
        <w:tc>
          <w:tcPr>
            <w:tcW w:w="2036" w:type="dxa"/>
            <w:gridSpan w:val="2"/>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矿业及其延伸</w:t>
            </w:r>
          </w:p>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产业总产值</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亿元</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1077.00</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8</w:t>
            </w:r>
            <w:r>
              <w:rPr>
                <w:rFonts w:ascii="Times New Roman" w:hAnsi="Times New Roman" w:eastAsia="仿宋_GB2312" w:cs="Times New Roman"/>
                <w:color w:val="000000"/>
                <w:kern w:val="0"/>
                <w:sz w:val="24"/>
                <w:szCs w:val="24"/>
              </w:rPr>
              <w:t>04.52</w:t>
            </w:r>
          </w:p>
        </w:tc>
        <w:tc>
          <w:tcPr>
            <w:tcW w:w="992" w:type="dxa"/>
            <w:vMerge w:val="restart"/>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预期性</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7</w:t>
            </w:r>
            <w:r>
              <w:rPr>
                <w:rFonts w:ascii="Times New Roman" w:hAnsi="Times New Roman" w:eastAsia="仿宋_GB2312" w:cs="Times New Roman"/>
                <w:color w:val="000000"/>
                <w:kern w:val="0"/>
                <w:sz w:val="24"/>
                <w:szCs w:val="24"/>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770"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 xml:space="preserve">其中 </w:t>
            </w:r>
          </w:p>
        </w:tc>
        <w:tc>
          <w:tcPr>
            <w:tcW w:w="126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矿业产值</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亿元</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1</w:t>
            </w:r>
            <w:r>
              <w:rPr>
                <w:rFonts w:ascii="Times New Roman" w:hAnsi="Times New Roman" w:eastAsia="仿宋_GB2312" w:cs="Times New Roman"/>
                <w:color w:val="000000"/>
                <w:kern w:val="0"/>
                <w:sz w:val="24"/>
                <w:szCs w:val="24"/>
              </w:rPr>
              <w:t>6.00</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r>
              <w:rPr>
                <w:rFonts w:ascii="Times New Roman" w:hAnsi="Times New Roman" w:eastAsia="仿宋_GB2312" w:cs="Times New Roman"/>
                <w:color w:val="000000"/>
                <w:kern w:val="0"/>
                <w:sz w:val="24"/>
                <w:szCs w:val="24"/>
              </w:rPr>
              <w:t>.27</w:t>
            </w:r>
          </w:p>
        </w:tc>
        <w:tc>
          <w:tcPr>
            <w:tcW w:w="992" w:type="dxa"/>
            <w:vMerge w:val="continue"/>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1</w:t>
            </w:r>
            <w:r>
              <w:rPr>
                <w:rFonts w:ascii="Times New Roman" w:hAnsi="Times New Roman" w:eastAsia="仿宋_GB2312" w:cs="Times New Roman"/>
                <w:color w:val="000000"/>
                <w:kern w:val="0"/>
                <w:sz w:val="24"/>
                <w:szCs w:val="24"/>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restart"/>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矿产资源勘查</w:t>
            </w:r>
          </w:p>
        </w:tc>
        <w:tc>
          <w:tcPr>
            <w:tcW w:w="2036" w:type="dxa"/>
            <w:gridSpan w:val="2"/>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新发现</w:t>
            </w:r>
          </w:p>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大中型矿产地</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处</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p>
        </w:tc>
        <w:tc>
          <w:tcPr>
            <w:tcW w:w="992" w:type="dxa"/>
            <w:vMerge w:val="restart"/>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预期性</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vAlign w:val="center"/>
          </w:tcPr>
          <w:p>
            <w:pPr>
              <w:widowControl/>
              <w:jc w:val="left"/>
              <w:rPr>
                <w:rFonts w:ascii="Times New Roman" w:hAnsi="Times New Roman" w:eastAsia="仿宋_GB2312" w:cs="Times New Roman"/>
                <w:color w:val="000000"/>
                <w:kern w:val="0"/>
                <w:sz w:val="24"/>
                <w:szCs w:val="24"/>
              </w:rPr>
            </w:pPr>
          </w:p>
        </w:tc>
        <w:tc>
          <w:tcPr>
            <w:tcW w:w="770" w:type="dxa"/>
            <w:vMerge w:val="restart"/>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新增资源量</w:t>
            </w:r>
          </w:p>
        </w:tc>
        <w:tc>
          <w:tcPr>
            <w:tcW w:w="126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地热水</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立方米/日</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w:t>
            </w:r>
            <w:r>
              <w:rPr>
                <w:rFonts w:hint="eastAsia" w:ascii="Times New Roman" w:hAnsi="Times New Roman" w:eastAsia="仿宋_GB2312" w:cs="Times New Roman"/>
                <w:color w:val="000000"/>
                <w:kern w:val="0"/>
                <w:sz w:val="24"/>
                <w:szCs w:val="24"/>
              </w:rPr>
              <w:t>1</w:t>
            </w:r>
            <w:r>
              <w:rPr>
                <w:rFonts w:ascii="Times New Roman" w:hAnsi="Times New Roman" w:eastAsia="仿宋_GB2312" w:cs="Times New Roman"/>
                <w:color w:val="000000"/>
                <w:kern w:val="0"/>
                <w:sz w:val="24"/>
                <w:szCs w:val="24"/>
              </w:rPr>
              <w:t>1500]</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p>
        </w:tc>
        <w:tc>
          <w:tcPr>
            <w:tcW w:w="992" w:type="dxa"/>
            <w:vMerge w:val="continue"/>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794" w:type="dxa"/>
            <w:vMerge w:val="continue"/>
            <w:vAlign w:val="center"/>
          </w:tcPr>
          <w:p>
            <w:pPr>
              <w:widowControl/>
              <w:jc w:val="left"/>
              <w:rPr>
                <w:rFonts w:ascii="Times New Roman" w:hAnsi="Times New Roman" w:eastAsia="仿宋_GB2312" w:cs="Times New Roman"/>
                <w:color w:val="000000"/>
                <w:kern w:val="0"/>
                <w:sz w:val="24"/>
                <w:szCs w:val="24"/>
              </w:rPr>
            </w:pPr>
          </w:p>
        </w:tc>
        <w:tc>
          <w:tcPr>
            <w:tcW w:w="770" w:type="dxa"/>
            <w:vMerge w:val="continue"/>
            <w:vAlign w:val="center"/>
          </w:tcPr>
          <w:p>
            <w:pPr>
              <w:widowControl/>
              <w:jc w:val="left"/>
              <w:rPr>
                <w:rFonts w:ascii="Times New Roman" w:hAnsi="Times New Roman" w:eastAsia="仿宋_GB2312" w:cs="Times New Roman"/>
                <w:color w:val="000000"/>
                <w:kern w:val="0"/>
                <w:sz w:val="24"/>
                <w:szCs w:val="24"/>
              </w:rPr>
            </w:pPr>
          </w:p>
        </w:tc>
        <w:tc>
          <w:tcPr>
            <w:tcW w:w="126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矿泉水</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立方米/日</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w:t>
            </w:r>
            <w:r>
              <w:rPr>
                <w:rFonts w:hint="eastAsia" w:ascii="Times New Roman" w:hAnsi="Times New Roman" w:eastAsia="仿宋_GB2312" w:cs="Times New Roman"/>
                <w:color w:val="000000"/>
                <w:kern w:val="0"/>
                <w:sz w:val="24"/>
                <w:szCs w:val="24"/>
              </w:rPr>
              <w:t>2</w:t>
            </w:r>
            <w:r>
              <w:rPr>
                <w:rFonts w:ascii="Times New Roman" w:hAnsi="Times New Roman" w:eastAsia="仿宋_GB2312" w:cs="Times New Roman"/>
                <w:color w:val="000000"/>
                <w:kern w:val="0"/>
                <w:sz w:val="24"/>
                <w:szCs w:val="24"/>
              </w:rPr>
              <w:t>300]</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p>
        </w:tc>
        <w:tc>
          <w:tcPr>
            <w:tcW w:w="992" w:type="dxa"/>
            <w:vMerge w:val="continue"/>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794" w:type="dxa"/>
            <w:vMerge w:val="continue"/>
            <w:vAlign w:val="center"/>
          </w:tcPr>
          <w:p>
            <w:pPr>
              <w:widowControl/>
              <w:jc w:val="left"/>
              <w:rPr>
                <w:rFonts w:ascii="Times New Roman" w:hAnsi="Times New Roman" w:eastAsia="仿宋_GB2312" w:cs="Times New Roman"/>
                <w:color w:val="000000"/>
                <w:kern w:val="0"/>
                <w:sz w:val="24"/>
                <w:szCs w:val="24"/>
              </w:rPr>
            </w:pPr>
          </w:p>
        </w:tc>
        <w:tc>
          <w:tcPr>
            <w:tcW w:w="770" w:type="dxa"/>
            <w:vMerge w:val="continue"/>
            <w:vAlign w:val="center"/>
          </w:tcPr>
          <w:p>
            <w:pPr>
              <w:widowControl/>
              <w:jc w:val="left"/>
              <w:rPr>
                <w:rFonts w:ascii="Times New Roman" w:hAnsi="Times New Roman" w:eastAsia="仿宋_GB2312" w:cs="Times New Roman"/>
                <w:color w:val="000000"/>
                <w:kern w:val="0"/>
                <w:sz w:val="24"/>
                <w:szCs w:val="24"/>
              </w:rPr>
            </w:pPr>
          </w:p>
        </w:tc>
        <w:tc>
          <w:tcPr>
            <w:tcW w:w="126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陶瓷土</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万吨</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w:t>
            </w:r>
            <w:r>
              <w:rPr>
                <w:rFonts w:hint="eastAsia" w:ascii="Times New Roman" w:hAnsi="Times New Roman" w:eastAsia="仿宋_GB2312" w:cs="Times New Roman"/>
                <w:color w:val="000000"/>
                <w:kern w:val="0"/>
                <w:sz w:val="24"/>
                <w:szCs w:val="24"/>
              </w:rPr>
              <w:t>1</w:t>
            </w:r>
            <w:r>
              <w:rPr>
                <w:rFonts w:ascii="Times New Roman" w:hAnsi="Times New Roman" w:eastAsia="仿宋_GB2312" w:cs="Times New Roman"/>
                <w:color w:val="000000"/>
                <w:kern w:val="0"/>
                <w:sz w:val="24"/>
                <w:szCs w:val="24"/>
              </w:rPr>
              <w:t>0]</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p>
        </w:tc>
        <w:tc>
          <w:tcPr>
            <w:tcW w:w="992" w:type="dxa"/>
            <w:vMerge w:val="continue"/>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794" w:type="dxa"/>
            <w:vMerge w:val="restart"/>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矿产资源开发利用与</w:t>
            </w:r>
          </w:p>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保护</w:t>
            </w:r>
          </w:p>
        </w:tc>
        <w:tc>
          <w:tcPr>
            <w:tcW w:w="2036" w:type="dxa"/>
            <w:gridSpan w:val="2"/>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开采总量</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矿石万吨</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185</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1</w:t>
            </w:r>
            <w:r>
              <w:rPr>
                <w:rFonts w:ascii="Times New Roman" w:hAnsi="Times New Roman" w:eastAsia="仿宋_GB2312" w:cs="Times New Roman"/>
                <w:color w:val="000000"/>
                <w:kern w:val="0"/>
                <w:sz w:val="24"/>
                <w:szCs w:val="24"/>
              </w:rPr>
              <w:t>42.27</w:t>
            </w:r>
          </w:p>
        </w:tc>
        <w:tc>
          <w:tcPr>
            <w:tcW w:w="992"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预期性</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7</w:t>
            </w:r>
            <w:r>
              <w:rPr>
                <w:rFonts w:ascii="Times New Roman" w:hAnsi="Times New Roman" w:eastAsia="仿宋_GB2312" w:cs="Times New Roman"/>
                <w:color w:val="000000"/>
                <w:kern w:val="0"/>
                <w:sz w:val="24"/>
                <w:szCs w:val="24"/>
              </w:rPr>
              <w:t>6.90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vAlign w:val="center"/>
          </w:tcPr>
          <w:p>
            <w:pPr>
              <w:widowControl/>
              <w:jc w:val="left"/>
              <w:rPr>
                <w:rFonts w:ascii="Times New Roman" w:hAnsi="Times New Roman" w:eastAsia="仿宋_GB2312" w:cs="Times New Roman"/>
                <w:color w:val="000000"/>
                <w:kern w:val="0"/>
                <w:sz w:val="24"/>
                <w:szCs w:val="24"/>
              </w:rPr>
            </w:pPr>
          </w:p>
        </w:tc>
        <w:tc>
          <w:tcPr>
            <w:tcW w:w="770" w:type="dxa"/>
            <w:vMerge w:val="restart"/>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主要矿种开采总量</w:t>
            </w:r>
          </w:p>
        </w:tc>
        <w:tc>
          <w:tcPr>
            <w:tcW w:w="126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建筑石料用灰岩</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矿石万吨</w:t>
            </w:r>
          </w:p>
        </w:tc>
        <w:tc>
          <w:tcPr>
            <w:tcW w:w="1048" w:type="dxa"/>
            <w:shd w:val="clear" w:color="000000" w:fill="CCFFFF"/>
            <w:vAlign w:val="center"/>
          </w:tcPr>
          <w:p>
            <w:pPr>
              <w:jc w:val="center"/>
              <w:rPr>
                <w:rFonts w:ascii="Times New Roman" w:hAnsi="Times New Roman" w:eastAsia="仿宋" w:cs="Times New Roman"/>
                <w:szCs w:val="21"/>
              </w:rPr>
            </w:pPr>
            <w:r>
              <w:rPr>
                <w:rFonts w:ascii="Times New Roman" w:hAnsi="Times New Roman" w:eastAsia="仿宋" w:cs="Times New Roman"/>
                <w:szCs w:val="21"/>
              </w:rPr>
              <w:t>30</w:t>
            </w:r>
          </w:p>
        </w:tc>
        <w:tc>
          <w:tcPr>
            <w:tcW w:w="946" w:type="dxa"/>
            <w:shd w:val="clear" w:color="000000" w:fill="CCFFFF"/>
            <w:vAlign w:val="center"/>
          </w:tcPr>
          <w:p>
            <w:pPr>
              <w:jc w:val="center"/>
              <w:rPr>
                <w:rFonts w:ascii="Times New Roman" w:hAnsi="Times New Roman" w:eastAsia="仿宋" w:cs="Times New Roman"/>
                <w:szCs w:val="21"/>
              </w:rPr>
            </w:pPr>
            <w:r>
              <w:rPr>
                <w:rFonts w:ascii="Times New Roman" w:hAnsi="Times New Roman" w:eastAsia="仿宋" w:cs="Times New Roman"/>
                <w:szCs w:val="21"/>
              </w:rPr>
              <w:t>97.4</w:t>
            </w:r>
          </w:p>
        </w:tc>
        <w:tc>
          <w:tcPr>
            <w:tcW w:w="992" w:type="dxa"/>
            <w:vMerge w:val="restart"/>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预期性</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3</w:t>
            </w:r>
            <w:r>
              <w:rPr>
                <w:rFonts w:ascii="Times New Roman" w:hAnsi="Times New Roman" w:eastAsia="仿宋_GB2312" w:cs="Times New Roman"/>
                <w:color w:val="000000"/>
                <w:kern w:val="0"/>
                <w:sz w:val="24"/>
                <w:szCs w:val="24"/>
              </w:rPr>
              <w:t>24.67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vAlign w:val="center"/>
          </w:tcPr>
          <w:p>
            <w:pPr>
              <w:widowControl/>
              <w:jc w:val="left"/>
              <w:rPr>
                <w:rFonts w:ascii="Times New Roman" w:hAnsi="Times New Roman" w:eastAsia="仿宋_GB2312" w:cs="Times New Roman"/>
                <w:color w:val="000000"/>
                <w:kern w:val="0"/>
                <w:sz w:val="24"/>
                <w:szCs w:val="24"/>
              </w:rPr>
            </w:pPr>
          </w:p>
        </w:tc>
        <w:tc>
          <w:tcPr>
            <w:tcW w:w="770" w:type="dxa"/>
            <w:vMerge w:val="continue"/>
            <w:vAlign w:val="center"/>
          </w:tcPr>
          <w:p>
            <w:pPr>
              <w:widowControl/>
              <w:jc w:val="left"/>
              <w:rPr>
                <w:rFonts w:ascii="Times New Roman" w:hAnsi="Times New Roman" w:eastAsia="仿宋_GB2312" w:cs="Times New Roman"/>
                <w:color w:val="000000"/>
                <w:kern w:val="0"/>
                <w:sz w:val="24"/>
                <w:szCs w:val="24"/>
              </w:rPr>
            </w:pPr>
          </w:p>
        </w:tc>
        <w:tc>
          <w:tcPr>
            <w:tcW w:w="126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砖瓦用粘土/页岩</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矿石万吨</w:t>
            </w:r>
          </w:p>
        </w:tc>
        <w:tc>
          <w:tcPr>
            <w:tcW w:w="1048" w:type="dxa"/>
            <w:shd w:val="clear" w:color="000000" w:fill="CCFFFF"/>
            <w:vAlign w:val="center"/>
          </w:tcPr>
          <w:p>
            <w:pPr>
              <w:jc w:val="center"/>
              <w:rPr>
                <w:rFonts w:ascii="Times New Roman" w:hAnsi="Times New Roman" w:eastAsia="仿宋" w:cs="Times New Roman"/>
                <w:szCs w:val="21"/>
              </w:rPr>
            </w:pPr>
            <w:r>
              <w:rPr>
                <w:rFonts w:ascii="Times New Roman" w:hAnsi="Times New Roman" w:eastAsia="仿宋" w:cs="Times New Roman"/>
                <w:szCs w:val="21"/>
              </w:rPr>
              <w:t>150</w:t>
            </w:r>
          </w:p>
        </w:tc>
        <w:tc>
          <w:tcPr>
            <w:tcW w:w="946" w:type="dxa"/>
            <w:shd w:val="clear" w:color="000000" w:fill="CCFFFF"/>
            <w:vAlign w:val="center"/>
          </w:tcPr>
          <w:p>
            <w:pPr>
              <w:jc w:val="center"/>
              <w:rPr>
                <w:rFonts w:ascii="Times New Roman" w:hAnsi="Times New Roman" w:eastAsia="仿宋" w:cs="Times New Roman"/>
                <w:szCs w:val="21"/>
              </w:rPr>
            </w:pPr>
            <w:r>
              <w:rPr>
                <w:rFonts w:ascii="Times New Roman" w:hAnsi="Times New Roman" w:eastAsia="仿宋" w:cs="Times New Roman"/>
                <w:szCs w:val="21"/>
              </w:rPr>
              <w:t>44.87</w:t>
            </w:r>
          </w:p>
        </w:tc>
        <w:tc>
          <w:tcPr>
            <w:tcW w:w="992" w:type="dxa"/>
            <w:vMerge w:val="continue"/>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2</w:t>
            </w:r>
            <w:r>
              <w:rPr>
                <w:rFonts w:ascii="Times New Roman" w:hAnsi="Times New Roman" w:eastAsia="仿宋_GB2312" w:cs="Times New Roman"/>
                <w:color w:val="000000"/>
                <w:kern w:val="0"/>
                <w:sz w:val="24"/>
                <w:szCs w:val="24"/>
              </w:rPr>
              <w:t>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vAlign w:val="center"/>
          </w:tcPr>
          <w:p>
            <w:pPr>
              <w:widowControl/>
              <w:jc w:val="left"/>
              <w:rPr>
                <w:rFonts w:ascii="Times New Roman" w:hAnsi="Times New Roman" w:eastAsia="仿宋_GB2312" w:cs="Times New Roman"/>
                <w:color w:val="000000"/>
                <w:kern w:val="0"/>
                <w:sz w:val="24"/>
                <w:szCs w:val="24"/>
              </w:rPr>
            </w:pPr>
          </w:p>
        </w:tc>
        <w:tc>
          <w:tcPr>
            <w:tcW w:w="770" w:type="dxa"/>
            <w:vMerge w:val="continue"/>
            <w:vAlign w:val="center"/>
          </w:tcPr>
          <w:p>
            <w:pPr>
              <w:widowControl/>
              <w:jc w:val="left"/>
              <w:rPr>
                <w:rFonts w:ascii="Times New Roman" w:hAnsi="Times New Roman" w:eastAsia="仿宋_GB2312" w:cs="Times New Roman"/>
                <w:color w:val="000000"/>
                <w:kern w:val="0"/>
                <w:sz w:val="24"/>
                <w:szCs w:val="24"/>
              </w:rPr>
            </w:pPr>
          </w:p>
        </w:tc>
        <w:tc>
          <w:tcPr>
            <w:tcW w:w="126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陶瓷土</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矿石万吨</w:t>
            </w:r>
          </w:p>
        </w:tc>
        <w:tc>
          <w:tcPr>
            <w:tcW w:w="1048" w:type="dxa"/>
            <w:shd w:val="clear" w:color="000000" w:fill="CCFFFF"/>
            <w:vAlign w:val="center"/>
          </w:tcPr>
          <w:p>
            <w:pPr>
              <w:jc w:val="center"/>
              <w:rPr>
                <w:rFonts w:ascii="Times New Roman" w:hAnsi="Times New Roman" w:eastAsia="仿宋" w:cs="Times New Roman"/>
                <w:szCs w:val="21"/>
              </w:rPr>
            </w:pPr>
            <w:r>
              <w:rPr>
                <w:rFonts w:ascii="Times New Roman" w:hAnsi="Times New Roman" w:eastAsia="仿宋" w:cs="Times New Roman"/>
                <w:szCs w:val="21"/>
              </w:rPr>
              <w:t>5</w:t>
            </w:r>
          </w:p>
        </w:tc>
        <w:tc>
          <w:tcPr>
            <w:tcW w:w="946" w:type="dxa"/>
            <w:shd w:val="clear" w:color="000000" w:fill="CCFFFF"/>
            <w:vAlign w:val="center"/>
          </w:tcPr>
          <w:p>
            <w:pPr>
              <w:jc w:val="center"/>
              <w:rPr>
                <w:rFonts w:ascii="Times New Roman" w:hAnsi="Times New Roman" w:eastAsia="仿宋" w:cs="Times New Roman"/>
                <w:szCs w:val="21"/>
              </w:rPr>
            </w:pPr>
            <w:r>
              <w:rPr>
                <w:rFonts w:ascii="Times New Roman" w:hAnsi="Times New Roman" w:eastAsia="仿宋" w:cs="Times New Roman"/>
                <w:szCs w:val="21"/>
              </w:rPr>
              <w:t>0</w:t>
            </w:r>
          </w:p>
        </w:tc>
        <w:tc>
          <w:tcPr>
            <w:tcW w:w="992" w:type="dxa"/>
            <w:vMerge w:val="continue"/>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vAlign w:val="center"/>
          </w:tcPr>
          <w:p>
            <w:pPr>
              <w:widowControl/>
              <w:jc w:val="left"/>
              <w:rPr>
                <w:rFonts w:ascii="Times New Roman" w:hAnsi="Times New Roman" w:eastAsia="仿宋_GB2312" w:cs="Times New Roman"/>
                <w:color w:val="000000"/>
                <w:kern w:val="0"/>
                <w:sz w:val="24"/>
                <w:szCs w:val="24"/>
              </w:rPr>
            </w:pPr>
          </w:p>
        </w:tc>
        <w:tc>
          <w:tcPr>
            <w:tcW w:w="770" w:type="dxa"/>
            <w:vMerge w:val="continue"/>
            <w:vAlign w:val="center"/>
          </w:tcPr>
          <w:p>
            <w:pPr>
              <w:widowControl/>
              <w:jc w:val="left"/>
              <w:rPr>
                <w:rFonts w:ascii="Times New Roman" w:hAnsi="Times New Roman" w:eastAsia="仿宋_GB2312" w:cs="Times New Roman"/>
                <w:color w:val="000000"/>
                <w:kern w:val="0"/>
                <w:sz w:val="24"/>
                <w:szCs w:val="24"/>
              </w:rPr>
            </w:pPr>
          </w:p>
        </w:tc>
        <w:tc>
          <w:tcPr>
            <w:tcW w:w="126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地热水</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流量万吨</w:t>
            </w:r>
          </w:p>
        </w:tc>
        <w:tc>
          <w:tcPr>
            <w:tcW w:w="1048" w:type="dxa"/>
            <w:shd w:val="clear" w:color="000000" w:fill="CCFFFF"/>
            <w:vAlign w:val="center"/>
          </w:tcPr>
          <w:p>
            <w:pPr>
              <w:jc w:val="center"/>
              <w:rPr>
                <w:rFonts w:ascii="Times New Roman" w:hAnsi="Times New Roman" w:eastAsia="仿宋" w:cs="Times New Roman"/>
                <w:szCs w:val="21"/>
              </w:rPr>
            </w:pPr>
            <w:r>
              <w:rPr>
                <w:rFonts w:ascii="Times New Roman" w:hAnsi="Times New Roman" w:eastAsia="仿宋" w:cs="Times New Roman"/>
                <w:szCs w:val="21"/>
              </w:rPr>
              <w:t>110</w:t>
            </w:r>
          </w:p>
        </w:tc>
        <w:tc>
          <w:tcPr>
            <w:tcW w:w="946" w:type="dxa"/>
            <w:shd w:val="clear" w:color="000000" w:fill="CCFFFF"/>
            <w:vAlign w:val="center"/>
          </w:tcPr>
          <w:p>
            <w:pPr>
              <w:jc w:val="center"/>
              <w:rPr>
                <w:rFonts w:ascii="Times New Roman" w:hAnsi="Times New Roman" w:eastAsia="仿宋" w:cs="Times New Roman"/>
                <w:szCs w:val="21"/>
              </w:rPr>
            </w:pPr>
            <w:r>
              <w:rPr>
                <w:rFonts w:ascii="Times New Roman" w:hAnsi="Times New Roman" w:eastAsia="仿宋" w:cs="Times New Roman"/>
                <w:szCs w:val="21"/>
              </w:rPr>
              <w:t>0</w:t>
            </w:r>
          </w:p>
        </w:tc>
        <w:tc>
          <w:tcPr>
            <w:tcW w:w="992" w:type="dxa"/>
            <w:vMerge w:val="continue"/>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vAlign w:val="center"/>
          </w:tcPr>
          <w:p>
            <w:pPr>
              <w:widowControl/>
              <w:jc w:val="left"/>
              <w:rPr>
                <w:rFonts w:ascii="Times New Roman" w:hAnsi="Times New Roman" w:eastAsia="仿宋_GB2312" w:cs="Times New Roman"/>
                <w:color w:val="000000"/>
                <w:kern w:val="0"/>
                <w:sz w:val="24"/>
                <w:szCs w:val="24"/>
              </w:rPr>
            </w:pPr>
          </w:p>
        </w:tc>
        <w:tc>
          <w:tcPr>
            <w:tcW w:w="770" w:type="dxa"/>
            <w:vMerge w:val="continue"/>
            <w:vAlign w:val="center"/>
          </w:tcPr>
          <w:p>
            <w:pPr>
              <w:widowControl/>
              <w:jc w:val="left"/>
              <w:rPr>
                <w:rFonts w:ascii="Times New Roman" w:hAnsi="Times New Roman" w:eastAsia="仿宋_GB2312" w:cs="Times New Roman"/>
                <w:color w:val="000000"/>
                <w:kern w:val="0"/>
                <w:sz w:val="24"/>
                <w:szCs w:val="24"/>
              </w:rPr>
            </w:pPr>
          </w:p>
        </w:tc>
        <w:tc>
          <w:tcPr>
            <w:tcW w:w="126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矿泉水</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流量万吨</w:t>
            </w:r>
          </w:p>
        </w:tc>
        <w:tc>
          <w:tcPr>
            <w:tcW w:w="1048" w:type="dxa"/>
            <w:shd w:val="clear" w:color="000000" w:fill="CCFFFF"/>
            <w:vAlign w:val="center"/>
          </w:tcPr>
          <w:p>
            <w:pPr>
              <w:jc w:val="center"/>
              <w:rPr>
                <w:rFonts w:ascii="Times New Roman" w:hAnsi="Times New Roman" w:eastAsia="仿宋" w:cs="Times New Roman"/>
                <w:szCs w:val="21"/>
              </w:rPr>
            </w:pPr>
            <w:r>
              <w:rPr>
                <w:rFonts w:ascii="Times New Roman" w:hAnsi="Times New Roman" w:eastAsia="仿宋" w:cs="Times New Roman"/>
                <w:szCs w:val="21"/>
              </w:rPr>
              <w:t>35</w:t>
            </w:r>
          </w:p>
        </w:tc>
        <w:tc>
          <w:tcPr>
            <w:tcW w:w="946" w:type="dxa"/>
            <w:shd w:val="clear" w:color="000000" w:fill="CCFFFF"/>
            <w:vAlign w:val="center"/>
          </w:tcPr>
          <w:p>
            <w:pPr>
              <w:jc w:val="center"/>
              <w:rPr>
                <w:rFonts w:ascii="Times New Roman" w:hAnsi="Times New Roman" w:eastAsia="仿宋" w:cs="Times New Roman"/>
                <w:szCs w:val="21"/>
              </w:rPr>
            </w:pPr>
            <w:r>
              <w:rPr>
                <w:rFonts w:ascii="Times New Roman" w:hAnsi="Times New Roman" w:eastAsia="仿宋" w:cs="Times New Roman"/>
                <w:szCs w:val="21"/>
              </w:rPr>
              <w:t>0</w:t>
            </w:r>
          </w:p>
        </w:tc>
        <w:tc>
          <w:tcPr>
            <w:tcW w:w="992" w:type="dxa"/>
            <w:vMerge w:val="continue"/>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vAlign w:val="center"/>
          </w:tcPr>
          <w:p>
            <w:pPr>
              <w:widowControl/>
              <w:jc w:val="left"/>
              <w:rPr>
                <w:rFonts w:ascii="Times New Roman" w:hAnsi="Times New Roman" w:eastAsia="仿宋_GB2312" w:cs="Times New Roman"/>
                <w:color w:val="000000"/>
                <w:kern w:val="0"/>
                <w:sz w:val="24"/>
                <w:szCs w:val="24"/>
              </w:rPr>
            </w:pPr>
          </w:p>
        </w:tc>
        <w:tc>
          <w:tcPr>
            <w:tcW w:w="2036" w:type="dxa"/>
            <w:gridSpan w:val="2"/>
            <w:shd w:val="clear" w:color="auto"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矿产地储备数量</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处</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 w:cs="Times New Roman"/>
                <w:szCs w:val="21"/>
              </w:rPr>
              <w:t>—</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 w:cs="Times New Roman"/>
                <w:szCs w:val="21"/>
              </w:rPr>
              <w:t>—</w:t>
            </w:r>
          </w:p>
        </w:tc>
        <w:tc>
          <w:tcPr>
            <w:tcW w:w="992"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预期性</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794" w:type="dxa"/>
            <w:vMerge w:val="restart"/>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矿业</w:t>
            </w:r>
            <w:r>
              <w:rPr>
                <w:rFonts w:ascii="Times New Roman" w:hAnsi="Times New Roman" w:eastAsia="仿宋_GB2312" w:cs="Times New Roman"/>
                <w:color w:val="000000"/>
                <w:kern w:val="0"/>
                <w:sz w:val="24"/>
                <w:szCs w:val="24"/>
              </w:rPr>
              <w:t>转型升级</w:t>
            </w:r>
          </w:p>
        </w:tc>
        <w:tc>
          <w:tcPr>
            <w:tcW w:w="2036" w:type="dxa"/>
            <w:gridSpan w:val="2"/>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矿山数量</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个</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1</w:t>
            </w:r>
            <w:r>
              <w:rPr>
                <w:rFonts w:ascii="Times New Roman" w:hAnsi="Times New Roman" w:eastAsia="仿宋_GB2312" w:cs="Times New Roman"/>
                <w:color w:val="000000"/>
                <w:kern w:val="0"/>
                <w:sz w:val="24"/>
                <w:szCs w:val="24"/>
              </w:rPr>
              <w:t>45</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1</w:t>
            </w:r>
            <w:r>
              <w:rPr>
                <w:rFonts w:ascii="Times New Roman" w:hAnsi="Times New Roman" w:eastAsia="仿宋_GB2312" w:cs="Times New Roman"/>
                <w:color w:val="000000"/>
                <w:kern w:val="0"/>
                <w:sz w:val="24"/>
                <w:szCs w:val="24"/>
              </w:rPr>
              <w:t>5</w:t>
            </w:r>
          </w:p>
        </w:tc>
        <w:tc>
          <w:tcPr>
            <w:tcW w:w="992"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预期性</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966.67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vAlign w:val="center"/>
          </w:tcPr>
          <w:p>
            <w:pPr>
              <w:widowControl/>
              <w:jc w:val="center"/>
              <w:rPr>
                <w:rFonts w:ascii="Times New Roman" w:hAnsi="Times New Roman" w:eastAsia="仿宋_GB2312" w:cs="Times New Roman"/>
                <w:color w:val="000000"/>
                <w:kern w:val="0"/>
                <w:sz w:val="24"/>
                <w:szCs w:val="24"/>
              </w:rPr>
            </w:pPr>
          </w:p>
        </w:tc>
        <w:tc>
          <w:tcPr>
            <w:tcW w:w="2036" w:type="dxa"/>
            <w:gridSpan w:val="2"/>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大中型矿山比例</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5</w:t>
            </w:r>
            <w:r>
              <w:rPr>
                <w:rFonts w:ascii="Times New Roman" w:hAnsi="Times New Roman" w:eastAsia="仿宋_GB2312" w:cs="Times New Roman"/>
                <w:color w:val="000000"/>
                <w:kern w:val="0"/>
                <w:sz w:val="24"/>
                <w:szCs w:val="24"/>
              </w:rPr>
              <w:t>3</w:t>
            </w:r>
          </w:p>
        </w:tc>
        <w:tc>
          <w:tcPr>
            <w:tcW w:w="992"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预期性</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2</w:t>
            </w:r>
            <w:r>
              <w:rPr>
                <w:rFonts w:ascii="Times New Roman" w:hAnsi="Times New Roman" w:eastAsia="仿宋_GB2312" w:cs="Times New Roman"/>
                <w:color w:val="000000"/>
                <w:kern w:val="0"/>
                <w:sz w:val="24"/>
                <w:szCs w:val="24"/>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restart"/>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矿</w:t>
            </w:r>
            <w:r>
              <w:rPr>
                <w:rFonts w:ascii="Times New Roman" w:hAnsi="Times New Roman" w:eastAsia="仿宋_GB2312" w:cs="Times New Roman"/>
                <w:color w:val="000000"/>
                <w:kern w:val="0"/>
                <w:sz w:val="24"/>
                <w:szCs w:val="24"/>
              </w:rPr>
              <w:t>山地质环境保护与</w:t>
            </w:r>
          </w:p>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治理恢复</w:t>
            </w:r>
          </w:p>
        </w:tc>
        <w:tc>
          <w:tcPr>
            <w:tcW w:w="2036" w:type="dxa"/>
            <w:gridSpan w:val="2"/>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矿山地质环境治理恢复面积</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公顷</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[470]</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2</w:t>
            </w:r>
            <w:r>
              <w:rPr>
                <w:rFonts w:ascii="Times New Roman" w:hAnsi="Times New Roman" w:eastAsia="仿宋_GB2312" w:cs="Times New Roman"/>
                <w:color w:val="000000"/>
                <w:kern w:val="0"/>
                <w:sz w:val="24"/>
                <w:szCs w:val="24"/>
              </w:rPr>
              <w:t>44.03</w:t>
            </w:r>
          </w:p>
        </w:tc>
        <w:tc>
          <w:tcPr>
            <w:tcW w:w="992"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预期性</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51.92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770" w:type="dxa"/>
            <w:vMerge w:val="restart"/>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其中</w:t>
            </w:r>
          </w:p>
        </w:tc>
        <w:tc>
          <w:tcPr>
            <w:tcW w:w="126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历史遗留矿山地质环境治理恢复面积</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公顷</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[228]</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1</w:t>
            </w:r>
            <w:r>
              <w:rPr>
                <w:rFonts w:ascii="Times New Roman" w:hAnsi="Times New Roman" w:eastAsia="仿宋_GB2312" w:cs="Times New Roman"/>
                <w:color w:val="000000"/>
                <w:kern w:val="0"/>
                <w:sz w:val="24"/>
                <w:szCs w:val="24"/>
              </w:rPr>
              <w:t>83.47</w:t>
            </w:r>
          </w:p>
        </w:tc>
        <w:tc>
          <w:tcPr>
            <w:tcW w:w="992"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约束性</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80.47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4" w:type="dxa"/>
            <w:vMerge w:val="continue"/>
            <w:vAlign w:val="center"/>
          </w:tcPr>
          <w:p>
            <w:pPr>
              <w:widowControl/>
              <w:jc w:val="center"/>
              <w:rPr>
                <w:rFonts w:ascii="Times New Roman" w:hAnsi="Times New Roman" w:eastAsia="仿宋_GB2312" w:cs="Times New Roman"/>
                <w:color w:val="000000"/>
                <w:kern w:val="0"/>
                <w:sz w:val="24"/>
                <w:szCs w:val="24"/>
              </w:rPr>
            </w:pPr>
          </w:p>
        </w:tc>
        <w:tc>
          <w:tcPr>
            <w:tcW w:w="770" w:type="dxa"/>
            <w:vMerge w:val="continue"/>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126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矿区</w:t>
            </w:r>
            <w:r>
              <w:rPr>
                <w:rFonts w:ascii="Times New Roman" w:hAnsi="Times New Roman" w:eastAsia="仿宋_GB2312" w:cs="Times New Roman"/>
                <w:color w:val="000000"/>
                <w:kern w:val="0"/>
                <w:sz w:val="24"/>
                <w:szCs w:val="24"/>
              </w:rPr>
              <w:t>土地复垦面积</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公顷</w:t>
            </w:r>
          </w:p>
        </w:tc>
        <w:tc>
          <w:tcPr>
            <w:tcW w:w="1048"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[69]</w:t>
            </w:r>
          </w:p>
        </w:tc>
        <w:tc>
          <w:tcPr>
            <w:tcW w:w="946" w:type="dxa"/>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992" w:type="dxa"/>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约束</w:t>
            </w:r>
            <w:r>
              <w:rPr>
                <w:rFonts w:ascii="Times New Roman" w:hAnsi="Times New Roman" w:eastAsia="仿宋_GB2312" w:cs="Times New Roman"/>
                <w:color w:val="000000"/>
                <w:kern w:val="0"/>
                <w:sz w:val="24"/>
                <w:szCs w:val="24"/>
              </w:rPr>
              <w:t>性</w:t>
            </w:r>
          </w:p>
        </w:tc>
        <w:tc>
          <w:tcPr>
            <w:tcW w:w="1276" w:type="dxa"/>
            <w:shd w:val="clear" w:color="000000" w:fill="CCFFFF"/>
            <w:vAlign w:val="center"/>
          </w:tcPr>
          <w:p>
            <w:pPr>
              <w:widowControl/>
              <w:jc w:val="center"/>
              <w:rPr>
                <w:rFonts w:ascii="Times New Roman" w:hAnsi="Times New Roman" w:eastAsia="仿宋_GB2312" w:cs="Times New Roman"/>
                <w:color w:val="000000"/>
                <w:kern w:val="0"/>
                <w:sz w:val="24"/>
                <w:szCs w:val="24"/>
              </w:rPr>
            </w:pPr>
          </w:p>
        </w:tc>
      </w:tr>
    </w:tbl>
    <w:p>
      <w:pPr>
        <w:spacing w:line="360" w:lineRule="auto"/>
        <w:rPr>
          <w:rFonts w:ascii="仿宋" w:hAnsi="仿宋" w:eastAsia="仿宋" w:cs="Times New Roman"/>
          <w:spacing w:val="-4"/>
          <w:kern w:val="0"/>
          <w:sz w:val="28"/>
          <w:szCs w:val="28"/>
        </w:rPr>
      </w:pPr>
      <w:r>
        <w:rPr>
          <w:rFonts w:ascii="Times New Roman" w:hAnsi="Times New Roman" w:eastAsia="仿宋_GB2312" w:cs="Times New Roman"/>
          <w:sz w:val="24"/>
          <w:szCs w:val="28"/>
        </w:rPr>
        <w:t>注：[ ]表示2016-2020年累计值</w:t>
      </w:r>
    </w:p>
    <w:p>
      <w:pPr>
        <w:snapToGrid w:val="0"/>
        <w:spacing w:line="600" w:lineRule="exact"/>
        <w:ind w:firstLine="562" w:firstLineChars="200"/>
        <w:outlineLvl w:val="3"/>
        <w:rPr>
          <w:rFonts w:ascii="仿宋_GB2312" w:hAnsi="仿宋" w:eastAsia="仿宋_GB2312" w:cs="Times New Roman"/>
          <w:b/>
          <w:kern w:val="0"/>
          <w:sz w:val="30"/>
          <w:szCs w:val="30"/>
        </w:rPr>
      </w:pPr>
      <w:r>
        <w:rPr>
          <w:rFonts w:hint="eastAsia" w:ascii="Times New Roman" w:hAnsi="Times New Roman" w:eastAsia="仿宋_GB2312" w:cs="Times New Roman"/>
          <w:b/>
          <w:bCs/>
          <w:sz w:val="28"/>
          <w:szCs w:val="32"/>
        </w:rPr>
        <w:t>（二）存在问题</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上轮规划实施取得了一定的成绩，但因矿产资源行业大背景客观形势影响，规划指标大部分未完成。主要问题及原因如下：</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一是地热水矿产资源受勘查开采风险较高、开发利用回收成本周期较长等因素影响，地热水矿产无新勘查进展。</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二是矿泉水受市场需求量影响，矿产资源开发利用程度不高。</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三是</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砂石土</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矿市场需求与供给矛盾突出。</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四是绿色矿山建设推进难度大，需进一步完善激励措施。</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五是历史遗留矿山地质环境治理欠账较多，需加大矿山地质环境治理恢复力度。</w:t>
      </w:r>
    </w:p>
    <w:p>
      <w:pPr>
        <w:spacing w:before="156" w:beforeLines="50" w:after="156" w:afterLines="50" w:line="360" w:lineRule="auto"/>
        <w:jc w:val="center"/>
        <w:outlineLvl w:val="1"/>
        <w:rPr>
          <w:rFonts w:ascii="仿宋_GB2312" w:hAnsi="Calibri" w:eastAsia="仿宋_GB2312" w:cs="Times New Roman"/>
          <w:b/>
          <w:kern w:val="0"/>
          <w:sz w:val="32"/>
        </w:rPr>
      </w:pPr>
      <w:bookmarkStart w:id="15" w:name="_Toc104389929"/>
      <w:r>
        <w:rPr>
          <w:rFonts w:ascii="仿宋_GB2312" w:hAnsi="Calibri" w:eastAsia="仿宋_GB2312" w:cs="Times New Roman"/>
          <w:b/>
          <w:kern w:val="0"/>
          <w:sz w:val="32"/>
        </w:rPr>
        <w:t>第</w:t>
      </w:r>
      <w:r>
        <w:rPr>
          <w:rFonts w:hint="eastAsia" w:ascii="仿宋_GB2312" w:hAnsi="Calibri" w:eastAsia="仿宋_GB2312" w:cs="Times New Roman"/>
          <w:b/>
          <w:kern w:val="0"/>
          <w:sz w:val="32"/>
        </w:rPr>
        <w:t>二</w:t>
      </w:r>
      <w:r>
        <w:rPr>
          <w:rFonts w:ascii="仿宋_GB2312" w:hAnsi="Calibri" w:eastAsia="仿宋_GB2312" w:cs="Times New Roman"/>
          <w:b/>
          <w:kern w:val="0"/>
          <w:sz w:val="32"/>
        </w:rPr>
        <w:t>节</w:t>
      </w:r>
      <w:r>
        <w:rPr>
          <w:rFonts w:hint="eastAsia" w:ascii="仿宋_GB2312" w:hAnsi="Calibri" w:eastAsia="仿宋_GB2312" w:cs="Times New Roman"/>
          <w:b/>
          <w:kern w:val="0"/>
          <w:sz w:val="32"/>
        </w:rPr>
        <w:t xml:space="preserve"> </w:t>
      </w:r>
      <w:r>
        <w:rPr>
          <w:rFonts w:ascii="仿宋_GB2312" w:hAnsi="Calibri" w:eastAsia="仿宋_GB2312" w:cs="Times New Roman"/>
          <w:b/>
          <w:kern w:val="0"/>
          <w:sz w:val="32"/>
        </w:rPr>
        <w:t xml:space="preserve"> 形势要求</w:t>
      </w:r>
      <w:bookmarkEnd w:id="15"/>
    </w:p>
    <w:p>
      <w:pPr>
        <w:spacing w:line="360" w:lineRule="auto"/>
        <w:ind w:firstLine="602" w:firstLineChars="200"/>
        <w:jc w:val="left"/>
        <w:outlineLvl w:val="2"/>
        <w:rPr>
          <w:rFonts w:ascii="仿宋_GB2312" w:hAnsi="仿宋" w:eastAsia="仿宋_GB2312" w:cs="Times New Roman"/>
          <w:b/>
          <w:kern w:val="0"/>
          <w:sz w:val="30"/>
          <w:szCs w:val="30"/>
        </w:rPr>
      </w:pPr>
      <w:bookmarkStart w:id="16" w:name="_Toc104389930"/>
      <w:r>
        <w:rPr>
          <w:rFonts w:hint="eastAsia" w:ascii="仿宋_GB2312" w:hAnsi="仿宋" w:eastAsia="仿宋_GB2312" w:cs="Times New Roman"/>
          <w:b/>
          <w:kern w:val="0"/>
          <w:sz w:val="30"/>
          <w:szCs w:val="30"/>
        </w:rPr>
        <w:t>一、矿产资源形势</w:t>
      </w:r>
      <w:bookmarkEnd w:id="16"/>
    </w:p>
    <w:p>
      <w:pPr>
        <w:spacing w:line="360" w:lineRule="auto"/>
        <w:ind w:firstLine="544" w:firstLineChars="200"/>
        <w:rPr>
          <w:rFonts w:ascii="仿宋" w:hAnsi="仿宋" w:eastAsia="仿宋" w:cs="Times New Roman"/>
          <w:spacing w:val="-4"/>
          <w:kern w:val="0"/>
          <w:sz w:val="28"/>
          <w:szCs w:val="28"/>
        </w:rPr>
      </w:pPr>
      <w:r>
        <w:rPr>
          <w:rFonts w:ascii="仿宋" w:hAnsi="仿宋" w:eastAsia="仿宋" w:cs="Times New Roman"/>
          <w:spacing w:val="-4"/>
          <w:kern w:val="0"/>
          <w:sz w:val="28"/>
          <w:szCs w:val="28"/>
        </w:rPr>
        <w:t>当今世界面临百年未有之大变局，受全球贸易紧张局势、新冠疫情及地缘政治等不确定因素影响，全球战略性矿产资源博弈加剧，矿业发展的不确定性增加。但从长期来看，我国矿产资源需求仍将处于较高水平，矿产资源的基本国情及其在经济社会发展大局中的地位作用没有改变。“十四五”时期，是我省深入</w:t>
      </w:r>
      <w:r>
        <w:rPr>
          <w:rFonts w:hint="eastAsia" w:ascii="仿宋" w:hAnsi="仿宋" w:eastAsia="仿宋" w:cs="Times New Roman"/>
          <w:spacing w:val="-4"/>
          <w:kern w:val="0"/>
          <w:sz w:val="28"/>
          <w:szCs w:val="28"/>
        </w:rPr>
        <w:t>推进</w:t>
      </w:r>
      <w:r>
        <w:rPr>
          <w:rFonts w:ascii="仿宋" w:hAnsi="仿宋" w:eastAsia="仿宋" w:cs="Times New Roman"/>
          <w:spacing w:val="-4"/>
          <w:kern w:val="0"/>
          <w:sz w:val="28"/>
          <w:szCs w:val="28"/>
        </w:rPr>
        <w:t>工业强省战略，</w:t>
      </w:r>
      <w:r>
        <w:rPr>
          <w:rFonts w:hint="eastAsia" w:ascii="仿宋" w:hAnsi="仿宋" w:eastAsia="仿宋" w:cs="Times New Roman"/>
          <w:spacing w:val="-4"/>
          <w:kern w:val="0"/>
          <w:sz w:val="28"/>
          <w:szCs w:val="28"/>
        </w:rPr>
        <w:t>大力实施</w:t>
      </w:r>
      <w:r>
        <w:rPr>
          <w:rFonts w:ascii="仿宋" w:hAnsi="仿宋" w:eastAsia="仿宋" w:cs="Times New Roman"/>
          <w:spacing w:val="-4"/>
          <w:kern w:val="0"/>
          <w:sz w:val="28"/>
          <w:szCs w:val="28"/>
        </w:rPr>
        <w:t>“2+6+N”</w:t>
      </w:r>
      <w:r>
        <w:rPr>
          <w:rFonts w:hint="eastAsia" w:ascii="仿宋" w:hAnsi="仿宋" w:eastAsia="仿宋" w:cs="Times New Roman"/>
          <w:spacing w:val="-4"/>
          <w:kern w:val="0"/>
          <w:sz w:val="28"/>
          <w:szCs w:val="28"/>
        </w:rPr>
        <w:t>产业高质量跨越式发展行动的重要时期，也是我省国家生态文明试验区建设的关键时期，对矿产资源安全保</w:t>
      </w:r>
      <w:r>
        <w:rPr>
          <w:rFonts w:ascii="仿宋" w:hAnsi="仿宋" w:eastAsia="仿宋" w:cs="Times New Roman"/>
          <w:spacing w:val="-4"/>
          <w:kern w:val="0"/>
          <w:sz w:val="28"/>
          <w:szCs w:val="28"/>
        </w:rPr>
        <w:t>障、矿山结构优化升级、矿业产业绿色发展、矿产资源管理改革等方面提出了更高的要求。</w:t>
      </w:r>
    </w:p>
    <w:p>
      <w:pPr>
        <w:spacing w:line="360" w:lineRule="auto"/>
        <w:ind w:firstLine="544" w:firstLineChars="200"/>
        <w:rPr>
          <w:rFonts w:ascii="仿宋" w:hAnsi="仿宋" w:eastAsia="仿宋" w:cs="Times New Roman"/>
          <w:spacing w:val="-4"/>
          <w:kern w:val="0"/>
          <w:sz w:val="28"/>
          <w:szCs w:val="28"/>
        </w:rPr>
      </w:pP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十四五</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时期南昌市总体上将处于大有可为但充满挑战的战略机遇期，也到了爬坡过坎、转型升级的关键阶段，尤其面临</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五期叠加</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，即外部环境深度调整的变革期，面临全球化</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逆风</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与世界经济体系重构的双重变局；发展转型升级的迭代期，承受着摆脱传统路径依赖与抢抓未来发展机遇的双重压力；城市能级上升的突破期，肩负着规模总量扩张与内在品质蝶变的双重任务；全面融入区域发展大局的考验期，扮演着江西高质量跨越式发展核心龙头与国家战略重要参与者的双重角色；改革开放走深走实的攻坚期，面临着破除制约高质量发展高品质生活体制机制障碍与统筹国际国内两个市场两种资源的双重要求。</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南昌市是我省工业最发达，城市化程度最高的地区，是矿产品精深加工及其延伸产业发展的重要基地。一是南昌市对地热和优质矿泉水等绿色矿产资源的需求如能得到保障，可促进本地区生态资源产业发展；二是城市化的快速发展对建筑用材料资源仍有较大需求，按2</w:t>
      </w:r>
      <w:r>
        <w:rPr>
          <w:rFonts w:ascii="仿宋" w:hAnsi="仿宋" w:eastAsia="仿宋" w:cs="Times New Roman"/>
          <w:spacing w:val="-4"/>
          <w:kern w:val="0"/>
          <w:sz w:val="28"/>
          <w:szCs w:val="28"/>
        </w:rPr>
        <w:t>020</w:t>
      </w:r>
      <w:r>
        <w:rPr>
          <w:rFonts w:hint="eastAsia" w:ascii="仿宋" w:hAnsi="仿宋" w:eastAsia="仿宋" w:cs="Times New Roman"/>
          <w:spacing w:val="-4"/>
          <w:kern w:val="0"/>
          <w:sz w:val="28"/>
          <w:szCs w:val="28"/>
        </w:rPr>
        <w:t>年全市建筑施工面积约1</w:t>
      </w:r>
      <w:r>
        <w:rPr>
          <w:rFonts w:ascii="仿宋" w:hAnsi="仿宋" w:eastAsia="仿宋" w:cs="Times New Roman"/>
          <w:spacing w:val="-4"/>
          <w:kern w:val="0"/>
          <w:sz w:val="28"/>
          <w:szCs w:val="28"/>
        </w:rPr>
        <w:t>088</w:t>
      </w:r>
      <w:r>
        <w:rPr>
          <w:rFonts w:hint="eastAsia" w:ascii="仿宋" w:hAnsi="仿宋" w:eastAsia="仿宋" w:cs="Times New Roman"/>
          <w:spacing w:val="-4"/>
          <w:kern w:val="0"/>
          <w:sz w:val="28"/>
          <w:szCs w:val="28"/>
        </w:rPr>
        <w:t>万平方米核算用砖量约需2</w:t>
      </w:r>
      <w:r>
        <w:rPr>
          <w:rFonts w:ascii="仿宋" w:hAnsi="仿宋" w:eastAsia="仿宋" w:cs="Times New Roman"/>
          <w:spacing w:val="-4"/>
          <w:kern w:val="0"/>
          <w:sz w:val="28"/>
          <w:szCs w:val="28"/>
        </w:rPr>
        <w:t>5.02</w:t>
      </w:r>
      <w:r>
        <w:rPr>
          <w:rFonts w:hint="eastAsia" w:ascii="仿宋" w:hAnsi="仿宋" w:eastAsia="仿宋" w:cs="Times New Roman"/>
          <w:spacing w:val="-4"/>
          <w:kern w:val="0"/>
          <w:sz w:val="28"/>
          <w:szCs w:val="28"/>
        </w:rPr>
        <w:t>亿块，约需消耗8</w:t>
      </w:r>
      <w:r>
        <w:rPr>
          <w:rFonts w:ascii="仿宋" w:hAnsi="仿宋" w:eastAsia="仿宋" w:cs="Times New Roman"/>
          <w:spacing w:val="-4"/>
          <w:kern w:val="0"/>
          <w:sz w:val="28"/>
          <w:szCs w:val="28"/>
        </w:rPr>
        <w:t>76</w:t>
      </w:r>
      <w:r>
        <w:rPr>
          <w:rFonts w:hint="eastAsia" w:ascii="仿宋" w:hAnsi="仿宋" w:eastAsia="仿宋" w:cs="Times New Roman"/>
          <w:spacing w:val="-4"/>
          <w:kern w:val="0"/>
          <w:sz w:val="28"/>
          <w:szCs w:val="28"/>
        </w:rPr>
        <w:t>万吨页岩或粘土；三是城市规划新区或重大工程区对城市地质调查尤其是地下空间资源综合调查评价需求迫切。四是梅岭地区富有花岗岩地貌景观地质旅游资源，可调研申报地质文化村，增添旅游吸引力，助力乡村振兴；五是进贤地区富硒富锌土地开发利用需进一步开展调查规划，助力乡村振兴。</w:t>
      </w:r>
    </w:p>
    <w:p>
      <w:pPr>
        <w:spacing w:line="360" w:lineRule="auto"/>
        <w:ind w:firstLine="602" w:firstLineChars="200"/>
        <w:jc w:val="left"/>
        <w:outlineLvl w:val="2"/>
        <w:rPr>
          <w:rFonts w:ascii="仿宋_GB2312" w:hAnsi="仿宋" w:eastAsia="仿宋_GB2312" w:cs="Times New Roman"/>
          <w:b/>
          <w:kern w:val="0"/>
          <w:sz w:val="30"/>
          <w:szCs w:val="30"/>
        </w:rPr>
      </w:pPr>
      <w:bookmarkStart w:id="17" w:name="_Toc104389931"/>
      <w:r>
        <w:rPr>
          <w:rFonts w:hint="eastAsia" w:ascii="仿宋_GB2312" w:hAnsi="仿宋" w:eastAsia="仿宋_GB2312" w:cs="Times New Roman"/>
          <w:b/>
          <w:kern w:val="0"/>
          <w:sz w:val="30"/>
          <w:szCs w:val="30"/>
        </w:rPr>
        <w:t>二、要求</w:t>
      </w:r>
      <w:bookmarkEnd w:id="17"/>
    </w:p>
    <w:p>
      <w:pPr>
        <w:spacing w:line="360" w:lineRule="auto"/>
        <w:ind w:firstLine="546" w:firstLineChars="200"/>
        <w:rPr>
          <w:rFonts w:ascii="仿宋" w:hAnsi="仿宋" w:eastAsia="仿宋" w:cs="Times New Roman"/>
          <w:spacing w:val="-4"/>
          <w:kern w:val="0"/>
          <w:sz w:val="28"/>
          <w:szCs w:val="28"/>
        </w:rPr>
      </w:pPr>
      <w:r>
        <w:rPr>
          <w:rFonts w:hint="eastAsia" w:ascii="仿宋" w:hAnsi="仿宋" w:eastAsia="仿宋" w:cs="Times New Roman"/>
          <w:b/>
          <w:spacing w:val="-4"/>
          <w:kern w:val="0"/>
          <w:sz w:val="28"/>
          <w:szCs w:val="28"/>
        </w:rPr>
        <w:t>（一）</w:t>
      </w:r>
      <w:r>
        <w:rPr>
          <w:rFonts w:ascii="仿宋" w:hAnsi="仿宋" w:eastAsia="仿宋" w:cs="Times New Roman"/>
          <w:b/>
          <w:spacing w:val="-4"/>
          <w:kern w:val="0"/>
          <w:sz w:val="28"/>
          <w:szCs w:val="28"/>
        </w:rPr>
        <w:t>进一步发展绿色矿业</w:t>
      </w:r>
      <w:r>
        <w:rPr>
          <w:rFonts w:hint="eastAsia" w:ascii="仿宋" w:hAnsi="仿宋" w:eastAsia="仿宋" w:cs="Times New Roman"/>
          <w:b/>
          <w:spacing w:val="-4"/>
          <w:kern w:val="0"/>
          <w:sz w:val="28"/>
          <w:szCs w:val="28"/>
        </w:rPr>
        <w:t>,实现矿业开发与自然生态和谐共生</w:t>
      </w:r>
      <w:r>
        <w:rPr>
          <w:rFonts w:ascii="仿宋" w:hAnsi="仿宋" w:eastAsia="仿宋" w:cs="Times New Roman"/>
          <w:b/>
          <w:spacing w:val="-4"/>
          <w:kern w:val="0"/>
          <w:sz w:val="28"/>
          <w:szCs w:val="28"/>
        </w:rPr>
        <w:t>。</w:t>
      </w:r>
      <w:r>
        <w:rPr>
          <w:rFonts w:ascii="仿宋" w:hAnsi="仿宋" w:eastAsia="仿宋" w:cs="Times New Roman"/>
          <w:spacing w:val="-4"/>
          <w:kern w:val="0"/>
          <w:sz w:val="28"/>
          <w:szCs w:val="28"/>
        </w:rPr>
        <w:t>“十四五”期间，</w:t>
      </w:r>
      <w:r>
        <w:rPr>
          <w:rFonts w:hint="eastAsia" w:ascii="仿宋" w:hAnsi="仿宋" w:eastAsia="仿宋" w:cs="Times New Roman"/>
          <w:spacing w:val="-4"/>
          <w:kern w:val="0"/>
          <w:sz w:val="28"/>
          <w:szCs w:val="28"/>
        </w:rPr>
        <w:t>南昌</w:t>
      </w:r>
      <w:r>
        <w:rPr>
          <w:rFonts w:ascii="仿宋" w:hAnsi="仿宋" w:eastAsia="仿宋" w:cs="Times New Roman"/>
          <w:spacing w:val="-4"/>
          <w:kern w:val="0"/>
          <w:sz w:val="28"/>
          <w:szCs w:val="28"/>
        </w:rPr>
        <w:t>市坚定不移走生态优先、绿色发展之路，深化生态文明试验区建设，构建文明生态体系，以更高标准</w:t>
      </w:r>
      <w:r>
        <w:rPr>
          <w:rFonts w:hint="eastAsia" w:ascii="仿宋" w:hAnsi="仿宋" w:eastAsia="仿宋" w:cs="Times New Roman"/>
          <w:spacing w:val="-4"/>
          <w:kern w:val="0"/>
          <w:sz w:val="28"/>
          <w:szCs w:val="28"/>
        </w:rPr>
        <w:t>打造</w:t>
      </w:r>
      <w:r>
        <w:rPr>
          <w:rFonts w:ascii="仿宋" w:hAnsi="仿宋" w:eastAsia="仿宋" w:cs="Times New Roman"/>
          <w:spacing w:val="-4"/>
          <w:kern w:val="0"/>
          <w:sz w:val="28"/>
          <w:szCs w:val="28"/>
        </w:rPr>
        <w:t>美丽中国</w:t>
      </w:r>
      <w:r>
        <w:rPr>
          <w:rFonts w:hint="eastAsia" w:ascii="仿宋" w:hAnsi="仿宋" w:eastAsia="仿宋" w:cs="Times New Roman"/>
          <w:spacing w:val="-4"/>
          <w:kern w:val="0"/>
          <w:sz w:val="28"/>
          <w:szCs w:val="28"/>
        </w:rPr>
        <w:t>“江西样板”南昌首位城市</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南昌市坚持生态环境保护优先，以鄱阳湖湖区为“绿心”，加大对生态环境友好型的地热、矿泉水等资源的勘查开发力度，发展生态旅游和矿产品精深加工产业。全面</w:t>
      </w:r>
      <w:r>
        <w:rPr>
          <w:rFonts w:ascii="仿宋" w:hAnsi="仿宋" w:eastAsia="仿宋" w:cs="Times New Roman"/>
          <w:spacing w:val="-4"/>
          <w:kern w:val="0"/>
          <w:sz w:val="28"/>
          <w:szCs w:val="28"/>
        </w:rPr>
        <w:t>推进绿色勘查，</w:t>
      </w:r>
      <w:r>
        <w:rPr>
          <w:rFonts w:hint="eastAsia" w:ascii="仿宋" w:hAnsi="仿宋" w:eastAsia="仿宋" w:cs="Times New Roman"/>
          <w:spacing w:val="-4"/>
          <w:kern w:val="0"/>
          <w:sz w:val="28"/>
          <w:szCs w:val="28"/>
        </w:rPr>
        <w:t>大力</w:t>
      </w:r>
      <w:r>
        <w:rPr>
          <w:rFonts w:ascii="仿宋" w:hAnsi="仿宋" w:eastAsia="仿宋" w:cs="Times New Roman"/>
          <w:spacing w:val="-4"/>
          <w:kern w:val="0"/>
          <w:sz w:val="28"/>
          <w:szCs w:val="28"/>
        </w:rPr>
        <w:t>推进绿色矿山建设，提</w:t>
      </w:r>
      <w:r>
        <w:rPr>
          <w:rFonts w:hint="eastAsia" w:ascii="仿宋" w:hAnsi="仿宋" w:eastAsia="仿宋" w:cs="Times New Roman"/>
          <w:spacing w:val="-4"/>
          <w:kern w:val="0"/>
          <w:sz w:val="28"/>
          <w:szCs w:val="28"/>
        </w:rPr>
        <w:t>升绿色矿业发展水平</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加强矿山生态修复</w:t>
      </w:r>
      <w:r>
        <w:rPr>
          <w:rFonts w:ascii="仿宋" w:hAnsi="仿宋" w:eastAsia="仿宋" w:cs="Times New Roman"/>
          <w:spacing w:val="-4"/>
          <w:kern w:val="0"/>
          <w:sz w:val="28"/>
          <w:szCs w:val="28"/>
        </w:rPr>
        <w:t>，实现矿业开发与生态保护协调发展。</w:t>
      </w:r>
    </w:p>
    <w:p>
      <w:pPr>
        <w:spacing w:line="360" w:lineRule="auto"/>
        <w:ind w:firstLine="546" w:firstLineChars="200"/>
        <w:rPr>
          <w:rFonts w:ascii="仿宋" w:hAnsi="仿宋" w:eastAsia="仿宋" w:cs="Times New Roman"/>
          <w:spacing w:val="-4"/>
          <w:kern w:val="0"/>
          <w:sz w:val="28"/>
          <w:szCs w:val="28"/>
        </w:rPr>
      </w:pPr>
      <w:r>
        <w:rPr>
          <w:rFonts w:hint="eastAsia" w:ascii="仿宋" w:hAnsi="仿宋" w:eastAsia="仿宋" w:cs="Times New Roman"/>
          <w:b/>
          <w:spacing w:val="-4"/>
          <w:kern w:val="0"/>
          <w:sz w:val="28"/>
          <w:szCs w:val="28"/>
        </w:rPr>
        <w:t>（二）</w:t>
      </w:r>
      <w:r>
        <w:rPr>
          <w:rFonts w:ascii="仿宋" w:hAnsi="仿宋" w:eastAsia="仿宋" w:cs="Times New Roman"/>
          <w:b/>
          <w:spacing w:val="-4"/>
          <w:kern w:val="0"/>
          <w:sz w:val="28"/>
          <w:szCs w:val="28"/>
        </w:rPr>
        <w:t>进一步加</w:t>
      </w:r>
      <w:r>
        <w:rPr>
          <w:rFonts w:hint="eastAsia" w:ascii="仿宋" w:hAnsi="仿宋" w:eastAsia="仿宋" w:cs="Times New Roman"/>
          <w:b/>
          <w:spacing w:val="-4"/>
          <w:kern w:val="0"/>
          <w:sz w:val="28"/>
          <w:szCs w:val="28"/>
        </w:rPr>
        <w:t>快</w:t>
      </w:r>
      <w:r>
        <w:rPr>
          <w:rFonts w:ascii="仿宋" w:hAnsi="仿宋" w:eastAsia="仿宋" w:cs="Times New Roman"/>
          <w:b/>
          <w:spacing w:val="-4"/>
          <w:kern w:val="0"/>
          <w:sz w:val="28"/>
          <w:szCs w:val="28"/>
        </w:rPr>
        <w:t>矿业结构</w:t>
      </w:r>
      <w:r>
        <w:rPr>
          <w:rFonts w:hint="eastAsia" w:ascii="仿宋" w:hAnsi="仿宋" w:eastAsia="仿宋" w:cs="Times New Roman"/>
          <w:b/>
          <w:spacing w:val="-4"/>
          <w:kern w:val="0"/>
          <w:sz w:val="28"/>
          <w:szCs w:val="28"/>
        </w:rPr>
        <w:t>性调整，实现高质量跨越式发展</w:t>
      </w:r>
      <w:r>
        <w:rPr>
          <w:rFonts w:ascii="仿宋" w:hAnsi="仿宋" w:eastAsia="仿宋" w:cs="Times New Roman"/>
          <w:b/>
          <w:spacing w:val="-4"/>
          <w:kern w:val="0"/>
          <w:sz w:val="28"/>
          <w:szCs w:val="28"/>
        </w:rPr>
        <w:t>。</w:t>
      </w:r>
      <w:r>
        <w:rPr>
          <w:rFonts w:ascii="仿宋" w:hAnsi="仿宋" w:eastAsia="仿宋" w:cs="Times New Roman"/>
          <w:spacing w:val="-4"/>
          <w:kern w:val="0"/>
          <w:sz w:val="28"/>
          <w:szCs w:val="28"/>
        </w:rPr>
        <w:t>调整和优化矿产资源开发利用的布局与结构，</w:t>
      </w:r>
      <w:r>
        <w:rPr>
          <w:rFonts w:hint="eastAsia" w:ascii="仿宋" w:hAnsi="仿宋" w:eastAsia="仿宋" w:cs="Times New Roman"/>
          <w:spacing w:val="-4"/>
          <w:kern w:val="0"/>
          <w:sz w:val="28"/>
          <w:szCs w:val="28"/>
        </w:rPr>
        <w:t>加强矿产资源整合力度，并充分利用建筑余土和发展新型墙体材料等措施，逐步减少城市建设对砖瓦用页岩矿的依赖。</w:t>
      </w:r>
      <w:r>
        <w:rPr>
          <w:rFonts w:ascii="仿宋" w:hAnsi="仿宋" w:eastAsia="仿宋" w:cs="Times New Roman"/>
          <w:spacing w:val="-4"/>
          <w:kern w:val="0"/>
          <w:sz w:val="28"/>
          <w:szCs w:val="28"/>
        </w:rPr>
        <w:t>逐步减少矿山数量，提高大中型矿山比例，提高矿山智能化水平，提升资源节约与综合利用水平，发展循环经济，延长产业链，将资源优势转化为产业优势，全力推进矿业高质量发展。</w:t>
      </w:r>
    </w:p>
    <w:p>
      <w:pPr>
        <w:spacing w:line="360" w:lineRule="auto"/>
        <w:ind w:firstLine="546" w:firstLineChars="200"/>
        <w:rPr>
          <w:rFonts w:ascii="仿宋" w:hAnsi="仿宋" w:eastAsia="仿宋" w:cs="Times New Roman"/>
          <w:spacing w:val="-4"/>
          <w:kern w:val="0"/>
          <w:sz w:val="28"/>
          <w:szCs w:val="28"/>
        </w:rPr>
      </w:pPr>
      <w:r>
        <w:rPr>
          <w:rFonts w:hint="eastAsia" w:ascii="仿宋" w:hAnsi="仿宋" w:eastAsia="仿宋" w:cs="Times New Roman"/>
          <w:b/>
          <w:spacing w:val="-4"/>
          <w:kern w:val="0"/>
          <w:sz w:val="28"/>
          <w:szCs w:val="28"/>
        </w:rPr>
        <w:t>（三）稳步推进地质调查,有力支撑南昌经济社会发展。</w:t>
      </w:r>
      <w:r>
        <w:rPr>
          <w:rFonts w:hint="eastAsia" w:ascii="仿宋" w:hAnsi="仿宋" w:eastAsia="仿宋" w:cs="Times New Roman"/>
          <w:spacing w:val="-4"/>
          <w:kern w:val="0"/>
          <w:sz w:val="28"/>
          <w:szCs w:val="28"/>
        </w:rPr>
        <w:t>《南昌市国民经济和社会发展第十四个五年规划和二Ο三五年远景目标纲要》指出，</w:t>
      </w:r>
      <w:r>
        <w:rPr>
          <w:rFonts w:ascii="仿宋" w:hAnsi="仿宋" w:eastAsia="仿宋" w:cs="Times New Roman"/>
          <w:spacing w:val="-4"/>
          <w:kern w:val="0"/>
          <w:sz w:val="28"/>
          <w:szCs w:val="28"/>
        </w:rPr>
        <w:t>今后五年南昌发展总的定位是：围绕</w:t>
      </w:r>
      <w:r>
        <w:rPr>
          <w:rFonts w:ascii="仿宋" w:hAnsi="仿宋" w:eastAsia="仿宋" w:cs="Times New Roman"/>
          <w:b/>
          <w:bCs/>
          <w:spacing w:val="-4"/>
          <w:kern w:val="0"/>
          <w:sz w:val="28"/>
          <w:szCs w:val="28"/>
        </w:rPr>
        <w:t>“富有创新活力和文化魅力，令人向往的中国智造新城、山水名城”</w:t>
      </w:r>
      <w:r>
        <w:rPr>
          <w:rFonts w:ascii="仿宋" w:hAnsi="仿宋" w:eastAsia="仿宋" w:cs="Times New Roman"/>
          <w:spacing w:val="-4"/>
          <w:kern w:val="0"/>
          <w:sz w:val="28"/>
          <w:szCs w:val="28"/>
        </w:rPr>
        <w:t>城市愿景，努力打造国际先进制造业集聚区、全国数字经济发展先行区、全国绿色低碳发展示范区、全国市域治理现代化试验区、国家现代流通体系重要枢纽。</w:t>
      </w:r>
      <w:r>
        <w:rPr>
          <w:rFonts w:hint="eastAsia" w:ascii="仿宋" w:hAnsi="仿宋" w:eastAsia="仿宋" w:cs="Times New Roman"/>
          <w:spacing w:val="-4"/>
          <w:kern w:val="0"/>
          <w:sz w:val="28"/>
          <w:szCs w:val="28"/>
        </w:rPr>
        <w:t>应大力引导勘查开发利用地热水、浅层地温能，为</w:t>
      </w:r>
      <w:r>
        <w:rPr>
          <w:rFonts w:ascii="仿宋" w:hAnsi="仿宋" w:eastAsia="仿宋" w:cs="Times New Roman"/>
          <w:spacing w:val="-4"/>
          <w:kern w:val="0"/>
          <w:sz w:val="28"/>
          <w:szCs w:val="28"/>
        </w:rPr>
        <w:t>“碳达峰、碳中和”目</w:t>
      </w:r>
      <w:r>
        <w:rPr>
          <w:rFonts w:hint="eastAsia" w:ascii="仿宋" w:hAnsi="仿宋" w:eastAsia="仿宋" w:cs="Times New Roman"/>
          <w:spacing w:val="-4"/>
          <w:kern w:val="0"/>
          <w:sz w:val="28"/>
          <w:szCs w:val="28"/>
        </w:rPr>
        <w:t>标做出贡献；开展地下水应急水源地调查评价，助推优质矿泉水开发利用及品牌打造；有序开展城市新区、重大工程区的城市地质调查工作，为国土空间规划提供支撑；深度挖掘地质科学和文化，加大地质遗迹等的地质调查，积极申报地质文化村（镇），促进地方旅游产业发展；加大富硒富锌土地质量调查，助力乡村振兴战略。</w:t>
      </w:r>
    </w:p>
    <w:p>
      <w:pPr>
        <w:spacing w:line="360" w:lineRule="auto"/>
        <w:ind w:firstLine="546" w:firstLineChars="200"/>
        <w:rPr>
          <w:rFonts w:ascii="仿宋" w:hAnsi="仿宋" w:eastAsia="仿宋" w:cs="Times New Roman"/>
          <w:spacing w:val="-4"/>
          <w:kern w:val="0"/>
          <w:sz w:val="28"/>
          <w:szCs w:val="28"/>
        </w:rPr>
      </w:pPr>
      <w:r>
        <w:rPr>
          <w:rFonts w:hint="eastAsia" w:ascii="仿宋" w:hAnsi="仿宋" w:eastAsia="仿宋" w:cs="Times New Roman"/>
          <w:b/>
          <w:spacing w:val="-4"/>
          <w:kern w:val="0"/>
          <w:sz w:val="28"/>
          <w:szCs w:val="28"/>
        </w:rPr>
        <w:t>（四）</w:t>
      </w:r>
      <w:r>
        <w:rPr>
          <w:rFonts w:ascii="仿宋" w:hAnsi="仿宋" w:eastAsia="仿宋" w:cs="Times New Roman"/>
          <w:b/>
          <w:spacing w:val="-4"/>
          <w:kern w:val="0"/>
          <w:sz w:val="28"/>
          <w:szCs w:val="28"/>
        </w:rPr>
        <w:t>深化矿产资源管理</w:t>
      </w:r>
      <w:r>
        <w:rPr>
          <w:rFonts w:hint="eastAsia" w:ascii="仿宋" w:hAnsi="仿宋" w:eastAsia="仿宋" w:cs="Times New Roman"/>
          <w:b/>
          <w:spacing w:val="-4"/>
          <w:kern w:val="0"/>
          <w:sz w:val="28"/>
          <w:szCs w:val="28"/>
        </w:rPr>
        <w:t>改革</w:t>
      </w:r>
      <w:r>
        <w:rPr>
          <w:rFonts w:ascii="仿宋" w:hAnsi="仿宋" w:eastAsia="仿宋" w:cs="Times New Roman"/>
          <w:b/>
          <w:spacing w:val="-4"/>
          <w:kern w:val="0"/>
          <w:sz w:val="28"/>
          <w:szCs w:val="28"/>
        </w:rPr>
        <w:t>，着力</w:t>
      </w:r>
      <w:r>
        <w:rPr>
          <w:rFonts w:hint="eastAsia" w:ascii="仿宋" w:hAnsi="仿宋" w:eastAsia="仿宋" w:cs="Times New Roman"/>
          <w:b/>
          <w:spacing w:val="-4"/>
          <w:kern w:val="0"/>
          <w:sz w:val="28"/>
          <w:szCs w:val="28"/>
        </w:rPr>
        <w:t>提高矿业管理水平</w:t>
      </w:r>
      <w:r>
        <w:rPr>
          <w:rFonts w:ascii="仿宋" w:hAnsi="仿宋" w:eastAsia="仿宋" w:cs="Times New Roman"/>
          <w:b/>
          <w:spacing w:val="-4"/>
          <w:kern w:val="0"/>
          <w:sz w:val="28"/>
          <w:szCs w:val="28"/>
        </w:rPr>
        <w:t>。</w:t>
      </w:r>
      <w:r>
        <w:rPr>
          <w:rFonts w:hint="eastAsia" w:ascii="仿宋" w:hAnsi="仿宋" w:eastAsia="仿宋" w:cs="Times New Roman"/>
          <w:spacing w:val="-4"/>
          <w:kern w:val="0"/>
          <w:sz w:val="28"/>
          <w:szCs w:val="28"/>
        </w:rPr>
        <w:t>贯彻落实推进矿产资源管理改革要求</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推进矿业权竞争性出让、探索</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净矿出让</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模式、简化行政审批程序、规范财政出资勘查成果管理、创新监管方式、完善矿政管理信息化等方面进一步深化改革，提升矿政管理能力和水平</w:t>
      </w:r>
      <w:r>
        <w:rPr>
          <w:rFonts w:ascii="仿宋" w:hAnsi="仿宋" w:eastAsia="仿宋" w:cs="Times New Roman"/>
          <w:spacing w:val="-4"/>
          <w:kern w:val="0"/>
          <w:sz w:val="28"/>
          <w:szCs w:val="28"/>
        </w:rPr>
        <w:t>。</w:t>
      </w:r>
    </w:p>
    <w:p>
      <w:pPr>
        <w:spacing w:before="156" w:beforeLines="50" w:after="156" w:afterLines="50" w:line="360" w:lineRule="auto"/>
        <w:jc w:val="center"/>
        <w:outlineLvl w:val="0"/>
        <w:rPr>
          <w:rFonts w:ascii="Times New Roman" w:hAnsi="Times New Roman" w:eastAsia="仿宋_GB2312" w:cs="Times New Roman"/>
          <w:b/>
          <w:kern w:val="0"/>
          <w:sz w:val="44"/>
        </w:rPr>
      </w:pPr>
      <w:r>
        <w:rPr>
          <w:rFonts w:ascii="仿宋_GB2312" w:hAnsi="Calibri" w:eastAsia="仿宋_GB2312" w:cs="Times New Roman"/>
          <w:b/>
          <w:kern w:val="0"/>
          <w:sz w:val="44"/>
        </w:rPr>
        <w:br w:type="page"/>
      </w:r>
      <w:bookmarkStart w:id="18" w:name="_Toc104389932"/>
      <w:r>
        <w:rPr>
          <w:rFonts w:ascii="Times New Roman" w:hAnsi="Times New Roman" w:eastAsia="仿宋_GB2312" w:cs="Times New Roman"/>
          <w:b/>
          <w:kern w:val="0"/>
          <w:sz w:val="44"/>
        </w:rPr>
        <w:t xml:space="preserve">第二章  </w:t>
      </w:r>
      <w:r>
        <w:rPr>
          <w:rFonts w:ascii="仿宋_GB2312" w:hAnsi="Calibri" w:eastAsia="仿宋_GB2312" w:cs="Times New Roman"/>
          <w:b/>
          <w:kern w:val="0"/>
          <w:sz w:val="44"/>
        </w:rPr>
        <w:t>指导</w:t>
      </w:r>
      <w:r>
        <w:rPr>
          <w:rFonts w:hint="eastAsia" w:ascii="仿宋_GB2312" w:hAnsi="Calibri" w:eastAsia="仿宋_GB2312" w:cs="Times New Roman"/>
          <w:b/>
          <w:kern w:val="0"/>
          <w:sz w:val="44"/>
        </w:rPr>
        <w:t>思想</w:t>
      </w:r>
      <w:r>
        <w:rPr>
          <w:rFonts w:ascii="Times New Roman" w:hAnsi="Times New Roman" w:eastAsia="仿宋_GB2312" w:cs="Times New Roman"/>
          <w:b/>
          <w:kern w:val="0"/>
          <w:sz w:val="44"/>
        </w:rPr>
        <w:t>和</w:t>
      </w:r>
      <w:r>
        <w:rPr>
          <w:rFonts w:hint="eastAsia" w:ascii="Times New Roman" w:hAnsi="Times New Roman" w:eastAsia="仿宋_GB2312" w:cs="Times New Roman"/>
          <w:b/>
          <w:kern w:val="0"/>
          <w:sz w:val="44"/>
        </w:rPr>
        <w:t>基本原则</w:t>
      </w:r>
      <w:bookmarkEnd w:id="18"/>
    </w:p>
    <w:p>
      <w:pPr>
        <w:spacing w:before="156" w:beforeLines="50" w:after="156" w:afterLines="50" w:line="360" w:lineRule="auto"/>
        <w:jc w:val="center"/>
        <w:outlineLvl w:val="1"/>
        <w:rPr>
          <w:rFonts w:ascii="Times New Roman" w:hAnsi="Times New Roman" w:eastAsia="宋体" w:cs="Times New Roman"/>
          <w:kern w:val="0"/>
          <w:sz w:val="22"/>
        </w:rPr>
      </w:pPr>
      <w:bookmarkStart w:id="19" w:name="_Toc104389933"/>
      <w:r>
        <w:rPr>
          <w:rFonts w:ascii="Times New Roman" w:hAnsi="Times New Roman" w:eastAsia="仿宋_GB2312" w:cs="Times New Roman"/>
          <w:b/>
          <w:kern w:val="0"/>
          <w:sz w:val="32"/>
        </w:rPr>
        <w:t>第一节  指导思想</w:t>
      </w:r>
      <w:bookmarkEnd w:id="19"/>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以习近平新时代中国特色社会主义思想为指导，全面贯彻党的十九大和十九届历次全会精神，坚决贯彻习近平总书记视察江西重要讲话精神，</w:t>
      </w:r>
      <w:r>
        <w:rPr>
          <w:rFonts w:hint="eastAsia" w:ascii="仿宋" w:hAnsi="仿宋" w:eastAsia="仿宋" w:cs="Times New Roman"/>
          <w:kern w:val="0"/>
          <w:sz w:val="28"/>
          <w:szCs w:val="28"/>
        </w:rPr>
        <w:t>落实省委、省政府赋予南昌“彰显省会担当”的时代使命，</w:t>
      </w:r>
      <w:r>
        <w:rPr>
          <w:rFonts w:ascii="仿宋" w:hAnsi="仿宋" w:eastAsia="仿宋" w:cs="Times New Roman"/>
          <w:kern w:val="0"/>
          <w:sz w:val="28"/>
          <w:szCs w:val="28"/>
        </w:rPr>
        <w:t>围绕市委、市政府提出</w:t>
      </w:r>
      <w:r>
        <w:rPr>
          <w:rFonts w:hint="eastAsia" w:ascii="仿宋" w:hAnsi="仿宋" w:eastAsia="仿宋" w:cs="Times New Roman"/>
          <w:kern w:val="0"/>
          <w:sz w:val="28"/>
          <w:szCs w:val="28"/>
        </w:rPr>
        <w:t>今后五年南昌发展总定位</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准确把握新发展阶段，深入贯彻新发展理念，服务构建新发展格局，</w:t>
      </w:r>
      <w:r>
        <w:rPr>
          <w:rFonts w:ascii="仿宋" w:hAnsi="仿宋" w:eastAsia="仿宋" w:cs="Times New Roman"/>
          <w:spacing w:val="-4"/>
          <w:kern w:val="0"/>
          <w:sz w:val="28"/>
          <w:szCs w:val="28"/>
        </w:rPr>
        <w:t>结合南昌市矿产资源禀赋特点和经济社会发展需求，</w:t>
      </w:r>
      <w:r>
        <w:rPr>
          <w:rFonts w:hint="eastAsia" w:ascii="仿宋" w:hAnsi="仿宋" w:eastAsia="仿宋" w:cs="Times New Roman"/>
          <w:spacing w:val="-4"/>
          <w:kern w:val="0"/>
          <w:sz w:val="28"/>
          <w:szCs w:val="28"/>
        </w:rPr>
        <w:t>合理布局、科学调控、优化配置、注重保护。统筹兼顾矿产资源开发利用的经济效益、资源效益、环境效益和社会效益。以矿产资源的可持续开发利用来服务于经济社会持续发展。为全市实现国民经济和社会发展“十四五”计划和远景目标做出贡献。</w:t>
      </w:r>
    </w:p>
    <w:p>
      <w:pPr>
        <w:spacing w:before="156" w:beforeLines="50" w:after="156" w:afterLines="50" w:line="360" w:lineRule="auto"/>
        <w:jc w:val="center"/>
        <w:outlineLvl w:val="1"/>
        <w:rPr>
          <w:rFonts w:ascii="Times New Roman" w:hAnsi="Times New Roman" w:eastAsia="仿宋_GB2312" w:cs="Times New Roman"/>
          <w:b/>
          <w:kern w:val="0"/>
          <w:sz w:val="32"/>
        </w:rPr>
      </w:pPr>
      <w:bookmarkStart w:id="20" w:name="_Toc104389934"/>
      <w:r>
        <w:rPr>
          <w:rFonts w:ascii="Times New Roman" w:hAnsi="Times New Roman" w:eastAsia="仿宋_GB2312" w:cs="Times New Roman"/>
          <w:b/>
          <w:kern w:val="0"/>
          <w:sz w:val="32"/>
        </w:rPr>
        <w:t>第二节  基本原则</w:t>
      </w:r>
      <w:bookmarkEnd w:id="20"/>
    </w:p>
    <w:p>
      <w:pPr>
        <w:spacing w:line="360" w:lineRule="auto"/>
        <w:ind w:firstLine="602" w:firstLineChars="200"/>
        <w:jc w:val="left"/>
        <w:outlineLvl w:val="2"/>
        <w:rPr>
          <w:rFonts w:ascii="仿宋_GB2312" w:hAnsi="仿宋" w:eastAsia="仿宋_GB2312" w:cs="Times New Roman"/>
          <w:b/>
          <w:kern w:val="0"/>
          <w:sz w:val="30"/>
          <w:szCs w:val="30"/>
        </w:rPr>
      </w:pPr>
      <w:bookmarkStart w:id="21" w:name="_Toc104389935"/>
      <w:r>
        <w:rPr>
          <w:rFonts w:hint="eastAsia" w:ascii="仿宋_GB2312" w:hAnsi="仿宋" w:eastAsia="仿宋_GB2312" w:cs="Times New Roman"/>
          <w:b/>
          <w:kern w:val="0"/>
          <w:sz w:val="30"/>
          <w:szCs w:val="30"/>
        </w:rPr>
        <w:t>一</w:t>
      </w:r>
      <w:r>
        <w:rPr>
          <w:rFonts w:ascii="仿宋_GB2312" w:hAnsi="仿宋" w:eastAsia="仿宋_GB2312" w:cs="Times New Roman"/>
          <w:b/>
          <w:kern w:val="0"/>
          <w:sz w:val="30"/>
          <w:szCs w:val="30"/>
        </w:rPr>
        <w:t>、坚持需求导向，服务</w:t>
      </w:r>
      <w:r>
        <w:rPr>
          <w:rFonts w:hint="eastAsia" w:ascii="仿宋_GB2312" w:hAnsi="仿宋" w:eastAsia="仿宋_GB2312" w:cs="Times New Roman"/>
          <w:b/>
          <w:kern w:val="0"/>
          <w:sz w:val="30"/>
          <w:szCs w:val="30"/>
        </w:rPr>
        <w:t>地方</w:t>
      </w:r>
      <w:r>
        <w:rPr>
          <w:rFonts w:ascii="仿宋_GB2312" w:hAnsi="仿宋" w:eastAsia="仿宋_GB2312" w:cs="Times New Roman"/>
          <w:b/>
          <w:kern w:val="0"/>
          <w:sz w:val="30"/>
          <w:szCs w:val="30"/>
        </w:rPr>
        <w:t>经济发展</w:t>
      </w:r>
      <w:bookmarkEnd w:id="21"/>
    </w:p>
    <w:p>
      <w:pPr>
        <w:spacing w:line="360" w:lineRule="auto"/>
        <w:ind w:firstLine="544" w:firstLineChars="200"/>
        <w:rPr>
          <w:rFonts w:ascii="仿宋" w:hAnsi="仿宋" w:eastAsia="仿宋" w:cs="Times New Roman"/>
          <w:kern w:val="0"/>
          <w:sz w:val="28"/>
          <w:szCs w:val="28"/>
        </w:rPr>
      </w:pPr>
      <w:r>
        <w:rPr>
          <w:rFonts w:hint="eastAsia" w:ascii="仿宋" w:hAnsi="仿宋" w:eastAsia="仿宋" w:cs="Times New Roman"/>
          <w:spacing w:val="-4"/>
          <w:kern w:val="0"/>
          <w:sz w:val="28"/>
          <w:szCs w:val="28"/>
        </w:rPr>
        <w:t>立足经济社会和矿业发展需求，以增强资源保障程度和节约集约利用资源为目的，统筹安排矿产资源勘查开发布局，增强矿产资源供给能力，服务经济社会可持续发展。以地热水、矿泉水的勘查开发为重点，增强矿产资源的有效供给。</w:t>
      </w:r>
      <w:r>
        <w:rPr>
          <w:rFonts w:hint="eastAsia" w:ascii="仿宋" w:hAnsi="仿宋" w:eastAsia="仿宋" w:cs="Times New Roman"/>
          <w:kern w:val="0"/>
          <w:sz w:val="28"/>
          <w:szCs w:val="28"/>
        </w:rPr>
        <w:t>围绕南昌市城乡发展开展城市地质调查，为城市新区开发或重大工程建设支撑国土空间规划。关注南昌市饮用水备用水源地保障，服务国计民生。</w:t>
      </w:r>
    </w:p>
    <w:p>
      <w:pPr>
        <w:spacing w:line="360" w:lineRule="auto"/>
        <w:ind w:firstLine="602" w:firstLineChars="200"/>
        <w:jc w:val="left"/>
        <w:outlineLvl w:val="2"/>
        <w:rPr>
          <w:rFonts w:ascii="仿宋_GB2312" w:hAnsi="仿宋" w:eastAsia="仿宋_GB2312" w:cs="Times New Roman"/>
          <w:b/>
          <w:kern w:val="0"/>
          <w:sz w:val="30"/>
          <w:szCs w:val="30"/>
        </w:rPr>
      </w:pPr>
      <w:bookmarkStart w:id="22" w:name="_Toc104389936"/>
      <w:r>
        <w:rPr>
          <w:rFonts w:hint="eastAsia" w:ascii="仿宋_GB2312" w:hAnsi="仿宋" w:eastAsia="仿宋_GB2312" w:cs="Times New Roman"/>
          <w:b/>
          <w:kern w:val="0"/>
          <w:sz w:val="30"/>
          <w:szCs w:val="30"/>
        </w:rPr>
        <w:t>二</w:t>
      </w:r>
      <w:r>
        <w:rPr>
          <w:rFonts w:ascii="仿宋_GB2312" w:hAnsi="仿宋" w:eastAsia="仿宋_GB2312" w:cs="Times New Roman"/>
          <w:b/>
          <w:kern w:val="0"/>
          <w:sz w:val="30"/>
          <w:szCs w:val="30"/>
        </w:rPr>
        <w:t>、坚持节约资源，实现资源高效利用</w:t>
      </w:r>
      <w:bookmarkEnd w:id="22"/>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将全面节约和高效利用落实到矿产资源勘查开发全过程当中，优化勘查开发布局，严格勘查开发准入监管，加强勘查开发监督管理，加快推广先进适用技术，促进矿产资源节约集约与综合利用，提高矿产资源开发利用水平</w:t>
      </w:r>
      <w:r>
        <w:rPr>
          <w:rFonts w:ascii="仿宋" w:hAnsi="仿宋" w:eastAsia="仿宋" w:cs="Times New Roman"/>
          <w:spacing w:val="-4"/>
          <w:kern w:val="0"/>
          <w:sz w:val="28"/>
          <w:szCs w:val="28"/>
        </w:rPr>
        <w:t>。</w:t>
      </w:r>
    </w:p>
    <w:p>
      <w:pPr>
        <w:spacing w:line="360" w:lineRule="auto"/>
        <w:ind w:firstLine="602" w:firstLineChars="200"/>
        <w:jc w:val="left"/>
        <w:outlineLvl w:val="2"/>
        <w:rPr>
          <w:rFonts w:ascii="仿宋_GB2312" w:hAnsi="仿宋" w:eastAsia="仿宋_GB2312" w:cs="Times New Roman"/>
          <w:b/>
          <w:kern w:val="0"/>
          <w:sz w:val="30"/>
          <w:szCs w:val="30"/>
        </w:rPr>
      </w:pPr>
      <w:bookmarkStart w:id="23" w:name="_Toc104389937"/>
      <w:r>
        <w:rPr>
          <w:rFonts w:hint="eastAsia" w:ascii="仿宋_GB2312" w:hAnsi="仿宋" w:eastAsia="仿宋_GB2312" w:cs="Times New Roman"/>
          <w:b/>
          <w:kern w:val="0"/>
          <w:sz w:val="30"/>
          <w:szCs w:val="30"/>
        </w:rPr>
        <w:t>三</w:t>
      </w:r>
      <w:r>
        <w:rPr>
          <w:rFonts w:ascii="仿宋_GB2312" w:hAnsi="仿宋" w:eastAsia="仿宋_GB2312" w:cs="Times New Roman"/>
          <w:b/>
          <w:kern w:val="0"/>
          <w:sz w:val="30"/>
          <w:szCs w:val="30"/>
        </w:rPr>
        <w:t>、坚持</w:t>
      </w:r>
      <w:r>
        <w:rPr>
          <w:rFonts w:hint="eastAsia" w:ascii="仿宋_GB2312" w:hAnsi="仿宋" w:eastAsia="仿宋_GB2312" w:cs="Times New Roman"/>
          <w:b/>
          <w:kern w:val="0"/>
          <w:sz w:val="30"/>
          <w:szCs w:val="30"/>
        </w:rPr>
        <w:t>绿色开采</w:t>
      </w:r>
      <w:r>
        <w:rPr>
          <w:rFonts w:ascii="仿宋_GB2312" w:hAnsi="仿宋" w:eastAsia="仿宋_GB2312" w:cs="Times New Roman"/>
          <w:b/>
          <w:kern w:val="0"/>
          <w:sz w:val="30"/>
          <w:szCs w:val="30"/>
        </w:rPr>
        <w:t>，实现矿业</w:t>
      </w:r>
      <w:r>
        <w:rPr>
          <w:rFonts w:hint="eastAsia" w:ascii="仿宋_GB2312" w:hAnsi="仿宋" w:eastAsia="仿宋_GB2312" w:cs="Times New Roman"/>
          <w:b/>
          <w:kern w:val="0"/>
          <w:sz w:val="30"/>
          <w:szCs w:val="30"/>
        </w:rPr>
        <w:t>绿色</w:t>
      </w:r>
      <w:r>
        <w:rPr>
          <w:rFonts w:ascii="仿宋_GB2312" w:hAnsi="仿宋" w:eastAsia="仿宋_GB2312" w:cs="Times New Roman"/>
          <w:b/>
          <w:kern w:val="0"/>
          <w:sz w:val="30"/>
          <w:szCs w:val="30"/>
        </w:rPr>
        <w:t>发展</w:t>
      </w:r>
      <w:bookmarkEnd w:id="23"/>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全面落实国家生态文明试验区（江西）建设总体部署，主动衔接国土空间规划，科学合理设置矿业权，加快矿业绿色转型，严格落实生态修复政策，构建矿地和谐的绿色矿业发展格局</w:t>
      </w:r>
      <w:r>
        <w:rPr>
          <w:rFonts w:ascii="仿宋" w:hAnsi="仿宋" w:eastAsia="仿宋" w:cs="Times New Roman"/>
          <w:spacing w:val="-4"/>
          <w:kern w:val="0"/>
          <w:sz w:val="28"/>
          <w:szCs w:val="28"/>
        </w:rPr>
        <w:t>。</w:t>
      </w:r>
    </w:p>
    <w:p>
      <w:pPr>
        <w:spacing w:line="360" w:lineRule="auto"/>
        <w:ind w:firstLine="602" w:firstLineChars="200"/>
        <w:jc w:val="left"/>
        <w:outlineLvl w:val="2"/>
        <w:rPr>
          <w:rFonts w:ascii="仿宋_GB2312" w:hAnsi="仿宋" w:eastAsia="仿宋_GB2312" w:cs="Times New Roman"/>
          <w:b/>
          <w:kern w:val="0"/>
          <w:sz w:val="30"/>
          <w:szCs w:val="30"/>
        </w:rPr>
      </w:pPr>
      <w:bookmarkStart w:id="24" w:name="_Toc104389938"/>
      <w:r>
        <w:rPr>
          <w:rFonts w:hint="eastAsia" w:ascii="仿宋_GB2312" w:hAnsi="仿宋" w:eastAsia="仿宋_GB2312" w:cs="Times New Roman"/>
          <w:b/>
          <w:kern w:val="0"/>
          <w:sz w:val="30"/>
          <w:szCs w:val="30"/>
        </w:rPr>
        <w:t>四</w:t>
      </w:r>
      <w:r>
        <w:rPr>
          <w:rFonts w:ascii="仿宋_GB2312" w:hAnsi="仿宋" w:eastAsia="仿宋_GB2312" w:cs="Times New Roman"/>
          <w:b/>
          <w:kern w:val="0"/>
          <w:sz w:val="30"/>
          <w:szCs w:val="30"/>
        </w:rPr>
        <w:t>、坚持共享发展，促进矿业</w:t>
      </w:r>
      <w:r>
        <w:rPr>
          <w:rFonts w:hint="eastAsia" w:ascii="仿宋_GB2312" w:hAnsi="仿宋" w:eastAsia="仿宋_GB2312" w:cs="Times New Roman"/>
          <w:b/>
          <w:kern w:val="0"/>
          <w:sz w:val="30"/>
          <w:szCs w:val="30"/>
        </w:rPr>
        <w:t>经济发展</w:t>
      </w:r>
      <w:bookmarkEnd w:id="24"/>
    </w:p>
    <w:p>
      <w:pPr>
        <w:spacing w:line="360" w:lineRule="auto"/>
        <w:ind w:firstLine="544" w:firstLineChars="200"/>
        <w:rPr>
          <w:rFonts w:ascii="仿宋" w:hAnsi="仿宋" w:eastAsia="仿宋" w:cs="Times New Roman"/>
          <w:spacing w:val="-4"/>
          <w:kern w:val="0"/>
          <w:sz w:val="28"/>
          <w:szCs w:val="28"/>
        </w:rPr>
      </w:pPr>
      <w:r>
        <w:rPr>
          <w:rFonts w:ascii="仿宋" w:hAnsi="仿宋" w:eastAsia="仿宋" w:cs="Times New Roman"/>
          <w:spacing w:val="-4"/>
          <w:kern w:val="0"/>
          <w:sz w:val="28"/>
          <w:szCs w:val="28"/>
        </w:rPr>
        <w:t>深化供给侧结构性改革，坚持高质量跨越式发展首要战略</w:t>
      </w:r>
      <w:r>
        <w:rPr>
          <w:rFonts w:hint="eastAsia" w:ascii="仿宋" w:hAnsi="仿宋" w:eastAsia="仿宋" w:cs="Times New Roman"/>
          <w:spacing w:val="-4"/>
          <w:kern w:val="0"/>
          <w:sz w:val="28"/>
          <w:szCs w:val="28"/>
        </w:rPr>
        <w:t>。</w:t>
      </w:r>
      <w:r>
        <w:rPr>
          <w:rFonts w:ascii="仿宋" w:hAnsi="仿宋" w:eastAsia="仿宋" w:cs="Times New Roman"/>
          <w:spacing w:val="-4"/>
          <w:kern w:val="0"/>
          <w:sz w:val="28"/>
          <w:szCs w:val="28"/>
        </w:rPr>
        <w:t>以高端化、智能化、绿色化、服务化为方向，加强关键核心技术攻关</w:t>
      </w:r>
      <w:r>
        <w:rPr>
          <w:rFonts w:hint="eastAsia" w:ascii="仿宋" w:hAnsi="仿宋" w:eastAsia="仿宋" w:cs="Times New Roman"/>
          <w:spacing w:val="-4"/>
          <w:kern w:val="0"/>
          <w:sz w:val="28"/>
          <w:szCs w:val="28"/>
        </w:rPr>
        <w:t>，促进矿业结构调整，鼓励矿山企业向工业化企业发展，优化和延伸产品链条，促进矿业转型升级。</w:t>
      </w:r>
    </w:p>
    <w:p>
      <w:pPr>
        <w:spacing w:line="360" w:lineRule="auto"/>
        <w:ind w:firstLine="544" w:firstLineChars="200"/>
        <w:rPr>
          <w:rFonts w:ascii="仿宋" w:hAnsi="仿宋" w:eastAsia="仿宋" w:cs="Times New Roman"/>
          <w:spacing w:val="-4"/>
          <w:kern w:val="0"/>
          <w:sz w:val="28"/>
          <w:szCs w:val="28"/>
        </w:rPr>
      </w:pPr>
      <w:r>
        <w:rPr>
          <w:rFonts w:ascii="仿宋" w:hAnsi="仿宋" w:eastAsia="仿宋" w:cs="Times New Roman"/>
          <w:spacing w:val="-4"/>
          <w:kern w:val="0"/>
          <w:sz w:val="28"/>
          <w:szCs w:val="28"/>
        </w:rPr>
        <w:t>坚持服务民生优先，政策举措向群众利益倾斜</w:t>
      </w:r>
      <w:r>
        <w:rPr>
          <w:rFonts w:hint="eastAsia" w:ascii="仿宋" w:hAnsi="仿宋" w:eastAsia="仿宋" w:cs="Times New Roman"/>
          <w:spacing w:val="-4"/>
          <w:kern w:val="0"/>
          <w:sz w:val="28"/>
          <w:szCs w:val="28"/>
        </w:rPr>
        <w:t>，牢固树立矿产资源法治理念，坚持依法办矿、依法管矿和依法用矿，加强诚信监管，切实维护群众合法权益，不断提升矿产资源管理法治化水平。优化矿产资源勘查开发利益分配机制，推进利益共享和资源惠民，大力倡导法治</w:t>
      </w:r>
      <w:r>
        <w:rPr>
          <w:rFonts w:ascii="仿宋" w:hAnsi="仿宋" w:eastAsia="仿宋" w:cs="Times New Roman"/>
          <w:spacing w:val="-4"/>
          <w:kern w:val="0"/>
          <w:sz w:val="28"/>
          <w:szCs w:val="28"/>
        </w:rPr>
        <w:t>矿地和谐，实现资源开发、环境保护与民生改善的统一，促进社会和谐发展。</w:t>
      </w:r>
    </w:p>
    <w:p>
      <w:pPr>
        <w:widowControl/>
        <w:jc w:val="left"/>
        <w:rPr>
          <w:rFonts w:ascii="Times New Roman" w:hAnsi="Times New Roman" w:eastAsia="仿宋_GB2312" w:cs="Times New Roman"/>
          <w:b/>
          <w:kern w:val="0"/>
          <w:sz w:val="44"/>
        </w:rPr>
      </w:pPr>
      <w:r>
        <w:rPr>
          <w:rFonts w:ascii="Times New Roman" w:hAnsi="Times New Roman" w:eastAsia="仿宋_GB2312" w:cs="Times New Roman"/>
          <w:b/>
          <w:kern w:val="0"/>
          <w:sz w:val="44"/>
        </w:rPr>
        <w:br w:type="page"/>
      </w:r>
    </w:p>
    <w:p>
      <w:pPr>
        <w:spacing w:before="156" w:beforeLines="50" w:after="156" w:afterLines="50" w:line="360" w:lineRule="auto"/>
        <w:jc w:val="center"/>
        <w:outlineLvl w:val="0"/>
        <w:rPr>
          <w:rFonts w:ascii="仿宋_GB2312" w:hAnsi="Calibri" w:eastAsia="仿宋_GB2312" w:cs="Times New Roman"/>
          <w:b/>
          <w:kern w:val="0"/>
          <w:sz w:val="32"/>
        </w:rPr>
      </w:pPr>
      <w:bookmarkStart w:id="25" w:name="_Toc104389939"/>
      <w:r>
        <w:rPr>
          <w:rFonts w:ascii="Times New Roman" w:hAnsi="Times New Roman" w:eastAsia="仿宋_GB2312" w:cs="Times New Roman"/>
          <w:b/>
          <w:kern w:val="0"/>
          <w:sz w:val="44"/>
        </w:rPr>
        <w:t>第三</w:t>
      </w:r>
      <w:r>
        <w:rPr>
          <w:rFonts w:hint="eastAsia" w:ascii="Times New Roman" w:hAnsi="Times New Roman" w:eastAsia="仿宋_GB2312" w:cs="Times New Roman"/>
          <w:b/>
          <w:kern w:val="0"/>
          <w:sz w:val="44"/>
        </w:rPr>
        <w:t xml:space="preserve">章 </w:t>
      </w:r>
      <w:r>
        <w:rPr>
          <w:rFonts w:ascii="Times New Roman" w:hAnsi="Times New Roman" w:eastAsia="仿宋_GB2312" w:cs="Times New Roman"/>
          <w:b/>
          <w:kern w:val="0"/>
          <w:sz w:val="44"/>
        </w:rPr>
        <w:t xml:space="preserve"> 规划目标</w:t>
      </w:r>
      <w:r>
        <w:rPr>
          <w:rFonts w:hint="eastAsia" w:ascii="Times New Roman" w:hAnsi="Times New Roman" w:eastAsia="仿宋_GB2312" w:cs="Times New Roman"/>
          <w:b/>
          <w:kern w:val="0"/>
          <w:sz w:val="44"/>
        </w:rPr>
        <w:t>与指标</w:t>
      </w:r>
      <w:bookmarkEnd w:id="25"/>
    </w:p>
    <w:p>
      <w:pPr>
        <w:spacing w:before="156" w:beforeLines="50" w:after="156" w:afterLines="50" w:line="360" w:lineRule="auto"/>
        <w:jc w:val="center"/>
        <w:outlineLvl w:val="1"/>
        <w:rPr>
          <w:rFonts w:ascii="仿宋_GB2312" w:hAnsi="仿宋" w:eastAsia="仿宋_GB2312" w:cs="Times New Roman"/>
          <w:b/>
          <w:w w:val="99"/>
          <w:kern w:val="0"/>
          <w:sz w:val="30"/>
          <w:szCs w:val="30"/>
        </w:rPr>
      </w:pPr>
      <w:bookmarkStart w:id="26" w:name="_Toc104389940"/>
      <w:r>
        <w:rPr>
          <w:rFonts w:hint="eastAsia" w:ascii="Times New Roman" w:hAnsi="Times New Roman" w:eastAsia="仿宋_GB2312" w:cs="Times New Roman"/>
          <w:b/>
          <w:kern w:val="0"/>
          <w:sz w:val="32"/>
        </w:rPr>
        <w:t xml:space="preserve">第一节 </w:t>
      </w:r>
      <w:r>
        <w:rPr>
          <w:rFonts w:ascii="Times New Roman" w:hAnsi="Times New Roman" w:eastAsia="仿宋_GB2312" w:cs="Times New Roman"/>
          <w:b/>
          <w:kern w:val="0"/>
          <w:sz w:val="32"/>
        </w:rPr>
        <w:t xml:space="preserve"> </w:t>
      </w:r>
      <w:r>
        <w:rPr>
          <w:rFonts w:hint="eastAsia" w:ascii="Times New Roman" w:hAnsi="Times New Roman" w:eastAsia="仿宋_GB2312" w:cs="Times New Roman"/>
          <w:b/>
          <w:kern w:val="0"/>
          <w:sz w:val="32"/>
        </w:rPr>
        <w:t>2025年规划目标与指标</w:t>
      </w:r>
      <w:bookmarkEnd w:id="26"/>
    </w:p>
    <w:p>
      <w:pPr>
        <w:spacing w:line="360" w:lineRule="auto"/>
        <w:ind w:firstLine="544" w:firstLineChars="200"/>
        <w:rPr>
          <w:rFonts w:ascii="仿宋" w:hAnsi="仿宋" w:eastAsia="仿宋" w:cs="Times New Roman"/>
          <w:spacing w:val="-4"/>
          <w:kern w:val="0"/>
          <w:sz w:val="28"/>
          <w:szCs w:val="28"/>
        </w:rPr>
      </w:pPr>
      <w:r>
        <w:rPr>
          <w:rFonts w:ascii="仿宋" w:hAnsi="仿宋" w:eastAsia="仿宋" w:cs="Times New Roman"/>
          <w:spacing w:val="-4"/>
          <w:kern w:val="0"/>
          <w:sz w:val="28"/>
          <w:szCs w:val="28"/>
        </w:rPr>
        <w:t>至2025年，基础地质调查水平持续提升，服务领域大幅拓展，地 质科学研究取得新成果、地质资料社会化服务水平进一步提升；找矿取得新突破，矿产资源安全保障能力进一步提高；大中型矿山比例持续提高，矿山结构进一步优化；矿产资源开发利用水平明显提高；</w:t>
      </w:r>
      <w:r>
        <w:rPr>
          <w:rFonts w:hint="eastAsia" w:ascii="仿宋" w:hAnsi="仿宋" w:eastAsia="仿宋" w:cs="Times New Roman"/>
          <w:spacing w:val="-4"/>
          <w:kern w:val="0"/>
          <w:sz w:val="28"/>
          <w:szCs w:val="28"/>
        </w:rPr>
        <w:t>绿色勘查与</w:t>
      </w:r>
      <w:r>
        <w:rPr>
          <w:rFonts w:ascii="仿宋" w:hAnsi="仿宋" w:eastAsia="仿宋" w:cs="Times New Roman"/>
          <w:spacing w:val="-4"/>
          <w:kern w:val="0"/>
          <w:sz w:val="28"/>
          <w:szCs w:val="28"/>
        </w:rPr>
        <w:t>绿色矿山建设</w:t>
      </w:r>
      <w:r>
        <w:rPr>
          <w:rFonts w:hint="eastAsia" w:ascii="仿宋" w:hAnsi="仿宋" w:eastAsia="仿宋" w:cs="Times New Roman"/>
          <w:spacing w:val="-4"/>
          <w:kern w:val="0"/>
          <w:sz w:val="28"/>
          <w:szCs w:val="28"/>
        </w:rPr>
        <w:t>稳步推进</w:t>
      </w:r>
      <w:r>
        <w:rPr>
          <w:rFonts w:ascii="仿宋" w:hAnsi="仿宋" w:eastAsia="仿宋" w:cs="Times New Roman"/>
          <w:spacing w:val="-4"/>
          <w:kern w:val="0"/>
          <w:sz w:val="28"/>
          <w:szCs w:val="28"/>
        </w:rPr>
        <w:t>；矿产资源开发与生态环境保护进一步协调，矿山地质环境状况有效改善，基本实现矿地和谐。</w:t>
      </w:r>
    </w:p>
    <w:p>
      <w:pPr>
        <w:spacing w:line="360" w:lineRule="auto"/>
        <w:ind w:firstLine="544" w:firstLineChars="200"/>
        <w:rPr>
          <w:rFonts w:ascii="仿宋" w:hAnsi="仿宋" w:eastAsia="仿宋" w:cs="Times New Roman"/>
          <w:kern w:val="0"/>
          <w:sz w:val="28"/>
          <w:szCs w:val="28"/>
        </w:rPr>
      </w:pPr>
      <w:r>
        <w:rPr>
          <w:rFonts w:ascii="仿宋" w:hAnsi="仿宋" w:eastAsia="仿宋" w:cs="Times New Roman"/>
          <w:spacing w:val="-4"/>
          <w:kern w:val="0"/>
          <w:sz w:val="28"/>
          <w:szCs w:val="28"/>
        </w:rPr>
        <w:t>在落实和细化上级规划目标与指标的基础上</w:t>
      </w:r>
      <w:r>
        <w:rPr>
          <w:rFonts w:ascii="仿宋" w:hAnsi="仿宋" w:eastAsia="仿宋" w:cs="Times New Roman"/>
          <w:kern w:val="0"/>
          <w:sz w:val="28"/>
          <w:szCs w:val="28"/>
        </w:rPr>
        <w:t>，根据本地的实际，</w:t>
      </w:r>
      <w:r>
        <w:rPr>
          <w:rFonts w:ascii="仿宋" w:hAnsi="仿宋" w:eastAsia="仿宋" w:cs="Times New Roman"/>
          <w:spacing w:val="-4"/>
          <w:kern w:val="0"/>
          <w:sz w:val="28"/>
          <w:szCs w:val="28"/>
        </w:rPr>
        <w:t>制定本行政区域的各项指标</w:t>
      </w:r>
      <w:r>
        <w:rPr>
          <w:rFonts w:ascii="仿宋" w:hAnsi="仿宋" w:eastAsia="仿宋" w:cs="Times New Roman"/>
          <w:kern w:val="0"/>
          <w:sz w:val="28"/>
          <w:szCs w:val="28"/>
        </w:rPr>
        <w:t>，具体</w:t>
      </w:r>
      <w:r>
        <w:rPr>
          <w:rFonts w:hint="eastAsia" w:ascii="仿宋" w:hAnsi="仿宋" w:eastAsia="仿宋" w:cs="Times New Roman"/>
          <w:kern w:val="0"/>
          <w:sz w:val="28"/>
          <w:szCs w:val="28"/>
        </w:rPr>
        <w:t>见专栏3</w:t>
      </w:r>
      <w:r>
        <w:rPr>
          <w:rFonts w:ascii="仿宋" w:hAnsi="仿宋" w:eastAsia="仿宋" w:cs="Times New Roman"/>
          <w:kern w:val="0"/>
          <w:sz w:val="28"/>
          <w:szCs w:val="28"/>
        </w:rPr>
        <w:t>-1</w:t>
      </w:r>
      <w:r>
        <w:rPr>
          <w:rFonts w:hint="eastAsia" w:ascii="仿宋" w:hAnsi="仿宋" w:eastAsia="仿宋" w:cs="Times New Roman"/>
          <w:kern w:val="0"/>
          <w:sz w:val="28"/>
          <w:szCs w:val="28"/>
        </w:rPr>
        <w:t>。</w:t>
      </w:r>
    </w:p>
    <w:tbl>
      <w:tblPr>
        <w:tblStyle w:val="12"/>
        <w:tblW w:w="5000" w:type="pct"/>
        <w:tblInd w:w="0" w:type="dxa"/>
        <w:tblLayout w:type="autofit"/>
        <w:tblCellMar>
          <w:top w:w="0" w:type="dxa"/>
          <w:left w:w="108" w:type="dxa"/>
          <w:bottom w:w="0" w:type="dxa"/>
          <w:right w:w="108" w:type="dxa"/>
        </w:tblCellMar>
      </w:tblPr>
      <w:tblGrid>
        <w:gridCol w:w="1304"/>
        <w:gridCol w:w="1312"/>
        <w:gridCol w:w="2038"/>
        <w:gridCol w:w="1457"/>
        <w:gridCol w:w="1164"/>
        <w:gridCol w:w="1247"/>
      </w:tblGrid>
      <w:tr>
        <w:tblPrEx>
          <w:tblCellMar>
            <w:top w:w="0" w:type="dxa"/>
            <w:left w:w="108" w:type="dxa"/>
            <w:bottom w:w="0" w:type="dxa"/>
            <w:right w:w="108" w:type="dxa"/>
          </w:tblCellMar>
        </w:tblPrEx>
        <w:trPr>
          <w:trHeight w:val="397" w:hRule="exact"/>
        </w:trPr>
        <w:tc>
          <w:tcPr>
            <w:tcW w:w="5000" w:type="pct"/>
            <w:gridSpan w:val="6"/>
            <w:tcBorders>
              <w:top w:val="single" w:color="auto" w:sz="4" w:space="0"/>
              <w:left w:val="single" w:color="auto" w:sz="4" w:space="0"/>
              <w:bottom w:val="single" w:color="auto" w:sz="4" w:space="0"/>
              <w:right w:val="single" w:color="auto" w:sz="4" w:space="0"/>
            </w:tcBorders>
            <w:shd w:val="clear" w:color="000000" w:fill="99CC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专栏</w:t>
            </w:r>
            <w:r>
              <w:rPr>
                <w:rFonts w:hint="eastAsia" w:ascii="Times New Roman" w:hAnsi="Times New Roman" w:eastAsia="仿宋_GB2312" w:cs="Times New Roman"/>
                <w:b/>
                <w:bCs/>
                <w:color w:val="000000"/>
                <w:kern w:val="0"/>
                <w:sz w:val="24"/>
                <w:szCs w:val="24"/>
              </w:rPr>
              <w:t>3</w:t>
            </w:r>
            <w:r>
              <w:rPr>
                <w:rFonts w:ascii="Times New Roman" w:hAnsi="Times New Roman" w:eastAsia="仿宋_GB2312" w:cs="Times New Roman"/>
                <w:b/>
                <w:bCs/>
                <w:color w:val="000000"/>
                <w:kern w:val="0"/>
                <w:sz w:val="24"/>
                <w:szCs w:val="24"/>
              </w:rPr>
              <w:t xml:space="preserve">-1  </w:t>
            </w:r>
            <w:r>
              <w:rPr>
                <w:rFonts w:hint="eastAsia" w:ascii="Times New Roman" w:hAnsi="Times New Roman" w:eastAsia="仿宋_GB2312" w:cs="Times New Roman"/>
                <w:b/>
                <w:bCs/>
                <w:color w:val="000000"/>
                <w:kern w:val="0"/>
                <w:sz w:val="24"/>
                <w:szCs w:val="24"/>
              </w:rPr>
              <w:t>南昌</w:t>
            </w:r>
            <w:r>
              <w:rPr>
                <w:rFonts w:ascii="Times New Roman" w:hAnsi="Times New Roman" w:eastAsia="仿宋_GB2312" w:cs="Times New Roman"/>
                <w:b/>
                <w:bCs/>
                <w:color w:val="000000"/>
                <w:kern w:val="0"/>
                <w:sz w:val="24"/>
                <w:szCs w:val="24"/>
              </w:rPr>
              <w:t>市矿产资源总体规划指标</w:t>
            </w:r>
          </w:p>
        </w:tc>
      </w:tr>
      <w:tr>
        <w:tblPrEx>
          <w:tblCellMar>
            <w:top w:w="0" w:type="dxa"/>
            <w:left w:w="108" w:type="dxa"/>
            <w:bottom w:w="0" w:type="dxa"/>
            <w:right w:w="108" w:type="dxa"/>
          </w:tblCellMar>
        </w:tblPrEx>
        <w:trPr>
          <w:trHeight w:val="397" w:hRule="exact"/>
        </w:trPr>
        <w:tc>
          <w:tcPr>
            <w:tcW w:w="765" w:type="pct"/>
            <w:tcBorders>
              <w:top w:val="nil"/>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类别</w:t>
            </w:r>
          </w:p>
        </w:tc>
        <w:tc>
          <w:tcPr>
            <w:tcW w:w="1966" w:type="pct"/>
            <w:gridSpan w:val="2"/>
            <w:tcBorders>
              <w:top w:val="single" w:color="auto" w:sz="4" w:space="0"/>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指标名称</w:t>
            </w:r>
          </w:p>
        </w:tc>
        <w:tc>
          <w:tcPr>
            <w:tcW w:w="855"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单位</w:t>
            </w:r>
          </w:p>
        </w:tc>
        <w:tc>
          <w:tcPr>
            <w:tcW w:w="683"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2025年</w:t>
            </w:r>
          </w:p>
        </w:tc>
        <w:tc>
          <w:tcPr>
            <w:tcW w:w="731"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指标属性</w:t>
            </w:r>
          </w:p>
        </w:tc>
      </w:tr>
      <w:tr>
        <w:tblPrEx>
          <w:tblCellMar>
            <w:top w:w="0" w:type="dxa"/>
            <w:left w:w="108" w:type="dxa"/>
            <w:bottom w:w="0" w:type="dxa"/>
            <w:right w:w="108" w:type="dxa"/>
          </w:tblCellMar>
        </w:tblPrEx>
        <w:trPr>
          <w:trHeight w:val="397" w:hRule="exact"/>
        </w:trPr>
        <w:tc>
          <w:tcPr>
            <w:tcW w:w="765" w:type="pct"/>
            <w:vMerge w:val="restart"/>
            <w:tcBorders>
              <w:top w:val="nil"/>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矿业经济</w:t>
            </w:r>
          </w:p>
        </w:tc>
        <w:tc>
          <w:tcPr>
            <w:tcW w:w="1966" w:type="pct"/>
            <w:gridSpan w:val="2"/>
            <w:tcBorders>
              <w:top w:val="single" w:color="auto" w:sz="4" w:space="0"/>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矿业及其延伸产业总产值</w:t>
            </w:r>
          </w:p>
        </w:tc>
        <w:tc>
          <w:tcPr>
            <w:tcW w:w="855"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亿元</w:t>
            </w:r>
          </w:p>
        </w:tc>
        <w:tc>
          <w:tcPr>
            <w:tcW w:w="683"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1155</w:t>
            </w:r>
          </w:p>
        </w:tc>
        <w:tc>
          <w:tcPr>
            <w:tcW w:w="731" w:type="pct"/>
            <w:vMerge w:val="restart"/>
            <w:tcBorders>
              <w:top w:val="nil"/>
              <w:left w:val="nil"/>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预期性</w:t>
            </w:r>
          </w:p>
        </w:tc>
      </w:tr>
      <w:tr>
        <w:tblPrEx>
          <w:tblCellMar>
            <w:top w:w="0" w:type="dxa"/>
            <w:left w:w="108" w:type="dxa"/>
            <w:bottom w:w="0" w:type="dxa"/>
            <w:right w:w="108" w:type="dxa"/>
          </w:tblCellMar>
        </w:tblPrEx>
        <w:trPr>
          <w:trHeight w:val="397" w:hRule="exact"/>
        </w:trPr>
        <w:tc>
          <w:tcPr>
            <w:tcW w:w="76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70"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其中</w:t>
            </w:r>
          </w:p>
        </w:tc>
        <w:tc>
          <w:tcPr>
            <w:tcW w:w="1196" w:type="pct"/>
            <w:tcBorders>
              <w:top w:val="nil"/>
              <w:left w:val="nil"/>
              <w:bottom w:val="single" w:color="auto" w:sz="4" w:space="0"/>
              <w:right w:val="single" w:color="auto" w:sz="4" w:space="0"/>
            </w:tcBorders>
            <w:shd w:val="clear" w:color="000000" w:fill="CCFFFF"/>
            <w:vAlign w:val="center"/>
          </w:tcPr>
          <w:p>
            <w:pPr>
              <w:widowControl/>
              <w:jc w:val="lef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 xml:space="preserve">矿业产值 </w:t>
            </w:r>
          </w:p>
        </w:tc>
        <w:tc>
          <w:tcPr>
            <w:tcW w:w="855"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亿元</w:t>
            </w:r>
          </w:p>
        </w:tc>
        <w:tc>
          <w:tcPr>
            <w:tcW w:w="683"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0.4</w:t>
            </w:r>
          </w:p>
        </w:tc>
        <w:tc>
          <w:tcPr>
            <w:tcW w:w="731" w:type="pct"/>
            <w:vMerge w:val="continue"/>
            <w:tcBorders>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p>
        </w:tc>
      </w:tr>
      <w:tr>
        <w:tblPrEx>
          <w:tblCellMar>
            <w:top w:w="0" w:type="dxa"/>
            <w:left w:w="108" w:type="dxa"/>
            <w:bottom w:w="0" w:type="dxa"/>
            <w:right w:w="108" w:type="dxa"/>
          </w:tblCellMar>
        </w:tblPrEx>
        <w:trPr>
          <w:trHeight w:val="397" w:hRule="exact"/>
        </w:trPr>
        <w:tc>
          <w:tcPr>
            <w:tcW w:w="765" w:type="pct"/>
            <w:vMerge w:val="restart"/>
            <w:tcBorders>
              <w:top w:val="nil"/>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矿产资源勘查</w:t>
            </w:r>
          </w:p>
        </w:tc>
        <w:tc>
          <w:tcPr>
            <w:tcW w:w="1966" w:type="pct"/>
            <w:gridSpan w:val="2"/>
            <w:tcBorders>
              <w:top w:val="single" w:color="auto" w:sz="4" w:space="0"/>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新发现大中型矿产地</w:t>
            </w:r>
          </w:p>
        </w:tc>
        <w:tc>
          <w:tcPr>
            <w:tcW w:w="855"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处</w:t>
            </w:r>
          </w:p>
        </w:tc>
        <w:tc>
          <w:tcPr>
            <w:tcW w:w="683"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[1]</w:t>
            </w:r>
          </w:p>
        </w:tc>
        <w:tc>
          <w:tcPr>
            <w:tcW w:w="731"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预期性</w:t>
            </w:r>
          </w:p>
        </w:tc>
      </w:tr>
      <w:tr>
        <w:tblPrEx>
          <w:tblCellMar>
            <w:top w:w="0" w:type="dxa"/>
            <w:left w:w="108" w:type="dxa"/>
            <w:bottom w:w="0" w:type="dxa"/>
            <w:right w:w="108" w:type="dxa"/>
          </w:tblCellMar>
        </w:tblPrEx>
        <w:trPr>
          <w:trHeight w:val="397" w:hRule="exact"/>
        </w:trPr>
        <w:tc>
          <w:tcPr>
            <w:tcW w:w="76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70" w:type="pct"/>
            <w:vMerge w:val="restart"/>
            <w:tcBorders>
              <w:top w:val="nil"/>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新增</w:t>
            </w:r>
          </w:p>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资源量</w:t>
            </w:r>
          </w:p>
        </w:tc>
        <w:tc>
          <w:tcPr>
            <w:tcW w:w="119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建筑石料用灰岩</w:t>
            </w:r>
          </w:p>
        </w:tc>
        <w:tc>
          <w:tcPr>
            <w:tcW w:w="85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矿石万吨</w:t>
            </w:r>
          </w:p>
        </w:tc>
        <w:tc>
          <w:tcPr>
            <w:tcW w:w="683"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500</w:t>
            </w:r>
          </w:p>
        </w:tc>
        <w:tc>
          <w:tcPr>
            <w:tcW w:w="731" w:type="pct"/>
            <w:vMerge w:val="restart"/>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预期性</w:t>
            </w:r>
          </w:p>
        </w:tc>
      </w:tr>
      <w:tr>
        <w:tblPrEx>
          <w:tblCellMar>
            <w:top w:w="0" w:type="dxa"/>
            <w:left w:w="108" w:type="dxa"/>
            <w:bottom w:w="0" w:type="dxa"/>
            <w:right w:w="108" w:type="dxa"/>
          </w:tblCellMar>
        </w:tblPrEx>
        <w:trPr>
          <w:trHeight w:val="397" w:hRule="exact"/>
        </w:trPr>
        <w:tc>
          <w:tcPr>
            <w:tcW w:w="76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19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砖瓦用页岩</w:t>
            </w:r>
          </w:p>
        </w:tc>
        <w:tc>
          <w:tcPr>
            <w:tcW w:w="85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矿石万吨</w:t>
            </w:r>
          </w:p>
        </w:tc>
        <w:tc>
          <w:tcPr>
            <w:tcW w:w="683"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60</w:t>
            </w:r>
          </w:p>
        </w:tc>
        <w:tc>
          <w:tcPr>
            <w:tcW w:w="731" w:type="pct"/>
            <w:vMerge w:val="continue"/>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p>
        </w:tc>
      </w:tr>
      <w:tr>
        <w:tblPrEx>
          <w:tblCellMar>
            <w:top w:w="0" w:type="dxa"/>
            <w:left w:w="108" w:type="dxa"/>
            <w:bottom w:w="0" w:type="dxa"/>
            <w:right w:w="108" w:type="dxa"/>
          </w:tblCellMar>
        </w:tblPrEx>
        <w:trPr>
          <w:trHeight w:val="397" w:hRule="exact"/>
        </w:trPr>
        <w:tc>
          <w:tcPr>
            <w:tcW w:w="76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19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w:t>
            </w:r>
          </w:p>
        </w:tc>
        <w:tc>
          <w:tcPr>
            <w:tcW w:w="85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立方米/日</w:t>
            </w:r>
          </w:p>
        </w:tc>
        <w:tc>
          <w:tcPr>
            <w:tcW w:w="683" w:type="pct"/>
            <w:tcBorders>
              <w:top w:val="nil"/>
              <w:left w:val="nil"/>
              <w:bottom w:val="single" w:color="auto" w:sz="4" w:space="0"/>
              <w:right w:val="single" w:color="auto" w:sz="4" w:space="0"/>
            </w:tcBorders>
            <w:shd w:val="clear" w:color="000000" w:fill="CCFFFF"/>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3000</w:t>
            </w:r>
          </w:p>
        </w:tc>
        <w:tc>
          <w:tcPr>
            <w:tcW w:w="731" w:type="pct"/>
            <w:vMerge w:val="continue"/>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p>
        </w:tc>
      </w:tr>
      <w:tr>
        <w:tblPrEx>
          <w:tblCellMar>
            <w:top w:w="0" w:type="dxa"/>
            <w:left w:w="108" w:type="dxa"/>
            <w:bottom w:w="0" w:type="dxa"/>
            <w:right w:w="108" w:type="dxa"/>
          </w:tblCellMar>
        </w:tblPrEx>
        <w:trPr>
          <w:trHeight w:val="397" w:hRule="exact"/>
        </w:trPr>
        <w:tc>
          <w:tcPr>
            <w:tcW w:w="76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19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矿泉水</w:t>
            </w:r>
          </w:p>
        </w:tc>
        <w:tc>
          <w:tcPr>
            <w:tcW w:w="85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立方米/日</w:t>
            </w:r>
          </w:p>
        </w:tc>
        <w:tc>
          <w:tcPr>
            <w:tcW w:w="683" w:type="pct"/>
            <w:tcBorders>
              <w:top w:val="nil"/>
              <w:left w:val="nil"/>
              <w:bottom w:val="single" w:color="auto" w:sz="4" w:space="0"/>
              <w:right w:val="single" w:color="auto" w:sz="4" w:space="0"/>
            </w:tcBorders>
            <w:shd w:val="clear" w:color="000000" w:fill="CCFFFF"/>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1000</w:t>
            </w:r>
          </w:p>
        </w:tc>
        <w:tc>
          <w:tcPr>
            <w:tcW w:w="731" w:type="pct"/>
            <w:vMerge w:val="continue"/>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p>
        </w:tc>
      </w:tr>
      <w:tr>
        <w:tblPrEx>
          <w:tblCellMar>
            <w:top w:w="0" w:type="dxa"/>
            <w:left w:w="108" w:type="dxa"/>
            <w:bottom w:w="0" w:type="dxa"/>
            <w:right w:w="108" w:type="dxa"/>
          </w:tblCellMar>
        </w:tblPrEx>
        <w:trPr>
          <w:trHeight w:val="397" w:hRule="exact"/>
        </w:trPr>
        <w:tc>
          <w:tcPr>
            <w:tcW w:w="765" w:type="pct"/>
            <w:vMerge w:val="restart"/>
            <w:tcBorders>
              <w:top w:val="nil"/>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矿产资源开发利用与保护</w:t>
            </w:r>
          </w:p>
        </w:tc>
        <w:tc>
          <w:tcPr>
            <w:tcW w:w="770" w:type="pct"/>
            <w:vMerge w:val="restart"/>
            <w:tcBorders>
              <w:top w:val="single" w:color="auto" w:sz="4" w:space="0"/>
              <w:left w:val="nil"/>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开采总量</w:t>
            </w:r>
          </w:p>
        </w:tc>
        <w:tc>
          <w:tcPr>
            <w:tcW w:w="1196" w:type="pct"/>
            <w:tcBorders>
              <w:top w:val="single" w:color="auto" w:sz="4" w:space="0"/>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固体矿产</w:t>
            </w:r>
          </w:p>
        </w:tc>
        <w:tc>
          <w:tcPr>
            <w:tcW w:w="855"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矿石 万吨</w:t>
            </w:r>
          </w:p>
        </w:tc>
        <w:tc>
          <w:tcPr>
            <w:tcW w:w="683"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300</w:t>
            </w:r>
          </w:p>
        </w:tc>
        <w:tc>
          <w:tcPr>
            <w:tcW w:w="731" w:type="pct"/>
            <w:vMerge w:val="restart"/>
            <w:tcBorders>
              <w:top w:val="single" w:color="auto" w:sz="4" w:space="0"/>
              <w:left w:val="nil"/>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预期性</w:t>
            </w:r>
          </w:p>
        </w:tc>
      </w:tr>
      <w:tr>
        <w:tblPrEx>
          <w:tblCellMar>
            <w:top w:w="0" w:type="dxa"/>
            <w:left w:w="108" w:type="dxa"/>
            <w:bottom w:w="0" w:type="dxa"/>
            <w:right w:w="108" w:type="dxa"/>
          </w:tblCellMar>
        </w:tblPrEx>
        <w:trPr>
          <w:trHeight w:val="397" w:hRule="exact"/>
        </w:trPr>
        <w:tc>
          <w:tcPr>
            <w:tcW w:w="765" w:type="pct"/>
            <w:vMerge w:val="continue"/>
            <w:tcBorders>
              <w:top w:val="nil"/>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770" w:type="pct"/>
            <w:vMerge w:val="continue"/>
            <w:tcBorders>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p>
        </w:tc>
        <w:tc>
          <w:tcPr>
            <w:tcW w:w="1196" w:type="pct"/>
            <w:tcBorders>
              <w:top w:val="single" w:color="auto" w:sz="4" w:space="0"/>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水气矿产</w:t>
            </w:r>
          </w:p>
        </w:tc>
        <w:tc>
          <w:tcPr>
            <w:tcW w:w="855"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流量万吨</w:t>
            </w:r>
          </w:p>
        </w:tc>
        <w:tc>
          <w:tcPr>
            <w:tcW w:w="683"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2</w:t>
            </w:r>
            <w:r>
              <w:rPr>
                <w:rFonts w:ascii="Times New Roman" w:hAnsi="Times New Roman" w:eastAsia="仿宋_GB2312" w:cs="Times New Roman"/>
                <w:color w:val="000000"/>
                <w:kern w:val="0"/>
                <w:sz w:val="24"/>
                <w:szCs w:val="24"/>
              </w:rPr>
              <w:t>10</w:t>
            </w:r>
          </w:p>
        </w:tc>
        <w:tc>
          <w:tcPr>
            <w:tcW w:w="731" w:type="pct"/>
            <w:vMerge w:val="continue"/>
            <w:tcBorders>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p>
        </w:tc>
      </w:tr>
      <w:tr>
        <w:tblPrEx>
          <w:tblCellMar>
            <w:top w:w="0" w:type="dxa"/>
            <w:left w:w="108" w:type="dxa"/>
            <w:bottom w:w="0" w:type="dxa"/>
            <w:right w:w="108" w:type="dxa"/>
          </w:tblCellMar>
        </w:tblPrEx>
        <w:trPr>
          <w:trHeight w:val="397" w:hRule="exact"/>
        </w:trPr>
        <w:tc>
          <w:tcPr>
            <w:tcW w:w="76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70" w:type="pct"/>
            <w:vMerge w:val="restart"/>
            <w:tcBorders>
              <w:top w:val="nil"/>
              <w:left w:val="single" w:color="auto" w:sz="4" w:space="0"/>
              <w:bottom w:val="single" w:color="000000"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主要矿种</w:t>
            </w:r>
          </w:p>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开采总量</w:t>
            </w:r>
          </w:p>
        </w:tc>
        <w:tc>
          <w:tcPr>
            <w:tcW w:w="119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建筑用石料</w:t>
            </w:r>
          </w:p>
        </w:tc>
        <w:tc>
          <w:tcPr>
            <w:tcW w:w="85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矿石万吨</w:t>
            </w:r>
          </w:p>
        </w:tc>
        <w:tc>
          <w:tcPr>
            <w:tcW w:w="683"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 w:cs="Times New Roman"/>
              </w:rPr>
            </w:pPr>
            <w:r>
              <w:rPr>
                <w:rFonts w:ascii="Times New Roman" w:hAnsi="Times New Roman" w:eastAsia="仿宋" w:cs="Times New Roman"/>
              </w:rPr>
              <w:t>230</w:t>
            </w:r>
          </w:p>
        </w:tc>
        <w:tc>
          <w:tcPr>
            <w:tcW w:w="731" w:type="pct"/>
            <w:vMerge w:val="restart"/>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预期性</w:t>
            </w:r>
          </w:p>
        </w:tc>
      </w:tr>
      <w:tr>
        <w:tblPrEx>
          <w:tblCellMar>
            <w:top w:w="0" w:type="dxa"/>
            <w:left w:w="108" w:type="dxa"/>
            <w:bottom w:w="0" w:type="dxa"/>
            <w:right w:w="108" w:type="dxa"/>
          </w:tblCellMar>
        </w:tblPrEx>
        <w:trPr>
          <w:trHeight w:val="397" w:hRule="exact"/>
        </w:trPr>
        <w:tc>
          <w:tcPr>
            <w:tcW w:w="76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70"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19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砖瓦用页岩</w:t>
            </w:r>
          </w:p>
        </w:tc>
        <w:tc>
          <w:tcPr>
            <w:tcW w:w="85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矿石万吨</w:t>
            </w:r>
          </w:p>
        </w:tc>
        <w:tc>
          <w:tcPr>
            <w:tcW w:w="683"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 w:cs="Times New Roman"/>
              </w:rPr>
            </w:pPr>
            <w:r>
              <w:rPr>
                <w:rFonts w:ascii="Times New Roman" w:hAnsi="Times New Roman" w:eastAsia="仿宋" w:cs="Times New Roman"/>
              </w:rPr>
              <w:t>70</w:t>
            </w:r>
          </w:p>
        </w:tc>
        <w:tc>
          <w:tcPr>
            <w:tcW w:w="731" w:type="pct"/>
            <w:vMerge w:val="continue"/>
            <w:tcBorders>
              <w:top w:val="single" w:color="auto" w:sz="4" w:space="0"/>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color w:val="000000"/>
                <w:kern w:val="0"/>
                <w:sz w:val="24"/>
                <w:szCs w:val="24"/>
              </w:rPr>
            </w:pPr>
          </w:p>
        </w:tc>
      </w:tr>
      <w:tr>
        <w:tblPrEx>
          <w:tblCellMar>
            <w:top w:w="0" w:type="dxa"/>
            <w:left w:w="108" w:type="dxa"/>
            <w:bottom w:w="0" w:type="dxa"/>
            <w:right w:w="108" w:type="dxa"/>
          </w:tblCellMar>
        </w:tblPrEx>
        <w:trPr>
          <w:trHeight w:val="397" w:hRule="exact"/>
        </w:trPr>
        <w:tc>
          <w:tcPr>
            <w:tcW w:w="76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70"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19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w:t>
            </w:r>
          </w:p>
        </w:tc>
        <w:tc>
          <w:tcPr>
            <w:tcW w:w="85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 w:cs="Times New Roman"/>
              </w:rPr>
            </w:pPr>
            <w:r>
              <w:rPr>
                <w:rFonts w:ascii="Times New Roman" w:hAnsi="Times New Roman" w:eastAsia="仿宋" w:cs="Times New Roman"/>
                <w:szCs w:val="21"/>
              </w:rPr>
              <w:t>流量万吨</w:t>
            </w:r>
          </w:p>
        </w:tc>
        <w:tc>
          <w:tcPr>
            <w:tcW w:w="683"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 w:cs="Times New Roman"/>
              </w:rPr>
            </w:pPr>
            <w:r>
              <w:rPr>
                <w:rFonts w:ascii="Times New Roman" w:hAnsi="Times New Roman" w:eastAsia="仿宋" w:cs="Times New Roman"/>
              </w:rPr>
              <w:t>200</w:t>
            </w:r>
          </w:p>
        </w:tc>
        <w:tc>
          <w:tcPr>
            <w:tcW w:w="731" w:type="pct"/>
            <w:vMerge w:val="continue"/>
            <w:tcBorders>
              <w:top w:val="single" w:color="auto" w:sz="4" w:space="0"/>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color w:val="000000"/>
                <w:kern w:val="0"/>
                <w:sz w:val="24"/>
                <w:szCs w:val="24"/>
              </w:rPr>
            </w:pPr>
          </w:p>
        </w:tc>
      </w:tr>
      <w:tr>
        <w:tblPrEx>
          <w:tblCellMar>
            <w:top w:w="0" w:type="dxa"/>
            <w:left w:w="108" w:type="dxa"/>
            <w:bottom w:w="0" w:type="dxa"/>
            <w:right w:w="108" w:type="dxa"/>
          </w:tblCellMar>
        </w:tblPrEx>
        <w:trPr>
          <w:trHeight w:val="397" w:hRule="exact"/>
        </w:trPr>
        <w:tc>
          <w:tcPr>
            <w:tcW w:w="76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770"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19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矿泉水</w:t>
            </w:r>
          </w:p>
        </w:tc>
        <w:tc>
          <w:tcPr>
            <w:tcW w:w="85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 w:cs="Times New Roman"/>
              </w:rPr>
            </w:pPr>
            <w:r>
              <w:rPr>
                <w:rFonts w:ascii="Times New Roman" w:hAnsi="Times New Roman" w:eastAsia="仿宋" w:cs="Times New Roman"/>
                <w:szCs w:val="21"/>
              </w:rPr>
              <w:t>流量万吨</w:t>
            </w:r>
          </w:p>
        </w:tc>
        <w:tc>
          <w:tcPr>
            <w:tcW w:w="683"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 w:cs="Times New Roman"/>
              </w:rPr>
            </w:pPr>
            <w:r>
              <w:rPr>
                <w:rFonts w:ascii="Times New Roman" w:hAnsi="Times New Roman" w:eastAsia="仿宋" w:cs="Times New Roman"/>
              </w:rPr>
              <w:t>10</w:t>
            </w:r>
          </w:p>
        </w:tc>
        <w:tc>
          <w:tcPr>
            <w:tcW w:w="731" w:type="pct"/>
            <w:vMerge w:val="continue"/>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p>
        </w:tc>
      </w:tr>
      <w:tr>
        <w:tblPrEx>
          <w:tblCellMar>
            <w:top w:w="0" w:type="dxa"/>
            <w:left w:w="108" w:type="dxa"/>
            <w:bottom w:w="0" w:type="dxa"/>
            <w:right w:w="108" w:type="dxa"/>
          </w:tblCellMar>
        </w:tblPrEx>
        <w:trPr>
          <w:trHeight w:val="397" w:hRule="exact"/>
        </w:trPr>
        <w:tc>
          <w:tcPr>
            <w:tcW w:w="765" w:type="pct"/>
            <w:vMerge w:val="restart"/>
            <w:tcBorders>
              <w:top w:val="nil"/>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矿业结构优化</w:t>
            </w:r>
          </w:p>
        </w:tc>
        <w:tc>
          <w:tcPr>
            <w:tcW w:w="1966" w:type="pct"/>
            <w:gridSpan w:val="2"/>
            <w:tcBorders>
              <w:top w:val="single" w:color="auto" w:sz="4" w:space="0"/>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矿山数量</w:t>
            </w:r>
          </w:p>
        </w:tc>
        <w:tc>
          <w:tcPr>
            <w:tcW w:w="855"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个</w:t>
            </w:r>
          </w:p>
        </w:tc>
        <w:tc>
          <w:tcPr>
            <w:tcW w:w="683"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16</w:t>
            </w:r>
          </w:p>
        </w:tc>
        <w:tc>
          <w:tcPr>
            <w:tcW w:w="731"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预期性</w:t>
            </w:r>
          </w:p>
        </w:tc>
      </w:tr>
      <w:tr>
        <w:tblPrEx>
          <w:tblCellMar>
            <w:top w:w="0" w:type="dxa"/>
            <w:left w:w="108" w:type="dxa"/>
            <w:bottom w:w="0" w:type="dxa"/>
            <w:right w:w="108" w:type="dxa"/>
          </w:tblCellMar>
        </w:tblPrEx>
        <w:trPr>
          <w:trHeight w:val="397" w:hRule="exact"/>
        </w:trPr>
        <w:tc>
          <w:tcPr>
            <w:tcW w:w="76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 w:val="24"/>
                <w:szCs w:val="24"/>
              </w:rPr>
            </w:pPr>
          </w:p>
        </w:tc>
        <w:tc>
          <w:tcPr>
            <w:tcW w:w="1966" w:type="pct"/>
            <w:gridSpan w:val="2"/>
            <w:tcBorders>
              <w:top w:val="single" w:color="auto" w:sz="4" w:space="0"/>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大中型矿山比例</w:t>
            </w:r>
          </w:p>
        </w:tc>
        <w:tc>
          <w:tcPr>
            <w:tcW w:w="855"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w:t>
            </w:r>
          </w:p>
        </w:tc>
        <w:tc>
          <w:tcPr>
            <w:tcW w:w="683"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69</w:t>
            </w:r>
          </w:p>
        </w:tc>
        <w:tc>
          <w:tcPr>
            <w:tcW w:w="731"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预期性</w:t>
            </w:r>
          </w:p>
        </w:tc>
      </w:tr>
    </w:tbl>
    <w:p>
      <w:pPr>
        <w:spacing w:before="156" w:beforeLines="50" w:after="156" w:afterLines="50" w:line="360" w:lineRule="auto"/>
        <w:jc w:val="center"/>
        <w:outlineLvl w:val="1"/>
        <w:rPr>
          <w:rFonts w:ascii="仿宋_GB2312" w:hAnsi="仿宋" w:eastAsia="仿宋_GB2312" w:cs="Times New Roman"/>
          <w:b/>
          <w:kern w:val="0"/>
          <w:sz w:val="30"/>
          <w:szCs w:val="30"/>
        </w:rPr>
      </w:pPr>
      <w:bookmarkStart w:id="27" w:name="_Toc104389941"/>
      <w:r>
        <w:rPr>
          <w:rFonts w:hint="eastAsia" w:ascii="Times New Roman" w:hAnsi="Times New Roman" w:eastAsia="仿宋_GB2312" w:cs="Times New Roman"/>
          <w:b/>
          <w:kern w:val="0"/>
          <w:sz w:val="32"/>
        </w:rPr>
        <w:t xml:space="preserve">第二节 </w:t>
      </w:r>
      <w:r>
        <w:rPr>
          <w:rFonts w:ascii="Times New Roman" w:hAnsi="Times New Roman" w:eastAsia="仿宋_GB2312" w:cs="Times New Roman"/>
          <w:b/>
          <w:kern w:val="0"/>
          <w:sz w:val="32"/>
        </w:rPr>
        <w:t xml:space="preserve"> 2035年展望</w:t>
      </w:r>
      <w:bookmarkEnd w:id="27"/>
    </w:p>
    <w:p>
      <w:pPr>
        <w:spacing w:line="360" w:lineRule="auto"/>
        <w:ind w:firstLine="560" w:firstLineChars="200"/>
        <w:rPr>
          <w:rFonts w:ascii="仿宋_GB2312" w:hAnsi="Calibri" w:eastAsia="仿宋_GB2312" w:cs="Times New Roman"/>
          <w:b/>
          <w:kern w:val="0"/>
          <w:sz w:val="44"/>
        </w:rPr>
      </w:pPr>
      <w:r>
        <w:rPr>
          <w:rFonts w:hint="eastAsia" w:ascii="仿宋" w:hAnsi="仿宋" w:eastAsia="仿宋" w:cs="Times New Roman"/>
          <w:kern w:val="0"/>
          <w:sz w:val="28"/>
          <w:szCs w:val="28"/>
        </w:rPr>
        <w:t>地质服务能力</w:t>
      </w:r>
      <w:r>
        <w:rPr>
          <w:rFonts w:ascii="仿宋" w:hAnsi="仿宋" w:eastAsia="仿宋" w:cs="Times New Roman"/>
          <w:kern w:val="0"/>
          <w:sz w:val="28"/>
          <w:szCs w:val="28"/>
        </w:rPr>
        <w:t>持续提升，服务领域进一步拓展；地质找矿突破取得新成果，矿产资源保障能力进一步提高；矿产资源绿色开发与生态环境保护协调统一，基本实现矿业绿色发展；矿产资源开发利用结构和布局得到进一步优化</w:t>
      </w:r>
      <w:r>
        <w:rPr>
          <w:rFonts w:hint="eastAsia" w:ascii="仿宋" w:hAnsi="仿宋" w:eastAsia="仿宋" w:cs="Times New Roman"/>
          <w:kern w:val="0"/>
          <w:sz w:val="28"/>
          <w:szCs w:val="28"/>
        </w:rPr>
        <w:t>，矿业经济迈入高质量发展阶段</w:t>
      </w:r>
      <w:r>
        <w:rPr>
          <w:rFonts w:ascii="仿宋" w:hAnsi="仿宋" w:eastAsia="仿宋" w:cs="Times New Roman"/>
          <w:kern w:val="0"/>
          <w:sz w:val="28"/>
          <w:szCs w:val="28"/>
        </w:rPr>
        <w:t>。</w:t>
      </w:r>
      <w:r>
        <w:rPr>
          <w:rFonts w:hint="eastAsia" w:ascii="仿宋" w:hAnsi="仿宋" w:eastAsia="仿宋" w:cs="Times New Roman"/>
          <w:kern w:val="0"/>
          <w:sz w:val="28"/>
          <w:szCs w:val="28"/>
        </w:rPr>
        <w:t>实现</w:t>
      </w:r>
      <w:r>
        <w:rPr>
          <w:rFonts w:ascii="仿宋" w:hAnsi="仿宋" w:eastAsia="仿宋" w:cs="Times New Roman"/>
          <w:kern w:val="0"/>
          <w:sz w:val="28"/>
          <w:szCs w:val="28"/>
          <w:lang w:bidi="zh-CN"/>
        </w:rPr>
        <w:t>矿产资源治理体系、治理能力现代化，矿产资源勘查开发管理水平再上一个新台阶</w:t>
      </w:r>
      <w:r>
        <w:rPr>
          <w:rFonts w:hint="eastAsia" w:ascii="仿宋" w:hAnsi="仿宋" w:eastAsia="仿宋" w:cs="Times New Roman"/>
          <w:kern w:val="0"/>
          <w:sz w:val="28"/>
          <w:szCs w:val="28"/>
        </w:rPr>
        <w:t>。</w:t>
      </w:r>
      <w:r>
        <w:rPr>
          <w:rFonts w:ascii="仿宋_GB2312" w:hAnsi="Calibri" w:eastAsia="仿宋_GB2312" w:cs="Times New Roman"/>
          <w:b/>
          <w:kern w:val="0"/>
          <w:sz w:val="44"/>
        </w:rPr>
        <w:br w:type="page"/>
      </w:r>
    </w:p>
    <w:p>
      <w:pPr>
        <w:spacing w:before="156" w:beforeLines="50" w:after="156" w:afterLines="50" w:line="360" w:lineRule="auto"/>
        <w:jc w:val="center"/>
        <w:outlineLvl w:val="0"/>
        <w:rPr>
          <w:rFonts w:ascii="仿宋_GB2312" w:hAnsi="Calibri" w:eastAsia="仿宋_GB2312" w:cs="Times New Roman"/>
          <w:b/>
          <w:kern w:val="0"/>
          <w:sz w:val="44"/>
        </w:rPr>
      </w:pPr>
      <w:bookmarkStart w:id="28" w:name="_Toc104389942"/>
      <w:r>
        <w:rPr>
          <w:rFonts w:ascii="仿宋_GB2312" w:hAnsi="Calibri" w:eastAsia="仿宋_GB2312" w:cs="Times New Roman"/>
          <w:b/>
          <w:kern w:val="0"/>
          <w:sz w:val="44"/>
        </w:rPr>
        <w:t>第</w:t>
      </w:r>
      <w:r>
        <w:rPr>
          <w:rFonts w:hint="eastAsia" w:ascii="仿宋_GB2312" w:hAnsi="Calibri" w:eastAsia="仿宋_GB2312" w:cs="Times New Roman"/>
          <w:b/>
          <w:kern w:val="0"/>
          <w:sz w:val="44"/>
        </w:rPr>
        <w:t>四</w:t>
      </w:r>
      <w:r>
        <w:rPr>
          <w:rFonts w:ascii="仿宋_GB2312" w:hAnsi="Calibri" w:eastAsia="仿宋_GB2312" w:cs="Times New Roman"/>
          <w:b/>
          <w:kern w:val="0"/>
          <w:sz w:val="44"/>
        </w:rPr>
        <w:t>章</w:t>
      </w:r>
      <w:r>
        <w:rPr>
          <w:rFonts w:hint="eastAsia" w:ascii="仿宋_GB2312" w:hAnsi="Calibri" w:eastAsia="仿宋_GB2312" w:cs="Times New Roman"/>
          <w:b/>
          <w:kern w:val="0"/>
          <w:sz w:val="44"/>
        </w:rPr>
        <w:t xml:space="preserve"> </w:t>
      </w:r>
      <w:r>
        <w:rPr>
          <w:rFonts w:ascii="仿宋_GB2312" w:hAnsi="Calibri" w:eastAsia="仿宋_GB2312" w:cs="Times New Roman"/>
          <w:b/>
          <w:kern w:val="0"/>
          <w:sz w:val="44"/>
        </w:rPr>
        <w:t xml:space="preserve"> </w:t>
      </w:r>
      <w:r>
        <w:rPr>
          <w:rFonts w:hint="eastAsia" w:ascii="仿宋_GB2312" w:hAnsi="Calibri" w:eastAsia="仿宋_GB2312" w:cs="Times New Roman"/>
          <w:b/>
          <w:kern w:val="0"/>
          <w:sz w:val="44"/>
        </w:rPr>
        <w:t>规划</w:t>
      </w:r>
      <w:r>
        <w:rPr>
          <w:rFonts w:ascii="仿宋_GB2312" w:hAnsi="Calibri" w:eastAsia="仿宋_GB2312" w:cs="Times New Roman"/>
          <w:b/>
          <w:kern w:val="0"/>
          <w:sz w:val="44"/>
        </w:rPr>
        <w:t>布局</w:t>
      </w:r>
      <w:bookmarkEnd w:id="28"/>
    </w:p>
    <w:p>
      <w:pPr>
        <w:spacing w:before="156" w:beforeLines="50" w:after="156" w:afterLines="50" w:line="360" w:lineRule="auto"/>
        <w:jc w:val="center"/>
        <w:outlineLvl w:val="1"/>
        <w:rPr>
          <w:rFonts w:ascii="仿宋_GB2312" w:hAnsi="Calibri" w:eastAsia="仿宋_GB2312" w:cs="Times New Roman"/>
          <w:b/>
          <w:kern w:val="0"/>
          <w:sz w:val="32"/>
        </w:rPr>
      </w:pPr>
      <w:bookmarkStart w:id="29" w:name="_Toc104389943"/>
      <w:r>
        <w:rPr>
          <w:rFonts w:ascii="仿宋_GB2312" w:hAnsi="Calibri" w:eastAsia="仿宋_GB2312" w:cs="Times New Roman"/>
          <w:b/>
          <w:kern w:val="0"/>
          <w:sz w:val="32"/>
        </w:rPr>
        <w:t>第一节</w:t>
      </w:r>
      <w:r>
        <w:rPr>
          <w:rFonts w:hint="eastAsia" w:ascii="仿宋_GB2312" w:hAnsi="Calibri" w:eastAsia="仿宋_GB2312" w:cs="Times New Roman"/>
          <w:b/>
          <w:kern w:val="0"/>
          <w:sz w:val="32"/>
        </w:rPr>
        <w:t xml:space="preserve"> </w:t>
      </w:r>
      <w:r>
        <w:rPr>
          <w:rFonts w:ascii="仿宋_GB2312" w:hAnsi="Calibri" w:eastAsia="仿宋_GB2312" w:cs="Times New Roman"/>
          <w:b/>
          <w:kern w:val="0"/>
          <w:sz w:val="32"/>
        </w:rPr>
        <w:t xml:space="preserve"> </w:t>
      </w:r>
      <w:r>
        <w:rPr>
          <w:rFonts w:hint="eastAsia" w:ascii="仿宋_GB2312" w:hAnsi="Calibri" w:eastAsia="仿宋_GB2312" w:cs="Times New Roman"/>
          <w:b/>
          <w:kern w:val="0"/>
          <w:sz w:val="32"/>
        </w:rPr>
        <w:t>矿业发展布局</w:t>
      </w:r>
      <w:bookmarkEnd w:id="29"/>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在省级规划区域综合分区中南昌市位于环鄱阳湖地区，</w:t>
      </w:r>
      <w:r>
        <w:rPr>
          <w:rFonts w:ascii="仿宋" w:hAnsi="仿宋" w:eastAsia="仿宋" w:cs="Times New Roman"/>
          <w:spacing w:val="-4"/>
          <w:kern w:val="0"/>
          <w:sz w:val="28"/>
          <w:szCs w:val="28"/>
        </w:rPr>
        <w:t>区</w:t>
      </w:r>
      <w:r>
        <w:rPr>
          <w:rFonts w:hint="eastAsia" w:ascii="仿宋" w:hAnsi="仿宋" w:eastAsia="仿宋" w:cs="Times New Roman"/>
          <w:spacing w:val="-4"/>
          <w:kern w:val="0"/>
          <w:sz w:val="28"/>
          <w:szCs w:val="28"/>
        </w:rPr>
        <w:t>内是我省技术创新的前沿阵地。规划期内，坚持需求导向，服务地方经济发展原则，主要发展地热（水）等清洁矿产资源。一是依托南昌科研创新平台，产学研相结合，促进我省矿业产业链延伸，提高矿产品技术含量、附加值和竞争力；二是合理发展主要城市集群及旅游区周边地热生态旅游产业，大力推进地热能利用，支撑环鄱阳湖生态旅游圈发展。</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根据南昌市矿产资源禀赋特征、矿产资源开发利用及矿业经济发展现状，结合南昌市国民经济和社会发展“十四五”规划和主体功能区划，围绕南昌“彰显省会担当”的时代使命，以区（县）域范围为基本单位，进行南昌市勘查开发区域综合分区，细分为大昌南地区、湾里地区、进贤地区共三个区进行差别化管理。</w:t>
      </w:r>
    </w:p>
    <w:p>
      <w:pPr>
        <w:spacing w:line="360" w:lineRule="auto"/>
        <w:ind w:firstLine="602" w:firstLineChars="200"/>
        <w:jc w:val="left"/>
        <w:outlineLvl w:val="2"/>
        <w:rPr>
          <w:rFonts w:ascii="Times New Roman" w:hAnsi="Times New Roman" w:eastAsia="仿宋_GB2312" w:cs="Times New Roman"/>
          <w:b/>
          <w:kern w:val="0"/>
          <w:sz w:val="30"/>
          <w:szCs w:val="30"/>
        </w:rPr>
      </w:pPr>
      <w:bookmarkStart w:id="30" w:name="_Toc104389944"/>
      <w:r>
        <w:rPr>
          <w:rFonts w:hint="eastAsia" w:ascii="Times New Roman" w:hAnsi="Times New Roman" w:eastAsia="仿宋_GB2312" w:cs="Times New Roman"/>
          <w:b/>
          <w:kern w:val="0"/>
          <w:sz w:val="30"/>
          <w:szCs w:val="30"/>
        </w:rPr>
        <w:t>一、大昌南地区</w:t>
      </w:r>
      <w:bookmarkEnd w:id="30"/>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大昌南地区包括九龙湖片区、新建区南部、南昌县南部和进贤县北西部。区内地热水、矿泉水等水气矿产资源潜力优势明显</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是我省重要的地热水勘查基地。赣江一江两岸正在开发建设当中，尤其是九龙湖片区定位为智慧型城市副中心、生态型低碳示范新城，可利用生态友好、清洁低碳的地热水资源打造地热温泉居住疗养胜地和生态绿色休闲旅游产业。</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规划期内，区内坚持绿色生态发展道路，以绿色化、生态化、规模化、集约化为方向，推动地热水产业发展，延伸产业链。大力发展地热生态康养产业和矿泉水产业，打造“昌南温泉城”。</w:t>
      </w:r>
      <w:r>
        <w:rPr>
          <w:rFonts w:hint="eastAsia" w:ascii="仿宋" w:hAnsi="仿宋" w:eastAsia="仿宋" w:cs="Times New Roman"/>
          <w:spacing w:val="-4"/>
          <w:sz w:val="28"/>
          <w:szCs w:val="28"/>
        </w:rPr>
        <w:t>积极引导开发利用浅层地温能，为“碳达峰”、“碳中和”目标做出贡献。</w:t>
      </w:r>
    </w:p>
    <w:p>
      <w:pPr>
        <w:spacing w:line="360" w:lineRule="auto"/>
        <w:ind w:firstLine="602" w:firstLineChars="200"/>
        <w:jc w:val="left"/>
        <w:outlineLvl w:val="2"/>
        <w:rPr>
          <w:rFonts w:ascii="Times New Roman" w:hAnsi="Times New Roman" w:eastAsia="仿宋_GB2312" w:cs="Times New Roman"/>
          <w:b/>
          <w:kern w:val="0"/>
          <w:sz w:val="30"/>
          <w:szCs w:val="30"/>
        </w:rPr>
      </w:pPr>
      <w:bookmarkStart w:id="31" w:name="_Toc104389945"/>
      <w:r>
        <w:rPr>
          <w:rFonts w:hint="eastAsia" w:ascii="Times New Roman" w:hAnsi="Times New Roman" w:eastAsia="仿宋_GB2312" w:cs="Times New Roman"/>
          <w:b/>
          <w:kern w:val="0"/>
          <w:sz w:val="30"/>
          <w:szCs w:val="30"/>
        </w:rPr>
        <w:t>二、湾里地区</w:t>
      </w:r>
      <w:bookmarkEnd w:id="31"/>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湾里地区位于南昌市西部梅岭山脉一带。区内矿泉水、旅游地质资源优势明显。</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规划期内，区内坚持绿色生态发展道路，以绿色勘查、绿色开发为引导方向，合理助推矿泉水勘查开发利用。积极调研并助推地质文化村申报建设事宜，助力乡村振兴工作。</w:t>
      </w:r>
    </w:p>
    <w:p>
      <w:pPr>
        <w:spacing w:line="360" w:lineRule="auto"/>
        <w:ind w:firstLine="602" w:firstLineChars="200"/>
        <w:jc w:val="left"/>
        <w:outlineLvl w:val="2"/>
        <w:rPr>
          <w:rFonts w:ascii="Times New Roman" w:hAnsi="Times New Roman" w:eastAsia="仿宋_GB2312" w:cs="Times New Roman"/>
          <w:b/>
          <w:kern w:val="0"/>
          <w:sz w:val="30"/>
          <w:szCs w:val="30"/>
        </w:rPr>
      </w:pPr>
      <w:bookmarkStart w:id="32" w:name="_Toc104389946"/>
      <w:r>
        <w:rPr>
          <w:rFonts w:hint="eastAsia" w:ascii="Times New Roman" w:hAnsi="Times New Roman" w:eastAsia="仿宋_GB2312" w:cs="Times New Roman"/>
          <w:b/>
          <w:kern w:val="0"/>
          <w:sz w:val="30"/>
          <w:szCs w:val="30"/>
        </w:rPr>
        <w:t>三、进贤地区</w:t>
      </w:r>
      <w:bookmarkEnd w:id="32"/>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进贤地区位于南昌市东南部，区内建筑石料用灰岩、砖瓦用页岩资源丰富，地热水、矿泉水、富（含）硒土地资源潜力较大。</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规划期内，区内坚持绿色生态发展道路，以绿色勘查、绿色开发为引导方向，积极引导地热水勘查，合理适度开发利用建筑石料用灰岩、砖瓦用页岩，加大力度开发利用富硒土地，助推进贤地区打造地热温泉疗养胜地和生态绿色休闲旅游产业。</w:t>
      </w:r>
    </w:p>
    <w:p>
      <w:pPr>
        <w:spacing w:before="156" w:beforeLines="50" w:after="156" w:afterLines="50" w:line="360" w:lineRule="auto"/>
        <w:jc w:val="center"/>
        <w:outlineLvl w:val="1"/>
        <w:rPr>
          <w:rFonts w:ascii="仿宋_GB2312" w:hAnsi="Calibri" w:eastAsia="仿宋_GB2312" w:cs="Times New Roman"/>
          <w:b/>
          <w:kern w:val="0"/>
          <w:sz w:val="32"/>
        </w:rPr>
      </w:pPr>
      <w:bookmarkStart w:id="33" w:name="_Toc104389947"/>
      <w:r>
        <w:rPr>
          <w:rFonts w:ascii="仿宋_GB2312" w:hAnsi="Calibri" w:eastAsia="仿宋_GB2312" w:cs="Times New Roman"/>
          <w:b/>
          <w:kern w:val="0"/>
          <w:sz w:val="32"/>
        </w:rPr>
        <w:t>第</w:t>
      </w:r>
      <w:r>
        <w:rPr>
          <w:rFonts w:hint="eastAsia" w:ascii="仿宋_GB2312" w:hAnsi="Calibri" w:eastAsia="仿宋_GB2312" w:cs="Times New Roman"/>
          <w:b/>
          <w:kern w:val="0"/>
          <w:sz w:val="32"/>
        </w:rPr>
        <w:t>二</w:t>
      </w:r>
      <w:r>
        <w:rPr>
          <w:rFonts w:ascii="仿宋_GB2312" w:hAnsi="Calibri" w:eastAsia="仿宋_GB2312" w:cs="Times New Roman"/>
          <w:b/>
          <w:kern w:val="0"/>
          <w:sz w:val="32"/>
        </w:rPr>
        <w:t>节</w:t>
      </w:r>
      <w:r>
        <w:rPr>
          <w:rFonts w:hint="eastAsia" w:ascii="仿宋_GB2312" w:hAnsi="Calibri" w:eastAsia="仿宋_GB2312" w:cs="Times New Roman"/>
          <w:b/>
          <w:kern w:val="0"/>
          <w:sz w:val="32"/>
        </w:rPr>
        <w:t xml:space="preserve"> </w:t>
      </w:r>
      <w:r>
        <w:rPr>
          <w:rFonts w:ascii="仿宋_GB2312" w:hAnsi="Calibri" w:eastAsia="仿宋_GB2312" w:cs="Times New Roman"/>
          <w:b/>
          <w:kern w:val="0"/>
          <w:sz w:val="32"/>
        </w:rPr>
        <w:t xml:space="preserve"> </w:t>
      </w:r>
      <w:r>
        <w:rPr>
          <w:rFonts w:hint="eastAsia" w:ascii="仿宋_GB2312" w:hAnsi="Calibri" w:eastAsia="仿宋_GB2312" w:cs="Times New Roman"/>
          <w:b/>
          <w:kern w:val="0"/>
          <w:sz w:val="32"/>
        </w:rPr>
        <w:t>勘查规划布局</w:t>
      </w:r>
      <w:bookmarkEnd w:id="33"/>
    </w:p>
    <w:p>
      <w:pPr>
        <w:spacing w:line="360" w:lineRule="auto"/>
        <w:ind w:firstLine="544" w:firstLineChars="200"/>
        <w:rPr>
          <w:rFonts w:ascii="仿宋" w:hAnsi="仿宋" w:eastAsia="仿宋" w:cs="Times New Roman"/>
          <w:spacing w:val="-4"/>
          <w:kern w:val="0"/>
          <w:sz w:val="28"/>
          <w:szCs w:val="28"/>
        </w:rPr>
      </w:pPr>
      <w:r>
        <w:rPr>
          <w:rFonts w:ascii="仿宋" w:hAnsi="仿宋" w:eastAsia="仿宋" w:cs="Times New Roman"/>
          <w:spacing w:val="-4"/>
          <w:kern w:val="0"/>
          <w:sz w:val="28"/>
          <w:szCs w:val="28"/>
        </w:rPr>
        <w:t>根据《江西省矿产资源规划（2021--2025年）》要求，结合南昌市区域成矿地质条件、矿产资源潜力和勘查开发利用现状，</w:t>
      </w:r>
      <w:r>
        <w:rPr>
          <w:rFonts w:ascii="Times New Roman" w:hAnsi="Times New Roman" w:eastAsia="仿宋" w:cs="Times New Roman"/>
          <w:sz w:val="28"/>
          <w:szCs w:val="28"/>
        </w:rPr>
        <w:t>综合考虑工业布局和经济发展状况</w:t>
      </w:r>
      <w:r>
        <w:rPr>
          <w:rFonts w:hint="eastAsia" w:ascii="Times New Roman" w:hAnsi="Times New Roman" w:eastAsia="仿宋" w:cs="Times New Roman"/>
          <w:sz w:val="28"/>
          <w:szCs w:val="28"/>
        </w:rPr>
        <w:t>，</w:t>
      </w:r>
      <w:r>
        <w:rPr>
          <w:rFonts w:ascii="仿宋" w:hAnsi="仿宋" w:eastAsia="仿宋" w:cs="Times New Roman"/>
          <w:spacing w:val="-4"/>
          <w:kern w:val="0"/>
          <w:sz w:val="28"/>
          <w:szCs w:val="28"/>
        </w:rPr>
        <w:t>确定本市勘查</w:t>
      </w:r>
      <w:r>
        <w:rPr>
          <w:rFonts w:hint="eastAsia" w:ascii="仿宋" w:hAnsi="仿宋" w:eastAsia="仿宋" w:cs="Times New Roman"/>
          <w:spacing w:val="-4"/>
          <w:kern w:val="0"/>
          <w:sz w:val="28"/>
          <w:szCs w:val="28"/>
        </w:rPr>
        <w:t>调控</w:t>
      </w:r>
      <w:r>
        <w:rPr>
          <w:rFonts w:ascii="仿宋" w:hAnsi="仿宋" w:eastAsia="仿宋" w:cs="Times New Roman"/>
          <w:spacing w:val="-4"/>
          <w:kern w:val="0"/>
          <w:sz w:val="28"/>
          <w:szCs w:val="28"/>
        </w:rPr>
        <w:t>方向</w:t>
      </w:r>
      <w:r>
        <w:rPr>
          <w:rFonts w:hint="eastAsia" w:ascii="仿宋" w:hAnsi="仿宋" w:eastAsia="仿宋" w:cs="Times New Roman"/>
          <w:spacing w:val="-4"/>
          <w:kern w:val="0"/>
          <w:sz w:val="28"/>
          <w:szCs w:val="28"/>
        </w:rPr>
        <w:t>：</w:t>
      </w:r>
    </w:p>
    <w:p>
      <w:pPr>
        <w:autoSpaceDE w:val="0"/>
        <w:autoSpaceDN w:val="0"/>
        <w:adjustRightInd w:val="0"/>
        <w:ind w:firstLine="544" w:firstLineChars="200"/>
        <w:jc w:val="left"/>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1</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加强</w:t>
      </w:r>
      <w:r>
        <w:rPr>
          <w:rFonts w:ascii="仿宋" w:hAnsi="仿宋" w:eastAsia="仿宋" w:cs="Times New Roman"/>
          <w:spacing w:val="-4"/>
          <w:kern w:val="0"/>
          <w:sz w:val="28"/>
          <w:szCs w:val="28"/>
        </w:rPr>
        <w:t>地热</w:t>
      </w:r>
      <w:r>
        <w:rPr>
          <w:rFonts w:hint="eastAsia" w:ascii="仿宋" w:hAnsi="仿宋" w:eastAsia="仿宋" w:cs="Times New Roman"/>
          <w:spacing w:val="-4"/>
          <w:kern w:val="0"/>
          <w:sz w:val="28"/>
          <w:szCs w:val="28"/>
        </w:rPr>
        <w:t>水</w:t>
      </w:r>
      <w:r>
        <w:rPr>
          <w:rFonts w:ascii="仿宋" w:hAnsi="仿宋" w:eastAsia="仿宋" w:cs="Times New Roman"/>
          <w:spacing w:val="-4"/>
          <w:kern w:val="0"/>
          <w:sz w:val="28"/>
          <w:szCs w:val="28"/>
        </w:rPr>
        <w:t>资源勘查，</w:t>
      </w:r>
      <w:r>
        <w:rPr>
          <w:rFonts w:hint="eastAsia" w:ascii="仿宋" w:hAnsi="仿宋" w:eastAsia="仿宋" w:cs="Times New Roman"/>
          <w:spacing w:val="-4"/>
          <w:kern w:val="0"/>
          <w:sz w:val="28"/>
          <w:szCs w:val="28"/>
        </w:rPr>
        <w:t>为</w:t>
      </w:r>
      <w:r>
        <w:rPr>
          <w:rFonts w:ascii="仿宋" w:hAnsi="仿宋" w:eastAsia="仿宋" w:cs="Times New Roman"/>
          <w:spacing w:val="-4"/>
          <w:kern w:val="0"/>
          <w:sz w:val="28"/>
          <w:szCs w:val="28"/>
        </w:rPr>
        <w:t>南昌大力发展特色生态旅游产业，打造旅游休闲胜地</w:t>
      </w:r>
      <w:r>
        <w:rPr>
          <w:rFonts w:hint="eastAsia" w:ascii="仿宋" w:hAnsi="仿宋" w:eastAsia="仿宋" w:cs="Times New Roman"/>
          <w:spacing w:val="-4"/>
          <w:kern w:val="0"/>
          <w:sz w:val="28"/>
          <w:szCs w:val="28"/>
        </w:rPr>
        <w:t>提供支撑</w:t>
      </w:r>
      <w:r>
        <w:rPr>
          <w:rFonts w:ascii="仿宋" w:hAnsi="仿宋" w:eastAsia="仿宋" w:cs="Times New Roman"/>
          <w:spacing w:val="-4"/>
          <w:kern w:val="0"/>
          <w:sz w:val="28"/>
          <w:szCs w:val="28"/>
        </w:rPr>
        <w:t>。</w:t>
      </w:r>
    </w:p>
    <w:p>
      <w:pPr>
        <w:autoSpaceDE w:val="0"/>
        <w:autoSpaceDN w:val="0"/>
        <w:adjustRightInd w:val="0"/>
        <w:ind w:firstLine="544" w:firstLineChars="200"/>
        <w:jc w:val="left"/>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2</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加大进贤、湾里地区矿泉水资源勘查力度，助推打造</w:t>
      </w:r>
      <w:r>
        <w:rPr>
          <w:rFonts w:ascii="仿宋" w:hAnsi="仿宋" w:eastAsia="仿宋" w:cs="Times New Roman"/>
          <w:spacing w:val="-4"/>
          <w:kern w:val="0"/>
          <w:sz w:val="28"/>
          <w:szCs w:val="28"/>
        </w:rPr>
        <w:t>优质矿泉水品牌</w:t>
      </w:r>
      <w:r>
        <w:rPr>
          <w:rFonts w:hint="eastAsia" w:ascii="仿宋" w:hAnsi="仿宋" w:eastAsia="仿宋" w:cs="Times New Roman"/>
          <w:spacing w:val="-4"/>
          <w:kern w:val="0"/>
          <w:sz w:val="28"/>
          <w:szCs w:val="28"/>
        </w:rPr>
        <w:t>。</w:t>
      </w:r>
    </w:p>
    <w:p>
      <w:pPr>
        <w:autoSpaceDE w:val="0"/>
        <w:autoSpaceDN w:val="0"/>
        <w:adjustRightInd w:val="0"/>
        <w:ind w:firstLine="560" w:firstLineChars="200"/>
        <w:jc w:val="left"/>
        <w:rPr>
          <w:rFonts w:ascii="Times New Roman" w:hAnsi="Times New Roman" w:eastAsia="仿宋" w:cs="Times New Roman"/>
          <w:sz w:val="28"/>
          <w:szCs w:val="28"/>
        </w:rPr>
      </w:pPr>
      <w:r>
        <w:rPr>
          <w:rFonts w:ascii="Times New Roman" w:hAnsi="Times New Roman" w:eastAsia="仿宋" w:cs="Times New Roman"/>
          <w:sz w:val="28"/>
          <w:szCs w:val="28"/>
        </w:rPr>
        <w:t>规划期内南昌市重点</w:t>
      </w:r>
      <w:r>
        <w:rPr>
          <w:rFonts w:hint="eastAsia" w:ascii="Times New Roman" w:hAnsi="Times New Roman" w:eastAsia="仿宋" w:cs="Times New Roman"/>
          <w:sz w:val="28"/>
          <w:szCs w:val="28"/>
        </w:rPr>
        <w:t>勘查</w:t>
      </w:r>
      <w:r>
        <w:rPr>
          <w:rFonts w:ascii="Times New Roman" w:hAnsi="Times New Roman" w:eastAsia="仿宋" w:cs="Times New Roman"/>
          <w:sz w:val="28"/>
          <w:szCs w:val="28"/>
        </w:rPr>
        <w:t>矿种为地热</w:t>
      </w:r>
      <w:r>
        <w:rPr>
          <w:rFonts w:hint="eastAsia" w:ascii="Times New Roman" w:hAnsi="Times New Roman" w:eastAsia="仿宋" w:cs="Times New Roman"/>
          <w:sz w:val="28"/>
          <w:szCs w:val="28"/>
        </w:rPr>
        <w:t>水</w:t>
      </w:r>
      <w:r>
        <w:rPr>
          <w:rFonts w:ascii="Times New Roman" w:hAnsi="Times New Roman" w:eastAsia="仿宋" w:cs="Times New Roman"/>
          <w:sz w:val="28"/>
          <w:szCs w:val="28"/>
        </w:rPr>
        <w:t>、矿泉水。为正确引导矿产资源开发活动，有效促进资源合理配置，充分发挥上述</w:t>
      </w:r>
      <w:r>
        <w:rPr>
          <w:rFonts w:hint="eastAsia" w:ascii="Times New Roman" w:hAnsi="Times New Roman" w:eastAsia="仿宋" w:cs="Times New Roman"/>
          <w:sz w:val="28"/>
          <w:szCs w:val="28"/>
        </w:rPr>
        <w:t>矿种的</w:t>
      </w:r>
      <w:r>
        <w:rPr>
          <w:rFonts w:ascii="Times New Roman" w:hAnsi="Times New Roman" w:eastAsia="仿宋" w:cs="Times New Roman"/>
          <w:sz w:val="28"/>
          <w:szCs w:val="28"/>
        </w:rPr>
        <w:t>重点区域的资源优势，推动全市矿业经济协调发展，结合省级规划，在本市进一步划定矿产资源重点勘查区，作为各级财政资金投入和相关政策支持的重点区域。</w:t>
      </w:r>
    </w:p>
    <w:p>
      <w:pPr>
        <w:spacing w:line="360" w:lineRule="auto"/>
        <w:ind w:firstLine="602" w:firstLineChars="200"/>
        <w:jc w:val="left"/>
        <w:outlineLvl w:val="2"/>
        <w:rPr>
          <w:rFonts w:ascii="Times New Roman" w:hAnsi="Times New Roman" w:eastAsia="仿宋" w:cs="Times New Roman"/>
          <w:b/>
          <w:sz w:val="28"/>
          <w:szCs w:val="28"/>
        </w:rPr>
      </w:pPr>
      <w:bookmarkStart w:id="34" w:name="_Toc104389948"/>
      <w:r>
        <w:rPr>
          <w:rFonts w:hint="eastAsia" w:ascii="仿宋_GB2312" w:hAnsi="仿宋" w:eastAsia="仿宋_GB2312" w:cs="Times New Roman"/>
          <w:b/>
          <w:kern w:val="0"/>
          <w:sz w:val="30"/>
          <w:szCs w:val="30"/>
        </w:rPr>
        <w:t>一、</w:t>
      </w:r>
      <w:r>
        <w:rPr>
          <w:rFonts w:ascii="仿宋_GB2312" w:hAnsi="仿宋" w:eastAsia="仿宋_GB2312" w:cs="Times New Roman"/>
          <w:b/>
          <w:kern w:val="0"/>
          <w:sz w:val="30"/>
          <w:szCs w:val="30"/>
        </w:rPr>
        <w:t>重点勘查区</w:t>
      </w:r>
      <w:bookmarkEnd w:id="34"/>
    </w:p>
    <w:p>
      <w:pPr>
        <w:autoSpaceDE w:val="0"/>
        <w:autoSpaceDN w:val="0"/>
        <w:adjustRightInd w:val="0"/>
        <w:ind w:firstLine="560" w:firstLineChars="200"/>
        <w:jc w:val="left"/>
        <w:rPr>
          <w:rFonts w:ascii="Times New Roman" w:hAnsi="Times New Roman" w:eastAsia="仿宋" w:cs="Times New Roman"/>
          <w:sz w:val="28"/>
          <w:szCs w:val="28"/>
        </w:rPr>
      </w:pPr>
      <w:r>
        <w:rPr>
          <w:rFonts w:ascii="Times New Roman" w:hAnsi="Times New Roman" w:eastAsia="仿宋" w:cs="Times New Roman"/>
          <w:sz w:val="28"/>
          <w:szCs w:val="28"/>
        </w:rPr>
        <w:t>围绕南昌市矿产资源勘查开发总体布局，落实省级重点勘查区1处，面积702.07平方千米；划定市级重点勘查区3处，面积</w:t>
      </w:r>
      <w:r>
        <w:rPr>
          <w:rFonts w:hint="eastAsia" w:ascii="Times New Roman" w:hAnsi="Times New Roman" w:eastAsia="仿宋" w:cs="Times New Roman"/>
          <w:sz w:val="28"/>
          <w:szCs w:val="28"/>
        </w:rPr>
        <w:t>约</w:t>
      </w:r>
      <w:r>
        <w:rPr>
          <w:rFonts w:ascii="Times New Roman" w:hAnsi="Times New Roman" w:eastAsia="仿宋" w:cs="Times New Roman"/>
          <w:sz w:val="28"/>
          <w:szCs w:val="28"/>
        </w:rPr>
        <w:t>758.72平方千米。见</w:t>
      </w:r>
      <w:r>
        <w:rPr>
          <w:rFonts w:hint="eastAsia" w:ascii="仿宋" w:hAnsi="仿宋" w:eastAsia="仿宋" w:cs="Times New Roman"/>
          <w:kern w:val="0"/>
          <w:sz w:val="28"/>
          <w:szCs w:val="28"/>
        </w:rPr>
        <w:t>专栏</w:t>
      </w:r>
      <w:r>
        <w:rPr>
          <w:rFonts w:ascii="Times New Roman" w:hAnsi="Times New Roman" w:eastAsia="仿宋" w:cs="Times New Roman"/>
          <w:sz w:val="28"/>
          <w:szCs w:val="28"/>
        </w:rPr>
        <w:t>4-1。</w:t>
      </w:r>
    </w:p>
    <w:tbl>
      <w:tblPr>
        <w:tblStyle w:val="12"/>
        <w:tblW w:w="4952" w:type="pct"/>
        <w:tblInd w:w="0" w:type="dxa"/>
        <w:tblLayout w:type="autofit"/>
        <w:tblCellMar>
          <w:top w:w="0" w:type="dxa"/>
          <w:left w:w="108" w:type="dxa"/>
          <w:bottom w:w="0" w:type="dxa"/>
          <w:right w:w="108" w:type="dxa"/>
        </w:tblCellMar>
      </w:tblPr>
      <w:tblGrid>
        <w:gridCol w:w="3199"/>
        <w:gridCol w:w="1747"/>
        <w:gridCol w:w="2331"/>
        <w:gridCol w:w="1163"/>
      </w:tblGrid>
      <w:tr>
        <w:tblPrEx>
          <w:tblCellMar>
            <w:top w:w="0" w:type="dxa"/>
            <w:left w:w="108" w:type="dxa"/>
            <w:bottom w:w="0" w:type="dxa"/>
            <w:right w:w="108" w:type="dxa"/>
          </w:tblCellMar>
        </w:tblPrEx>
        <w:trPr>
          <w:trHeight w:val="365" w:hRule="atLeast"/>
        </w:trPr>
        <w:tc>
          <w:tcPr>
            <w:tcW w:w="5000" w:type="pct"/>
            <w:gridSpan w:val="4"/>
            <w:tcBorders>
              <w:top w:val="single" w:color="auto" w:sz="4" w:space="0"/>
              <w:left w:val="single" w:color="auto" w:sz="4" w:space="0"/>
              <w:bottom w:val="single" w:color="auto" w:sz="4" w:space="0"/>
              <w:right w:val="single" w:color="000000" w:sz="4" w:space="0"/>
            </w:tcBorders>
            <w:shd w:val="clear" w:color="000000" w:fill="99CC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专栏</w:t>
            </w:r>
            <w:r>
              <w:rPr>
                <w:rFonts w:hint="eastAsia" w:ascii="Times New Roman" w:hAnsi="Times New Roman" w:eastAsia="仿宋_GB2312" w:cs="Times New Roman"/>
                <w:b/>
                <w:bCs/>
                <w:color w:val="000000"/>
                <w:kern w:val="0"/>
                <w:sz w:val="24"/>
                <w:szCs w:val="24"/>
              </w:rPr>
              <w:t>4</w:t>
            </w:r>
            <w:r>
              <w:rPr>
                <w:rFonts w:ascii="Times New Roman" w:hAnsi="Times New Roman" w:eastAsia="仿宋_GB2312" w:cs="Times New Roman"/>
                <w:b/>
                <w:bCs/>
                <w:color w:val="000000"/>
                <w:kern w:val="0"/>
                <w:sz w:val="24"/>
                <w:szCs w:val="24"/>
              </w:rPr>
              <w:t xml:space="preserve">-1   </w:t>
            </w:r>
            <w:r>
              <w:rPr>
                <w:rFonts w:hint="eastAsia" w:ascii="Times New Roman" w:hAnsi="Times New Roman" w:eastAsia="仿宋_GB2312" w:cs="Times New Roman"/>
                <w:b/>
                <w:bCs/>
                <w:color w:val="000000"/>
                <w:kern w:val="0"/>
                <w:sz w:val="24"/>
                <w:szCs w:val="24"/>
              </w:rPr>
              <w:t>南昌</w:t>
            </w:r>
            <w:r>
              <w:rPr>
                <w:rFonts w:ascii="Times New Roman" w:hAnsi="Times New Roman" w:eastAsia="仿宋_GB2312" w:cs="Times New Roman"/>
                <w:b/>
                <w:bCs/>
                <w:color w:val="000000"/>
                <w:kern w:val="0"/>
                <w:sz w:val="24"/>
                <w:szCs w:val="24"/>
              </w:rPr>
              <w:t>市重点勘查区设置情况</w:t>
            </w:r>
          </w:p>
        </w:tc>
      </w:tr>
      <w:tr>
        <w:tblPrEx>
          <w:tblCellMar>
            <w:top w:w="0" w:type="dxa"/>
            <w:left w:w="108" w:type="dxa"/>
            <w:bottom w:w="0" w:type="dxa"/>
            <w:right w:w="108" w:type="dxa"/>
          </w:tblCellMar>
        </w:tblPrEx>
        <w:trPr>
          <w:trHeight w:val="480" w:hRule="atLeast"/>
        </w:trPr>
        <w:tc>
          <w:tcPr>
            <w:tcW w:w="1895" w:type="pct"/>
            <w:tcBorders>
              <w:top w:val="nil"/>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名称</w:t>
            </w:r>
          </w:p>
        </w:tc>
        <w:tc>
          <w:tcPr>
            <w:tcW w:w="1035"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主攻矿种</w:t>
            </w:r>
          </w:p>
        </w:tc>
        <w:tc>
          <w:tcPr>
            <w:tcW w:w="1381"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面积（平方千米）</w:t>
            </w:r>
          </w:p>
        </w:tc>
        <w:tc>
          <w:tcPr>
            <w:tcW w:w="689" w:type="pct"/>
            <w:tcBorders>
              <w:top w:val="single" w:color="auto" w:sz="4" w:space="0"/>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类别</w:t>
            </w:r>
          </w:p>
        </w:tc>
      </w:tr>
      <w:tr>
        <w:tblPrEx>
          <w:tblCellMar>
            <w:top w:w="0" w:type="dxa"/>
            <w:left w:w="108" w:type="dxa"/>
            <w:bottom w:w="0" w:type="dxa"/>
            <w:right w:w="108" w:type="dxa"/>
          </w:tblCellMar>
        </w:tblPrEx>
        <w:trPr>
          <w:trHeight w:val="365" w:hRule="atLeast"/>
        </w:trPr>
        <w:tc>
          <w:tcPr>
            <w:tcW w:w="1895" w:type="pct"/>
            <w:tcBorders>
              <w:top w:val="nil"/>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南昌市湾里-厚田</w:t>
            </w:r>
          </w:p>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地热水重点勘查区</w:t>
            </w:r>
          </w:p>
        </w:tc>
        <w:tc>
          <w:tcPr>
            <w:tcW w:w="103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w:t>
            </w:r>
          </w:p>
        </w:tc>
        <w:tc>
          <w:tcPr>
            <w:tcW w:w="1381"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702.07</w:t>
            </w:r>
          </w:p>
        </w:tc>
        <w:tc>
          <w:tcPr>
            <w:tcW w:w="689" w:type="pct"/>
            <w:tcBorders>
              <w:top w:val="single" w:color="auto" w:sz="4" w:space="0"/>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省级</w:t>
            </w:r>
          </w:p>
        </w:tc>
      </w:tr>
      <w:tr>
        <w:tblPrEx>
          <w:tblCellMar>
            <w:top w:w="0" w:type="dxa"/>
            <w:left w:w="108" w:type="dxa"/>
            <w:bottom w:w="0" w:type="dxa"/>
            <w:right w:w="108" w:type="dxa"/>
          </w:tblCellMar>
        </w:tblPrEx>
        <w:trPr>
          <w:trHeight w:val="285" w:hRule="atLeast"/>
        </w:trPr>
        <w:tc>
          <w:tcPr>
            <w:tcW w:w="1895" w:type="pct"/>
            <w:tcBorders>
              <w:top w:val="nil"/>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安义县新民地热水</w:t>
            </w:r>
          </w:p>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重点勘查区</w:t>
            </w:r>
          </w:p>
        </w:tc>
        <w:tc>
          <w:tcPr>
            <w:tcW w:w="103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w:t>
            </w:r>
          </w:p>
        </w:tc>
        <w:tc>
          <w:tcPr>
            <w:tcW w:w="1381"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33.64</w:t>
            </w:r>
          </w:p>
        </w:tc>
        <w:tc>
          <w:tcPr>
            <w:tcW w:w="689" w:type="pct"/>
            <w:vMerge w:val="restart"/>
            <w:tcBorders>
              <w:top w:val="single" w:color="auto" w:sz="4" w:space="0"/>
              <w:left w:val="nil"/>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市级</w:t>
            </w:r>
          </w:p>
        </w:tc>
      </w:tr>
      <w:tr>
        <w:tblPrEx>
          <w:tblCellMar>
            <w:top w:w="0" w:type="dxa"/>
            <w:left w:w="108" w:type="dxa"/>
            <w:bottom w:w="0" w:type="dxa"/>
            <w:right w:w="108" w:type="dxa"/>
          </w:tblCellMar>
        </w:tblPrEx>
        <w:trPr>
          <w:trHeight w:val="285" w:hRule="atLeast"/>
        </w:trPr>
        <w:tc>
          <w:tcPr>
            <w:tcW w:w="1895" w:type="pct"/>
            <w:tcBorders>
              <w:top w:val="nil"/>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安义-湾里矿泉水</w:t>
            </w:r>
          </w:p>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重点勘查区</w:t>
            </w:r>
          </w:p>
        </w:tc>
        <w:tc>
          <w:tcPr>
            <w:tcW w:w="103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矿泉水</w:t>
            </w:r>
          </w:p>
        </w:tc>
        <w:tc>
          <w:tcPr>
            <w:tcW w:w="1381"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280.87</w:t>
            </w:r>
          </w:p>
        </w:tc>
        <w:tc>
          <w:tcPr>
            <w:tcW w:w="689" w:type="pct"/>
            <w:vMerge w:val="continue"/>
            <w:tcBorders>
              <w:left w:val="nil"/>
              <w:right w:val="single" w:color="auto" w:sz="4" w:space="0"/>
            </w:tcBorders>
            <w:shd w:val="clear" w:color="000000" w:fill="CCFFFF"/>
            <w:vAlign w:val="center"/>
          </w:tcPr>
          <w:p>
            <w:pPr>
              <w:jc w:val="left"/>
              <w:rPr>
                <w:rFonts w:ascii="Times New Roman" w:hAnsi="Times New Roman" w:eastAsia="仿宋_GB2312" w:cs="Times New Roman"/>
                <w:sz w:val="24"/>
                <w:szCs w:val="24"/>
              </w:rPr>
            </w:pPr>
          </w:p>
        </w:tc>
      </w:tr>
      <w:tr>
        <w:tblPrEx>
          <w:tblCellMar>
            <w:top w:w="0" w:type="dxa"/>
            <w:left w:w="108" w:type="dxa"/>
            <w:bottom w:w="0" w:type="dxa"/>
            <w:right w:w="108" w:type="dxa"/>
          </w:tblCellMar>
        </w:tblPrEx>
        <w:trPr>
          <w:trHeight w:val="285" w:hRule="atLeast"/>
        </w:trPr>
        <w:tc>
          <w:tcPr>
            <w:tcW w:w="1895" w:type="pct"/>
            <w:tcBorders>
              <w:top w:val="nil"/>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进贤县七里-梅庄</w:t>
            </w:r>
          </w:p>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地热水、矿泉水</w:t>
            </w:r>
          </w:p>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重点勘查区</w:t>
            </w:r>
          </w:p>
        </w:tc>
        <w:tc>
          <w:tcPr>
            <w:tcW w:w="1035"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w:t>
            </w:r>
          </w:p>
        </w:tc>
        <w:tc>
          <w:tcPr>
            <w:tcW w:w="1381"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444.21</w:t>
            </w:r>
          </w:p>
        </w:tc>
        <w:tc>
          <w:tcPr>
            <w:tcW w:w="689" w:type="pct"/>
            <w:vMerge w:val="continue"/>
            <w:tcBorders>
              <w:left w:val="nil"/>
              <w:bottom w:val="single" w:color="auto" w:sz="4" w:space="0"/>
              <w:right w:val="single" w:color="auto" w:sz="4" w:space="0"/>
            </w:tcBorders>
            <w:shd w:val="clear" w:color="000000" w:fill="CCFFFF"/>
            <w:vAlign w:val="center"/>
          </w:tcPr>
          <w:p>
            <w:pPr>
              <w:jc w:val="left"/>
              <w:rPr>
                <w:rFonts w:ascii="Times New Roman" w:hAnsi="Times New Roman" w:eastAsia="仿宋_GB2312" w:cs="Times New Roman"/>
                <w:sz w:val="24"/>
                <w:szCs w:val="24"/>
              </w:rPr>
            </w:pPr>
          </w:p>
        </w:tc>
      </w:tr>
    </w:tbl>
    <w:p>
      <w:pPr>
        <w:spacing w:line="360" w:lineRule="auto"/>
        <w:ind w:firstLine="562" w:firstLineChars="200"/>
        <w:rPr>
          <w:rFonts w:ascii="仿宋_GB2312" w:hAnsi="Calibri" w:eastAsia="仿宋_GB2312" w:cs="Times New Roman"/>
          <w:b/>
          <w:kern w:val="0"/>
          <w:sz w:val="32"/>
        </w:rPr>
      </w:pPr>
      <w:r>
        <w:rPr>
          <w:rFonts w:hint="eastAsia" w:ascii="Times New Roman" w:hAnsi="Times New Roman" w:eastAsia="仿宋" w:cs="Times New Roman"/>
          <w:b/>
          <w:bCs/>
          <w:sz w:val="28"/>
          <w:szCs w:val="28"/>
        </w:rPr>
        <w:t>管理措施</w:t>
      </w:r>
      <w:r>
        <w:rPr>
          <w:rFonts w:ascii="Times New Roman" w:hAnsi="Times New Roman" w:eastAsia="仿宋" w:cs="Times New Roman"/>
          <w:b/>
          <w:bCs/>
          <w:sz w:val="28"/>
          <w:szCs w:val="28"/>
        </w:rPr>
        <w:t>：</w:t>
      </w:r>
      <w:r>
        <w:rPr>
          <w:rFonts w:hint="eastAsia" w:ascii="宋体" w:hAnsi="宋体" w:eastAsia="宋体" w:cs="宋体"/>
          <w:sz w:val="28"/>
          <w:szCs w:val="28"/>
        </w:rPr>
        <w:t>1</w:t>
      </w:r>
      <w:r>
        <w:rPr>
          <w:rFonts w:ascii="宋体" w:hAnsi="宋体" w:eastAsia="宋体" w:cs="宋体"/>
          <w:sz w:val="28"/>
          <w:szCs w:val="28"/>
        </w:rPr>
        <w:t>.</w:t>
      </w:r>
      <w:r>
        <w:rPr>
          <w:rFonts w:ascii="Times New Roman" w:hAnsi="Times New Roman" w:eastAsia="仿宋" w:cs="Times New Roman"/>
          <w:sz w:val="28"/>
          <w:szCs w:val="28"/>
        </w:rPr>
        <w:t>优先部署基础性地质工作，提高研究程度，降低找矿风险</w:t>
      </w:r>
      <w:r>
        <w:rPr>
          <w:rFonts w:hint="eastAsia" w:ascii="Times New Roman" w:hAnsi="Times New Roman" w:eastAsia="仿宋" w:cs="Times New Roman"/>
          <w:sz w:val="28"/>
          <w:szCs w:val="28"/>
        </w:rPr>
        <w:t>。</w:t>
      </w:r>
      <w:r>
        <w:rPr>
          <w:rFonts w:hint="eastAsia" w:ascii="宋体" w:hAnsi="宋体" w:eastAsia="宋体" w:cs="宋体"/>
          <w:sz w:val="28"/>
          <w:szCs w:val="28"/>
        </w:rPr>
        <w:t>2</w:t>
      </w:r>
      <w:r>
        <w:rPr>
          <w:rFonts w:ascii="宋体" w:hAnsi="宋体" w:eastAsia="宋体" w:cs="宋体"/>
          <w:sz w:val="28"/>
          <w:szCs w:val="28"/>
        </w:rPr>
        <w:t>.</w:t>
      </w:r>
      <w:r>
        <w:rPr>
          <w:rFonts w:ascii="Times New Roman" w:hAnsi="Times New Roman" w:eastAsia="仿宋" w:cs="Times New Roman"/>
          <w:sz w:val="28"/>
          <w:szCs w:val="28"/>
        </w:rPr>
        <w:t>优先出让探矿权，引导和鼓励社会资金投入</w:t>
      </w:r>
      <w:r>
        <w:rPr>
          <w:rFonts w:hint="eastAsia" w:ascii="Times New Roman" w:hAnsi="Times New Roman" w:eastAsia="仿宋" w:cs="Times New Roman"/>
          <w:sz w:val="28"/>
          <w:szCs w:val="28"/>
        </w:rPr>
        <w:t>。</w:t>
      </w:r>
      <w:r>
        <w:rPr>
          <w:rFonts w:hint="eastAsia" w:ascii="宋体" w:hAnsi="宋体" w:eastAsia="宋体" w:cs="宋体"/>
          <w:sz w:val="28"/>
          <w:szCs w:val="28"/>
        </w:rPr>
        <w:t>3</w:t>
      </w:r>
      <w:r>
        <w:rPr>
          <w:rFonts w:ascii="宋体" w:hAnsi="宋体" w:eastAsia="宋体" w:cs="宋体"/>
          <w:sz w:val="28"/>
          <w:szCs w:val="28"/>
        </w:rPr>
        <w:t>.</w:t>
      </w:r>
      <w:r>
        <w:rPr>
          <w:rFonts w:ascii="Times New Roman" w:hAnsi="Times New Roman" w:eastAsia="仿宋" w:cs="Times New Roman"/>
          <w:sz w:val="28"/>
          <w:szCs w:val="28"/>
        </w:rPr>
        <w:t>鼓励矿权、资本、技术以各种形式进行合作，鼓励现有矿业权进行自愿依法有序整合</w:t>
      </w:r>
      <w:r>
        <w:rPr>
          <w:rFonts w:hint="eastAsia" w:ascii="Times New Roman" w:hAnsi="Times New Roman" w:eastAsia="仿宋" w:cs="Times New Roman"/>
          <w:sz w:val="28"/>
          <w:szCs w:val="28"/>
        </w:rPr>
        <w:t>。</w:t>
      </w:r>
      <w:r>
        <w:rPr>
          <w:rFonts w:hint="eastAsia" w:ascii="宋体" w:hAnsi="宋体" w:eastAsia="宋体" w:cs="宋体"/>
          <w:sz w:val="28"/>
          <w:szCs w:val="28"/>
        </w:rPr>
        <w:t>4</w:t>
      </w:r>
      <w:r>
        <w:rPr>
          <w:rFonts w:ascii="宋体" w:hAnsi="宋体" w:eastAsia="宋体" w:cs="宋体"/>
          <w:sz w:val="28"/>
          <w:szCs w:val="28"/>
        </w:rPr>
        <w:t>.</w:t>
      </w:r>
      <w:r>
        <w:rPr>
          <w:rFonts w:ascii="Times New Roman" w:hAnsi="Times New Roman" w:eastAsia="仿宋" w:cs="Times New Roman"/>
          <w:sz w:val="28"/>
          <w:szCs w:val="28"/>
        </w:rPr>
        <w:t>推进勘查技术创新，鼓励新技术、新方法的应用，实现找矿重大突破。</w:t>
      </w:r>
    </w:p>
    <w:p>
      <w:pPr>
        <w:spacing w:line="360" w:lineRule="auto"/>
        <w:ind w:firstLine="602" w:firstLineChars="200"/>
        <w:jc w:val="left"/>
        <w:outlineLvl w:val="2"/>
        <w:rPr>
          <w:rFonts w:ascii="仿宋_GB2312" w:hAnsi="仿宋" w:eastAsia="仿宋_GB2312" w:cs="Times New Roman"/>
          <w:b/>
          <w:kern w:val="0"/>
          <w:sz w:val="30"/>
          <w:szCs w:val="30"/>
        </w:rPr>
      </w:pPr>
      <w:bookmarkStart w:id="35" w:name="_Toc104389949"/>
      <w:r>
        <w:rPr>
          <w:rFonts w:hint="eastAsia" w:ascii="仿宋_GB2312" w:hAnsi="仿宋" w:eastAsia="仿宋_GB2312" w:cs="Times New Roman"/>
          <w:b/>
          <w:kern w:val="0"/>
          <w:sz w:val="30"/>
          <w:szCs w:val="30"/>
        </w:rPr>
        <w:t>二</w:t>
      </w:r>
      <w:r>
        <w:rPr>
          <w:rFonts w:ascii="仿宋_GB2312" w:hAnsi="仿宋" w:eastAsia="仿宋_GB2312" w:cs="Times New Roman"/>
          <w:b/>
          <w:kern w:val="0"/>
          <w:sz w:val="30"/>
          <w:szCs w:val="30"/>
        </w:rPr>
        <w:t>、</w:t>
      </w:r>
      <w:r>
        <w:rPr>
          <w:rFonts w:hint="eastAsia" w:ascii="仿宋_GB2312" w:hAnsi="仿宋" w:eastAsia="仿宋_GB2312" w:cs="Times New Roman"/>
          <w:b/>
          <w:kern w:val="0"/>
          <w:sz w:val="30"/>
          <w:szCs w:val="30"/>
        </w:rPr>
        <w:t>勘查规划区块</w:t>
      </w:r>
      <w:bookmarkEnd w:id="35"/>
    </w:p>
    <w:p>
      <w:pPr>
        <w:autoSpaceDE w:val="0"/>
        <w:autoSpaceDN w:val="0"/>
        <w:adjustRightInd w:val="0"/>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按照勘查</w:t>
      </w:r>
      <w:r>
        <w:rPr>
          <w:rFonts w:hint="eastAsia" w:ascii="Times New Roman" w:hAnsi="Times New Roman" w:eastAsia="仿宋" w:cs="Times New Roman"/>
          <w:sz w:val="28"/>
          <w:szCs w:val="28"/>
        </w:rPr>
        <w:t>开发</w:t>
      </w:r>
      <w:r>
        <w:rPr>
          <w:rFonts w:hint="eastAsia" w:ascii="仿宋" w:hAnsi="仿宋" w:eastAsia="仿宋" w:cs="Times New Roman"/>
          <w:spacing w:val="-4"/>
          <w:kern w:val="0"/>
          <w:sz w:val="28"/>
          <w:szCs w:val="28"/>
        </w:rPr>
        <w:t>保护</w:t>
      </w:r>
      <w:r>
        <w:rPr>
          <w:rFonts w:hint="eastAsia" w:ascii="Times New Roman" w:hAnsi="Times New Roman" w:eastAsia="仿宋" w:cs="Times New Roman"/>
          <w:sz w:val="28"/>
          <w:szCs w:val="28"/>
        </w:rPr>
        <w:t>区域</w:t>
      </w:r>
      <w:r>
        <w:rPr>
          <w:rFonts w:hint="eastAsia" w:ascii="仿宋" w:hAnsi="仿宋" w:eastAsia="仿宋" w:cs="Times New Roman"/>
          <w:spacing w:val="-4"/>
          <w:kern w:val="0"/>
          <w:sz w:val="28"/>
          <w:szCs w:val="28"/>
        </w:rPr>
        <w:t>布局要求，综合考虑矿产资源赋存特点、勘查程度、潜力评价成果、生态环境保护等因素，保持勘查信息的完整性，进行勘查规划区块设置。原则上一个勘查规划区块只设置一个勘查主体。</w:t>
      </w:r>
      <w:r>
        <w:rPr>
          <w:rFonts w:ascii="仿宋" w:hAnsi="仿宋" w:eastAsia="仿宋" w:cs="Times New Roman"/>
          <w:spacing w:val="-4"/>
          <w:kern w:val="0"/>
          <w:sz w:val="28"/>
          <w:szCs w:val="28"/>
        </w:rPr>
        <w:t xml:space="preserve"> </w:t>
      </w:r>
    </w:p>
    <w:p>
      <w:pPr>
        <w:autoSpaceDE w:val="0"/>
        <w:autoSpaceDN w:val="0"/>
        <w:adjustRightInd w:val="0"/>
        <w:ind w:firstLine="520"/>
        <w:jc w:val="left"/>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（一）</w:t>
      </w:r>
      <w:r>
        <w:rPr>
          <w:rFonts w:ascii="Times New Roman" w:hAnsi="Times New Roman" w:eastAsia="仿宋" w:cs="Times New Roman"/>
          <w:b/>
          <w:bCs/>
          <w:sz w:val="28"/>
          <w:szCs w:val="28"/>
        </w:rPr>
        <w:t>第一类矿产（高风险勘查矿种）</w:t>
      </w:r>
    </w:p>
    <w:p>
      <w:pPr>
        <w:autoSpaceDE w:val="0"/>
        <w:autoSpaceDN w:val="0"/>
        <w:adjustRightInd w:val="0"/>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规划期内南昌市无一类矿产。</w:t>
      </w:r>
    </w:p>
    <w:p>
      <w:pPr>
        <w:autoSpaceDE w:val="0"/>
        <w:autoSpaceDN w:val="0"/>
        <w:adjustRightInd w:val="0"/>
        <w:ind w:firstLine="520"/>
        <w:jc w:val="left"/>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（二）</w:t>
      </w:r>
      <w:r>
        <w:rPr>
          <w:rFonts w:ascii="Times New Roman" w:hAnsi="Times New Roman" w:eastAsia="仿宋" w:cs="Times New Roman"/>
          <w:b/>
          <w:bCs/>
          <w:sz w:val="28"/>
          <w:szCs w:val="28"/>
        </w:rPr>
        <w:t>第二类矿产（低风险勘查矿种）</w:t>
      </w:r>
    </w:p>
    <w:p>
      <w:pPr>
        <w:autoSpaceDE w:val="0"/>
        <w:autoSpaceDN w:val="0"/>
        <w:adjustRightInd w:val="0"/>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规划期内南昌市二类矿产主要有地热水（沉积地层型）、矿泉水，均为省级发证矿种。</w:t>
      </w:r>
    </w:p>
    <w:p>
      <w:pPr>
        <w:autoSpaceDE w:val="0"/>
        <w:autoSpaceDN w:val="0"/>
        <w:adjustRightInd w:val="0"/>
        <w:ind w:firstLine="520"/>
        <w:jc w:val="left"/>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（三）</w:t>
      </w:r>
      <w:r>
        <w:rPr>
          <w:rFonts w:ascii="Times New Roman" w:hAnsi="Times New Roman" w:eastAsia="仿宋" w:cs="Times New Roman"/>
          <w:b/>
          <w:bCs/>
          <w:sz w:val="28"/>
          <w:szCs w:val="28"/>
        </w:rPr>
        <w:t>第</w:t>
      </w:r>
      <w:r>
        <w:rPr>
          <w:rFonts w:hint="eastAsia" w:ascii="Times New Roman" w:hAnsi="Times New Roman" w:eastAsia="仿宋" w:cs="Times New Roman"/>
          <w:b/>
          <w:bCs/>
          <w:sz w:val="28"/>
          <w:szCs w:val="28"/>
        </w:rPr>
        <w:t>三</w:t>
      </w:r>
      <w:r>
        <w:rPr>
          <w:rFonts w:ascii="Times New Roman" w:hAnsi="Times New Roman" w:eastAsia="仿宋" w:cs="Times New Roman"/>
          <w:b/>
          <w:bCs/>
          <w:sz w:val="28"/>
          <w:szCs w:val="28"/>
        </w:rPr>
        <w:t>类矿产（</w:t>
      </w:r>
      <w:r>
        <w:rPr>
          <w:rFonts w:hint="eastAsia" w:ascii="Times New Roman" w:hAnsi="Times New Roman" w:eastAsia="仿宋" w:cs="Times New Roman"/>
          <w:b/>
          <w:bCs/>
          <w:sz w:val="28"/>
          <w:szCs w:val="28"/>
        </w:rPr>
        <w:t>无</w:t>
      </w:r>
      <w:r>
        <w:rPr>
          <w:rFonts w:ascii="Times New Roman" w:hAnsi="Times New Roman" w:eastAsia="仿宋" w:cs="Times New Roman"/>
          <w:b/>
          <w:bCs/>
          <w:sz w:val="28"/>
          <w:szCs w:val="28"/>
        </w:rPr>
        <w:t>风险勘查矿种）</w:t>
      </w:r>
    </w:p>
    <w:p>
      <w:pPr>
        <w:autoSpaceDE w:val="0"/>
        <w:autoSpaceDN w:val="0"/>
        <w:adjustRightInd w:val="0"/>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对第三类矿产，无需划定勘查区块。</w:t>
      </w:r>
    </w:p>
    <w:p>
      <w:pPr>
        <w:autoSpaceDE w:val="0"/>
        <w:autoSpaceDN w:val="0"/>
        <w:adjustRightInd w:val="0"/>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kern w:val="0"/>
          <w:sz w:val="28"/>
          <w:szCs w:val="28"/>
        </w:rPr>
        <w:t>综上，</w:t>
      </w:r>
      <w:r>
        <w:rPr>
          <w:rFonts w:ascii="Times New Roman" w:hAnsi="Times New Roman" w:eastAsia="仿宋" w:cs="Times New Roman"/>
          <w:kern w:val="0"/>
          <w:sz w:val="28"/>
          <w:szCs w:val="28"/>
        </w:rPr>
        <w:t>根据南昌市矿产资源分布特征，成矿地质条件和潜力评价成果，自然地理及开采技术条件，并综合考虑勘查开发总体布局、开发市场供需形势等因素，</w:t>
      </w:r>
      <w:r>
        <w:rPr>
          <w:rFonts w:ascii="Times New Roman" w:hAnsi="Times New Roman" w:eastAsia="仿宋" w:cs="Times New Roman"/>
          <w:sz w:val="28"/>
          <w:szCs w:val="28"/>
        </w:rPr>
        <w:t>本次规划共划定空白区新设勘查规划区块2个，总面积</w:t>
      </w:r>
      <w:r>
        <w:rPr>
          <w:rFonts w:hint="eastAsia" w:ascii="Times New Roman" w:hAnsi="Times New Roman" w:eastAsia="仿宋" w:cs="Times New Roman"/>
          <w:sz w:val="28"/>
          <w:szCs w:val="28"/>
        </w:rPr>
        <w:t>约</w:t>
      </w:r>
      <w:r>
        <w:rPr>
          <w:rFonts w:ascii="Times New Roman" w:hAnsi="Times New Roman" w:eastAsia="仿宋" w:cs="Times New Roman"/>
          <w:sz w:val="28"/>
          <w:szCs w:val="28"/>
        </w:rPr>
        <w:t>33.82平方千米，其中地热</w:t>
      </w:r>
      <w:r>
        <w:rPr>
          <w:rFonts w:hint="eastAsia" w:ascii="Times New Roman" w:hAnsi="Times New Roman" w:eastAsia="仿宋" w:cs="Times New Roman"/>
          <w:sz w:val="28"/>
          <w:szCs w:val="28"/>
        </w:rPr>
        <w:t>水</w:t>
      </w:r>
      <w:r>
        <w:rPr>
          <w:rFonts w:ascii="Times New Roman" w:hAnsi="Times New Roman" w:eastAsia="仿宋" w:cs="Times New Roman"/>
          <w:sz w:val="28"/>
          <w:szCs w:val="28"/>
        </w:rPr>
        <w:t>1个，矿泉水1个，见</w:t>
      </w:r>
      <w:r>
        <w:rPr>
          <w:rFonts w:hint="eastAsia" w:ascii="仿宋" w:hAnsi="仿宋" w:eastAsia="仿宋" w:cs="Times New Roman"/>
          <w:kern w:val="0"/>
          <w:sz w:val="28"/>
          <w:szCs w:val="28"/>
        </w:rPr>
        <w:t>专栏</w:t>
      </w:r>
      <w:r>
        <w:rPr>
          <w:rFonts w:ascii="Times New Roman" w:hAnsi="Times New Roman" w:eastAsia="仿宋" w:cs="Times New Roman"/>
          <w:sz w:val="28"/>
          <w:szCs w:val="28"/>
        </w:rPr>
        <w:t>4-2。</w:t>
      </w:r>
    </w:p>
    <w:tbl>
      <w:tblPr>
        <w:tblStyle w:val="12"/>
        <w:tblW w:w="5000" w:type="pct"/>
        <w:tblInd w:w="0" w:type="dxa"/>
        <w:tblLayout w:type="autofit"/>
        <w:tblCellMar>
          <w:top w:w="0" w:type="dxa"/>
          <w:left w:w="108" w:type="dxa"/>
          <w:bottom w:w="0" w:type="dxa"/>
          <w:right w:w="108" w:type="dxa"/>
        </w:tblCellMar>
      </w:tblPr>
      <w:tblGrid>
        <w:gridCol w:w="1596"/>
        <w:gridCol w:w="2332"/>
        <w:gridCol w:w="2037"/>
        <w:gridCol w:w="2557"/>
      </w:tblGrid>
      <w:tr>
        <w:tblPrEx>
          <w:tblCellMar>
            <w:top w:w="0" w:type="dxa"/>
            <w:left w:w="108" w:type="dxa"/>
            <w:bottom w:w="0" w:type="dxa"/>
            <w:right w:w="108" w:type="dxa"/>
          </w:tblCellMar>
        </w:tblPrEx>
        <w:trPr>
          <w:trHeight w:val="397" w:hRule="exact"/>
        </w:trPr>
        <w:tc>
          <w:tcPr>
            <w:tcW w:w="5000" w:type="pct"/>
            <w:gridSpan w:val="4"/>
            <w:tcBorders>
              <w:top w:val="single" w:color="auto" w:sz="4" w:space="0"/>
              <w:left w:val="single" w:color="auto" w:sz="4" w:space="0"/>
              <w:bottom w:val="single" w:color="auto" w:sz="4" w:space="0"/>
              <w:right w:val="single" w:color="auto" w:sz="4" w:space="0"/>
            </w:tcBorders>
            <w:shd w:val="clear" w:color="000000" w:fill="99CCFF"/>
            <w:vAlign w:val="center"/>
          </w:tcPr>
          <w:p>
            <w:pPr>
              <w:widowControl/>
              <w:jc w:val="center"/>
              <w:rPr>
                <w:rFonts w:ascii="仿宋_GB2312" w:hAnsi="等线" w:eastAsia="仿宋_GB2312" w:cs="宋体"/>
                <w:b/>
                <w:bCs/>
                <w:color w:val="000000"/>
                <w:kern w:val="0"/>
                <w:sz w:val="24"/>
                <w:szCs w:val="24"/>
              </w:rPr>
            </w:pPr>
            <w:r>
              <w:rPr>
                <w:rFonts w:hint="eastAsia" w:ascii="仿宋_GB2312" w:hAnsi="等线" w:eastAsia="仿宋_GB2312" w:cs="宋体"/>
                <w:b/>
                <w:bCs/>
                <w:color w:val="000000"/>
                <w:kern w:val="0"/>
                <w:sz w:val="24"/>
                <w:szCs w:val="24"/>
              </w:rPr>
              <w:t>专栏4</w:t>
            </w:r>
            <w:r>
              <w:rPr>
                <w:rFonts w:ascii="仿宋_GB2312" w:hAnsi="等线" w:eastAsia="仿宋_GB2312" w:cs="宋体"/>
                <w:b/>
                <w:bCs/>
                <w:color w:val="000000"/>
                <w:kern w:val="0"/>
                <w:sz w:val="24"/>
                <w:szCs w:val="24"/>
              </w:rPr>
              <w:t>-2</w:t>
            </w:r>
            <w:r>
              <w:rPr>
                <w:rFonts w:ascii="仿宋_GB2312" w:hAnsi="Times New Roman" w:eastAsia="仿宋_GB2312" w:cs="Times New Roman"/>
                <w:b/>
                <w:bCs/>
                <w:color w:val="000000"/>
                <w:kern w:val="0"/>
                <w:sz w:val="24"/>
                <w:szCs w:val="24"/>
              </w:rPr>
              <w:t xml:space="preserve">  </w:t>
            </w:r>
            <w:r>
              <w:rPr>
                <w:rFonts w:hint="eastAsia" w:ascii="仿宋_GB2312" w:hAnsi="Times New Roman" w:eastAsia="仿宋_GB2312" w:cs="Times New Roman"/>
                <w:b/>
                <w:bCs/>
                <w:color w:val="000000"/>
                <w:kern w:val="0"/>
                <w:sz w:val="24"/>
                <w:szCs w:val="24"/>
              </w:rPr>
              <w:t>南昌</w:t>
            </w:r>
            <w:r>
              <w:rPr>
                <w:rFonts w:hint="eastAsia" w:ascii="仿宋_GB2312" w:hAnsi="等线" w:eastAsia="仿宋_GB2312" w:cs="宋体"/>
                <w:b/>
                <w:bCs/>
                <w:color w:val="000000"/>
                <w:kern w:val="0"/>
                <w:sz w:val="24"/>
                <w:szCs w:val="24"/>
              </w:rPr>
              <w:t>市勘查规划区块设置情况</w:t>
            </w:r>
          </w:p>
        </w:tc>
      </w:tr>
      <w:tr>
        <w:tblPrEx>
          <w:tblCellMar>
            <w:top w:w="0" w:type="dxa"/>
            <w:left w:w="108" w:type="dxa"/>
            <w:bottom w:w="0" w:type="dxa"/>
            <w:right w:w="108" w:type="dxa"/>
          </w:tblCellMar>
        </w:tblPrEx>
        <w:trPr>
          <w:trHeight w:val="397" w:hRule="exact"/>
        </w:trPr>
        <w:tc>
          <w:tcPr>
            <w:tcW w:w="937" w:type="pct"/>
            <w:tcBorders>
              <w:top w:val="nil"/>
              <w:left w:val="single" w:color="auto" w:sz="4" w:space="0"/>
              <w:bottom w:val="single" w:color="auto" w:sz="4" w:space="0"/>
              <w:right w:val="single" w:color="auto" w:sz="4" w:space="0"/>
            </w:tcBorders>
            <w:shd w:val="clear" w:color="000000" w:fill="CCFFFF"/>
            <w:vAlign w:val="center"/>
          </w:tcPr>
          <w:p>
            <w:pPr>
              <w:widowControl/>
              <w:jc w:val="center"/>
              <w:rPr>
                <w:rFonts w:ascii="仿宋_GB2312" w:hAnsi="等线" w:eastAsia="仿宋_GB2312" w:cs="宋体"/>
                <w:b/>
                <w:bCs/>
                <w:color w:val="000000"/>
                <w:kern w:val="0"/>
                <w:sz w:val="24"/>
                <w:szCs w:val="24"/>
              </w:rPr>
            </w:pPr>
            <w:r>
              <w:rPr>
                <w:rFonts w:hint="eastAsia" w:ascii="仿宋_GB2312" w:hAnsi="等线" w:eastAsia="仿宋_GB2312" w:cs="宋体"/>
                <w:b/>
                <w:bCs/>
                <w:color w:val="000000"/>
                <w:kern w:val="0"/>
                <w:sz w:val="24"/>
                <w:szCs w:val="24"/>
              </w:rPr>
              <w:t>发证机关</w:t>
            </w:r>
          </w:p>
        </w:tc>
        <w:tc>
          <w:tcPr>
            <w:tcW w:w="1368" w:type="pct"/>
            <w:tcBorders>
              <w:top w:val="nil"/>
              <w:left w:val="nil"/>
              <w:bottom w:val="single" w:color="auto" w:sz="4" w:space="0"/>
              <w:right w:val="single" w:color="auto" w:sz="4" w:space="0"/>
            </w:tcBorders>
            <w:shd w:val="clear" w:color="000000" w:fill="CCFFFF"/>
            <w:vAlign w:val="center"/>
          </w:tcPr>
          <w:p>
            <w:pPr>
              <w:widowControl/>
              <w:jc w:val="center"/>
              <w:rPr>
                <w:rFonts w:ascii="仿宋_GB2312" w:hAnsi="等线" w:eastAsia="仿宋_GB2312" w:cs="宋体"/>
                <w:b/>
                <w:bCs/>
                <w:color w:val="000000"/>
                <w:kern w:val="0"/>
                <w:sz w:val="24"/>
                <w:szCs w:val="24"/>
              </w:rPr>
            </w:pPr>
            <w:r>
              <w:rPr>
                <w:rFonts w:hint="eastAsia" w:ascii="仿宋_GB2312" w:hAnsi="等线" w:eastAsia="仿宋_GB2312" w:cs="宋体"/>
                <w:b/>
                <w:bCs/>
                <w:color w:val="000000"/>
                <w:kern w:val="0"/>
                <w:sz w:val="24"/>
                <w:szCs w:val="24"/>
              </w:rPr>
              <w:t>矿种</w:t>
            </w:r>
          </w:p>
        </w:tc>
        <w:tc>
          <w:tcPr>
            <w:tcW w:w="1195" w:type="pct"/>
            <w:tcBorders>
              <w:top w:val="nil"/>
              <w:left w:val="nil"/>
              <w:bottom w:val="single" w:color="auto" w:sz="4" w:space="0"/>
              <w:right w:val="single" w:color="auto" w:sz="4" w:space="0"/>
            </w:tcBorders>
            <w:shd w:val="clear" w:color="000000" w:fill="CCFFFF"/>
            <w:vAlign w:val="center"/>
          </w:tcPr>
          <w:p>
            <w:pPr>
              <w:widowControl/>
              <w:jc w:val="center"/>
              <w:rPr>
                <w:rFonts w:ascii="仿宋_GB2312" w:hAnsi="等线" w:eastAsia="仿宋_GB2312" w:cs="宋体"/>
                <w:b/>
                <w:bCs/>
                <w:color w:val="000000"/>
                <w:kern w:val="0"/>
                <w:sz w:val="24"/>
                <w:szCs w:val="24"/>
              </w:rPr>
            </w:pPr>
            <w:r>
              <w:rPr>
                <w:rFonts w:hint="eastAsia" w:ascii="仿宋_GB2312" w:hAnsi="等线" w:eastAsia="仿宋_GB2312" w:cs="宋体"/>
                <w:b/>
                <w:bCs/>
                <w:color w:val="000000"/>
                <w:kern w:val="0"/>
                <w:sz w:val="24"/>
                <w:szCs w:val="24"/>
              </w:rPr>
              <w:t>数量</w:t>
            </w:r>
          </w:p>
        </w:tc>
        <w:tc>
          <w:tcPr>
            <w:tcW w:w="1500" w:type="pct"/>
            <w:tcBorders>
              <w:top w:val="nil"/>
              <w:left w:val="nil"/>
              <w:bottom w:val="single" w:color="auto" w:sz="4" w:space="0"/>
              <w:right w:val="single" w:color="auto" w:sz="4" w:space="0"/>
            </w:tcBorders>
            <w:shd w:val="clear" w:color="000000" w:fill="CCFFFF"/>
            <w:vAlign w:val="center"/>
          </w:tcPr>
          <w:p>
            <w:pPr>
              <w:widowControl/>
              <w:jc w:val="center"/>
              <w:rPr>
                <w:rFonts w:ascii="仿宋_GB2312" w:hAnsi="等线" w:eastAsia="仿宋_GB2312" w:cs="宋体"/>
                <w:b/>
                <w:bCs/>
                <w:color w:val="000000"/>
                <w:kern w:val="0"/>
                <w:sz w:val="24"/>
                <w:szCs w:val="24"/>
              </w:rPr>
            </w:pPr>
            <w:r>
              <w:rPr>
                <w:rFonts w:hint="eastAsia" w:ascii="仿宋_GB2312" w:hAnsi="等线" w:eastAsia="仿宋_GB2312" w:cs="宋体"/>
                <w:b/>
                <w:bCs/>
                <w:color w:val="000000"/>
                <w:kern w:val="0"/>
                <w:sz w:val="24"/>
                <w:szCs w:val="24"/>
              </w:rPr>
              <w:t>面积（平方千米）</w:t>
            </w:r>
          </w:p>
        </w:tc>
      </w:tr>
      <w:tr>
        <w:tblPrEx>
          <w:tblCellMar>
            <w:top w:w="0" w:type="dxa"/>
            <w:left w:w="108" w:type="dxa"/>
            <w:bottom w:w="0" w:type="dxa"/>
            <w:right w:w="108" w:type="dxa"/>
          </w:tblCellMar>
        </w:tblPrEx>
        <w:trPr>
          <w:trHeight w:val="397" w:hRule="exact"/>
        </w:trPr>
        <w:tc>
          <w:tcPr>
            <w:tcW w:w="937" w:type="pct"/>
            <w:vMerge w:val="restart"/>
            <w:tcBorders>
              <w:top w:val="nil"/>
              <w:left w:val="single" w:color="auto" w:sz="4" w:space="0"/>
              <w:bottom w:val="single" w:color="auto" w:sz="4" w:space="0"/>
              <w:right w:val="single" w:color="auto" w:sz="4" w:space="0"/>
            </w:tcBorders>
            <w:shd w:val="clear" w:color="000000" w:fill="CCFFFF"/>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省级</w:t>
            </w:r>
          </w:p>
        </w:tc>
        <w:tc>
          <w:tcPr>
            <w:tcW w:w="1368" w:type="pct"/>
            <w:tcBorders>
              <w:top w:val="nil"/>
              <w:left w:val="nil"/>
              <w:bottom w:val="single" w:color="auto" w:sz="4" w:space="0"/>
              <w:right w:val="single" w:color="auto" w:sz="4" w:space="0"/>
            </w:tcBorders>
            <w:shd w:val="clear" w:color="000000" w:fill="CCFFFF"/>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地热水</w:t>
            </w:r>
          </w:p>
        </w:tc>
        <w:tc>
          <w:tcPr>
            <w:tcW w:w="1195" w:type="pct"/>
            <w:tcBorders>
              <w:top w:val="nil"/>
              <w:left w:val="nil"/>
              <w:bottom w:val="single" w:color="auto" w:sz="4" w:space="0"/>
              <w:right w:val="single" w:color="auto" w:sz="4" w:space="0"/>
            </w:tcBorders>
            <w:shd w:val="clear" w:color="000000" w:fill="CCFFFF"/>
            <w:vAlign w:val="center"/>
          </w:tcPr>
          <w:p>
            <w:pPr>
              <w:widowControl/>
              <w:jc w:val="center"/>
              <w:rPr>
                <w:rFonts w:ascii="仿宋_GB2312" w:hAnsi="宋体" w:eastAsia="仿宋_GB2312" w:cs="宋体"/>
                <w:color w:val="000000"/>
                <w:kern w:val="0"/>
                <w:sz w:val="24"/>
                <w:szCs w:val="24"/>
              </w:rPr>
            </w:pPr>
            <w:r>
              <w:rPr>
                <w:rFonts w:ascii="仿宋_GB2312" w:hAnsi="宋体" w:eastAsia="仿宋_GB2312" w:cs="宋体"/>
                <w:color w:val="000000"/>
                <w:kern w:val="0"/>
                <w:sz w:val="24"/>
                <w:szCs w:val="24"/>
              </w:rPr>
              <w:t>1</w:t>
            </w:r>
          </w:p>
        </w:tc>
        <w:tc>
          <w:tcPr>
            <w:tcW w:w="1500" w:type="pct"/>
            <w:tcBorders>
              <w:top w:val="nil"/>
              <w:left w:val="nil"/>
              <w:bottom w:val="single" w:color="auto" w:sz="4" w:space="0"/>
              <w:right w:val="single" w:color="auto" w:sz="4" w:space="0"/>
            </w:tcBorders>
            <w:shd w:val="clear" w:color="000000" w:fill="CCFFFF"/>
            <w:vAlign w:val="center"/>
          </w:tcPr>
          <w:p>
            <w:pPr>
              <w:widowControl/>
              <w:jc w:val="center"/>
              <w:rPr>
                <w:rFonts w:ascii="仿宋_GB2312" w:hAnsi="宋体" w:eastAsia="仿宋_GB2312" w:cs="宋体"/>
                <w:color w:val="000000"/>
                <w:kern w:val="0"/>
                <w:sz w:val="24"/>
                <w:szCs w:val="24"/>
              </w:rPr>
            </w:pPr>
            <w:r>
              <w:rPr>
                <w:rFonts w:ascii="仿宋_GB2312" w:hAnsi="宋体" w:eastAsia="仿宋_GB2312" w:cs="宋体"/>
                <w:color w:val="000000"/>
                <w:kern w:val="0"/>
                <w:sz w:val="24"/>
                <w:szCs w:val="24"/>
              </w:rPr>
              <w:t>31.34</w:t>
            </w:r>
          </w:p>
        </w:tc>
      </w:tr>
      <w:tr>
        <w:tblPrEx>
          <w:tblCellMar>
            <w:top w:w="0" w:type="dxa"/>
            <w:left w:w="108" w:type="dxa"/>
            <w:bottom w:w="0" w:type="dxa"/>
            <w:right w:w="108" w:type="dxa"/>
          </w:tblCellMar>
        </w:tblPrEx>
        <w:trPr>
          <w:trHeight w:val="397" w:hRule="exact"/>
        </w:trPr>
        <w:tc>
          <w:tcPr>
            <w:tcW w:w="937" w:type="pct"/>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color w:val="000000"/>
                <w:kern w:val="0"/>
                <w:sz w:val="24"/>
                <w:szCs w:val="24"/>
              </w:rPr>
            </w:pPr>
          </w:p>
        </w:tc>
        <w:tc>
          <w:tcPr>
            <w:tcW w:w="1368" w:type="pct"/>
            <w:tcBorders>
              <w:top w:val="nil"/>
              <w:left w:val="nil"/>
              <w:bottom w:val="single" w:color="auto" w:sz="4" w:space="0"/>
              <w:right w:val="single" w:color="auto" w:sz="4" w:space="0"/>
            </w:tcBorders>
            <w:shd w:val="clear" w:color="000000" w:fill="CCFFFF"/>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矿泉水</w:t>
            </w:r>
          </w:p>
        </w:tc>
        <w:tc>
          <w:tcPr>
            <w:tcW w:w="1195" w:type="pct"/>
            <w:tcBorders>
              <w:top w:val="nil"/>
              <w:left w:val="nil"/>
              <w:bottom w:val="single" w:color="auto" w:sz="4" w:space="0"/>
              <w:right w:val="single" w:color="auto" w:sz="4" w:space="0"/>
            </w:tcBorders>
            <w:shd w:val="clear" w:color="000000" w:fill="CCFFFF"/>
            <w:vAlign w:val="center"/>
          </w:tcPr>
          <w:p>
            <w:pPr>
              <w:widowControl/>
              <w:jc w:val="center"/>
              <w:rPr>
                <w:rFonts w:ascii="仿宋_GB2312" w:hAnsi="宋体" w:eastAsia="仿宋_GB2312" w:cs="宋体"/>
                <w:color w:val="000000"/>
                <w:kern w:val="0"/>
                <w:sz w:val="24"/>
                <w:szCs w:val="24"/>
              </w:rPr>
            </w:pPr>
            <w:r>
              <w:rPr>
                <w:rFonts w:ascii="仿宋_GB2312" w:hAnsi="宋体" w:eastAsia="仿宋_GB2312" w:cs="宋体"/>
                <w:color w:val="000000"/>
                <w:kern w:val="0"/>
                <w:sz w:val="24"/>
                <w:szCs w:val="24"/>
              </w:rPr>
              <w:t>1</w:t>
            </w:r>
          </w:p>
        </w:tc>
        <w:tc>
          <w:tcPr>
            <w:tcW w:w="1500" w:type="pct"/>
            <w:tcBorders>
              <w:top w:val="nil"/>
              <w:left w:val="nil"/>
              <w:bottom w:val="single" w:color="auto" w:sz="4" w:space="0"/>
              <w:right w:val="single" w:color="auto" w:sz="4" w:space="0"/>
            </w:tcBorders>
            <w:shd w:val="clear" w:color="000000" w:fill="CCFFFF"/>
            <w:vAlign w:val="center"/>
          </w:tcPr>
          <w:p>
            <w:pPr>
              <w:widowControl/>
              <w:jc w:val="center"/>
              <w:rPr>
                <w:rFonts w:ascii="仿宋_GB2312" w:hAnsi="宋体" w:eastAsia="仿宋_GB2312" w:cs="宋体"/>
                <w:color w:val="000000"/>
                <w:kern w:val="0"/>
                <w:sz w:val="24"/>
                <w:szCs w:val="24"/>
              </w:rPr>
            </w:pPr>
            <w:r>
              <w:rPr>
                <w:rFonts w:ascii="仿宋_GB2312" w:hAnsi="宋体" w:eastAsia="仿宋_GB2312" w:cs="宋体"/>
                <w:color w:val="000000"/>
                <w:kern w:val="0"/>
                <w:sz w:val="24"/>
                <w:szCs w:val="24"/>
              </w:rPr>
              <w:t>2.48</w:t>
            </w:r>
          </w:p>
        </w:tc>
      </w:tr>
    </w:tbl>
    <w:p>
      <w:pPr>
        <w:spacing w:before="156" w:beforeLines="50" w:after="156" w:afterLines="50" w:line="360" w:lineRule="auto"/>
        <w:jc w:val="center"/>
        <w:outlineLvl w:val="1"/>
        <w:rPr>
          <w:rFonts w:ascii="Times New Roman" w:hAnsi="Times New Roman" w:eastAsia="仿宋" w:cs="Times New Roman"/>
          <w:b/>
          <w:sz w:val="28"/>
          <w:szCs w:val="28"/>
        </w:rPr>
      </w:pPr>
      <w:bookmarkStart w:id="36" w:name="_Toc104389950"/>
      <w:r>
        <w:rPr>
          <w:rFonts w:hint="eastAsia" w:ascii="仿宋_GB2312" w:hAnsi="Calibri" w:eastAsia="仿宋_GB2312" w:cs="Times New Roman"/>
          <w:b/>
          <w:kern w:val="0"/>
          <w:sz w:val="32"/>
        </w:rPr>
        <w:t xml:space="preserve">第四节 </w:t>
      </w:r>
      <w:r>
        <w:rPr>
          <w:rFonts w:ascii="仿宋_GB2312" w:hAnsi="Calibri" w:eastAsia="仿宋_GB2312" w:cs="Times New Roman"/>
          <w:b/>
          <w:kern w:val="0"/>
          <w:sz w:val="32"/>
        </w:rPr>
        <w:t xml:space="preserve"> </w:t>
      </w:r>
      <w:r>
        <w:rPr>
          <w:rFonts w:hint="eastAsia" w:ascii="仿宋_GB2312" w:hAnsi="Calibri" w:eastAsia="仿宋_GB2312" w:cs="Times New Roman"/>
          <w:b/>
          <w:kern w:val="0"/>
          <w:sz w:val="32"/>
        </w:rPr>
        <w:t>开采规划布局</w:t>
      </w:r>
      <w:bookmarkEnd w:id="36"/>
    </w:p>
    <w:p>
      <w:pPr>
        <w:autoSpaceDE w:val="0"/>
        <w:autoSpaceDN w:val="0"/>
        <w:adjustRightInd w:val="0"/>
        <w:ind w:firstLine="560" w:firstLineChars="200"/>
        <w:rPr>
          <w:rFonts w:ascii="仿宋" w:hAnsi="仿宋" w:eastAsia="仿宋" w:cs="Times New Roman"/>
          <w:spacing w:val="-4"/>
          <w:kern w:val="0"/>
          <w:sz w:val="28"/>
          <w:szCs w:val="28"/>
        </w:rPr>
      </w:pPr>
      <w:r>
        <w:rPr>
          <w:rFonts w:hint="eastAsia" w:ascii="Times New Roman" w:hAnsi="Times New Roman" w:eastAsia="仿宋" w:cs="Times New Roman"/>
          <w:sz w:val="28"/>
          <w:szCs w:val="28"/>
        </w:rPr>
        <w:t>根据上级矿产资源规划，结合</w:t>
      </w:r>
      <w:r>
        <w:rPr>
          <w:rFonts w:ascii="Times New Roman" w:hAnsi="Times New Roman" w:eastAsia="仿宋" w:cs="Times New Roman"/>
          <w:sz w:val="28"/>
          <w:szCs w:val="28"/>
        </w:rPr>
        <w:t>南昌市矿产资源分布现状、矿产资源开发利用总体布局、采矿权现状，</w:t>
      </w:r>
      <w:r>
        <w:rPr>
          <w:rFonts w:hint="eastAsia" w:ascii="Times New Roman" w:hAnsi="Times New Roman" w:eastAsia="仿宋" w:cs="Times New Roman"/>
          <w:sz w:val="28"/>
          <w:szCs w:val="28"/>
        </w:rPr>
        <w:t>南昌市无一、二类矿产开采规划区块。</w:t>
      </w:r>
    </w:p>
    <w:p>
      <w:pPr>
        <w:spacing w:before="156" w:beforeLines="50" w:after="156" w:afterLines="50" w:line="360" w:lineRule="auto"/>
        <w:jc w:val="center"/>
        <w:outlineLvl w:val="1"/>
        <w:rPr>
          <w:rFonts w:ascii="Times New Roman" w:hAnsi="Times New Roman" w:eastAsia="仿宋" w:cs="Times New Roman"/>
          <w:sz w:val="28"/>
          <w:szCs w:val="28"/>
        </w:rPr>
      </w:pPr>
      <w:bookmarkStart w:id="37" w:name="_Toc104389951"/>
      <w:r>
        <w:rPr>
          <w:rFonts w:hint="eastAsia" w:ascii="仿宋_GB2312" w:hAnsi="Calibri" w:eastAsia="仿宋_GB2312" w:cs="Times New Roman"/>
          <w:b/>
          <w:kern w:val="0"/>
          <w:sz w:val="32"/>
        </w:rPr>
        <w:t xml:space="preserve">第五节 </w:t>
      </w:r>
      <w:r>
        <w:rPr>
          <w:rFonts w:ascii="仿宋_GB2312" w:hAnsi="Calibri" w:eastAsia="仿宋_GB2312" w:cs="Times New Roman"/>
          <w:b/>
          <w:kern w:val="0"/>
          <w:sz w:val="32"/>
        </w:rPr>
        <w:t xml:space="preserve"> </w:t>
      </w:r>
      <w:r>
        <w:rPr>
          <w:rFonts w:hint="eastAsia" w:ascii="仿宋_GB2312" w:hAnsi="Calibri" w:eastAsia="仿宋_GB2312" w:cs="Times New Roman"/>
          <w:b/>
          <w:kern w:val="0"/>
          <w:sz w:val="32"/>
        </w:rPr>
        <w:t>砂石土类矿产规划布局</w:t>
      </w:r>
      <w:bookmarkEnd w:id="37"/>
    </w:p>
    <w:p>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根据上级矿产资源规划，结合</w:t>
      </w:r>
      <w:r>
        <w:rPr>
          <w:rFonts w:ascii="Times New Roman" w:hAnsi="Times New Roman" w:eastAsia="仿宋" w:cs="Times New Roman"/>
          <w:sz w:val="28"/>
          <w:szCs w:val="28"/>
        </w:rPr>
        <w:t>南昌市矿产资源分布现状、矿产资源开发利用总体布局、采矿权现状，</w:t>
      </w:r>
      <w:r>
        <w:rPr>
          <w:rFonts w:hint="eastAsia" w:ascii="Times New Roman" w:hAnsi="Times New Roman" w:eastAsia="仿宋" w:cs="Times New Roman"/>
          <w:sz w:val="28"/>
          <w:szCs w:val="28"/>
        </w:rPr>
        <w:t>南昌地区“砂石土”类集中开采区、开采规划区位于进贤县，由进贤县矿产资源规划布局落实。即</w:t>
      </w:r>
      <w:r>
        <w:rPr>
          <w:rFonts w:ascii="Times New Roman" w:hAnsi="Times New Roman" w:eastAsia="仿宋" w:cs="Times New Roman"/>
          <w:sz w:val="28"/>
          <w:szCs w:val="28"/>
        </w:rPr>
        <w:t>本《规划》</w:t>
      </w:r>
      <w:r>
        <w:rPr>
          <w:rFonts w:hint="eastAsia" w:ascii="Times New Roman" w:hAnsi="Times New Roman" w:eastAsia="仿宋" w:cs="Times New Roman"/>
          <w:sz w:val="28"/>
          <w:szCs w:val="28"/>
        </w:rPr>
        <w:t>未</w:t>
      </w:r>
      <w:r>
        <w:rPr>
          <w:rFonts w:ascii="Times New Roman" w:hAnsi="Times New Roman" w:eastAsia="仿宋" w:cs="Times New Roman"/>
          <w:sz w:val="28"/>
          <w:szCs w:val="28"/>
        </w:rPr>
        <w:t>设置</w:t>
      </w:r>
      <w:r>
        <w:rPr>
          <w:rFonts w:hint="eastAsia" w:ascii="Times New Roman" w:hAnsi="Times New Roman" w:eastAsia="仿宋" w:cs="Times New Roman"/>
          <w:sz w:val="28"/>
          <w:szCs w:val="28"/>
        </w:rPr>
        <w:t>砂石土类集中开采区及</w:t>
      </w:r>
      <w:r>
        <w:rPr>
          <w:rFonts w:ascii="Times New Roman" w:hAnsi="Times New Roman" w:eastAsia="仿宋" w:cs="Times New Roman"/>
          <w:sz w:val="28"/>
          <w:szCs w:val="28"/>
        </w:rPr>
        <w:t>开采规划区块。</w:t>
      </w:r>
    </w:p>
    <w:p>
      <w:pPr>
        <w:autoSpaceDE w:val="0"/>
        <w:autoSpaceDN w:val="0"/>
        <w:adjustRightInd w:val="0"/>
        <w:ind w:firstLine="562" w:firstLineChars="200"/>
        <w:rPr>
          <w:rFonts w:ascii="仿宋_GB2312" w:hAnsi="Calibri" w:eastAsia="仿宋_GB2312" w:cs="Times New Roman"/>
          <w:b/>
          <w:kern w:val="0"/>
          <w:sz w:val="44"/>
        </w:rPr>
      </w:pPr>
      <w:r>
        <w:rPr>
          <w:rFonts w:hint="eastAsia" w:ascii="Times New Roman" w:hAnsi="Times New Roman" w:eastAsia="仿宋" w:cs="Times New Roman"/>
          <w:b/>
          <w:sz w:val="28"/>
          <w:szCs w:val="28"/>
        </w:rPr>
        <w:t>管理措施</w:t>
      </w:r>
      <w:r>
        <w:rPr>
          <w:rFonts w:hint="eastAsia" w:ascii="Times New Roman" w:hAnsi="Times New Roman" w:eastAsia="仿宋" w:cs="Times New Roman"/>
          <w:sz w:val="28"/>
          <w:szCs w:val="28"/>
        </w:rPr>
        <w:t>：</w:t>
      </w:r>
      <w:r>
        <w:rPr>
          <w:rFonts w:ascii="Times New Roman" w:hAnsi="Times New Roman" w:eastAsia="仿宋" w:cs="Times New Roman"/>
          <w:bCs/>
          <w:sz w:val="28"/>
          <w:szCs w:val="28"/>
        </w:rPr>
        <w:t>1</w:t>
      </w:r>
      <w:r>
        <w:rPr>
          <w:rFonts w:hint="eastAsia" w:ascii="Times New Roman" w:hAnsi="Times New Roman" w:eastAsia="仿宋" w:cs="Times New Roman"/>
          <w:sz w:val="28"/>
          <w:szCs w:val="28"/>
        </w:rPr>
        <w:t>.空白区新设采矿权，须符合开采规划区块。2.已设采矿权调整和矿业权整合，根据规划布局、产业调整的要求或矿业权人提出申请，按发证权限由同级人民政府进行规划调整并审查通过后实施。</w:t>
      </w:r>
      <w:r>
        <w:rPr>
          <w:rFonts w:ascii="Times New Roman" w:hAnsi="Times New Roman" w:eastAsia="仿宋" w:cs="Times New Roman"/>
          <w:sz w:val="28"/>
          <w:szCs w:val="28"/>
        </w:rPr>
        <w:t>3</w:t>
      </w:r>
      <w:r>
        <w:rPr>
          <w:rFonts w:hint="eastAsia" w:ascii="Times New Roman" w:hAnsi="Times New Roman" w:eastAsia="仿宋" w:cs="Times New Roman"/>
          <w:sz w:val="28"/>
          <w:szCs w:val="28"/>
        </w:rPr>
        <w:t>.新设砂石土类采矿权应原则上保证矿山服务年限不少于</w:t>
      </w:r>
      <w:r>
        <w:rPr>
          <w:rFonts w:ascii="Times New Roman" w:hAnsi="Times New Roman" w:eastAsia="仿宋" w:cs="Times New Roman"/>
          <w:sz w:val="28"/>
          <w:szCs w:val="28"/>
        </w:rPr>
        <w:t>10</w:t>
      </w:r>
      <w:r>
        <w:rPr>
          <w:rFonts w:hint="eastAsia" w:ascii="Times New Roman" w:hAnsi="Times New Roman" w:eastAsia="仿宋" w:cs="Times New Roman"/>
          <w:sz w:val="28"/>
          <w:szCs w:val="28"/>
        </w:rPr>
        <w:t>年。</w:t>
      </w:r>
      <w:r>
        <w:rPr>
          <w:rFonts w:ascii="Times New Roman" w:hAnsi="Times New Roman" w:eastAsia="仿宋" w:cs="Times New Roman"/>
          <w:sz w:val="28"/>
          <w:szCs w:val="28"/>
        </w:rPr>
        <w:t>4</w:t>
      </w:r>
      <w:r>
        <w:rPr>
          <w:rFonts w:hint="eastAsia" w:ascii="Times New Roman" w:hAnsi="Times New Roman" w:eastAsia="仿宋" w:cs="Times New Roman"/>
          <w:sz w:val="28"/>
          <w:szCs w:val="28"/>
        </w:rPr>
        <w:t>.</w:t>
      </w:r>
      <w:r>
        <w:rPr>
          <w:rFonts w:hint="eastAsia" w:ascii="仿宋" w:hAnsi="仿宋" w:eastAsia="仿宋" w:cs="Times New Roman"/>
          <w:spacing w:val="-4"/>
          <w:kern w:val="0"/>
          <w:sz w:val="28"/>
          <w:szCs w:val="28"/>
        </w:rPr>
        <w:t>露天矿山原则上按照整体开发原则，适合整体开发的应整体出让；严禁以自然山脊为界设置，切实做到最终边坡高度最小化、最终底盘面积最大化</w:t>
      </w:r>
      <w:r>
        <w:rPr>
          <w:rFonts w:hint="eastAsia" w:ascii="Times New Roman" w:hAnsi="Times New Roman" w:eastAsia="仿宋" w:cs="Times New Roman"/>
          <w:sz w:val="28"/>
          <w:szCs w:val="28"/>
        </w:rPr>
        <w:t>。5</w:t>
      </w:r>
      <w:r>
        <w:rPr>
          <w:rFonts w:ascii="Times New Roman" w:hAnsi="Times New Roman" w:eastAsia="仿宋" w:cs="Times New Roman"/>
          <w:sz w:val="28"/>
          <w:szCs w:val="28"/>
        </w:rPr>
        <w:t>.</w:t>
      </w:r>
      <w:r>
        <w:rPr>
          <w:rFonts w:hint="eastAsia" w:ascii="仿宋" w:hAnsi="仿宋" w:eastAsia="仿宋" w:cs="Times New Roman"/>
          <w:spacing w:val="-4"/>
          <w:kern w:val="0"/>
          <w:sz w:val="28"/>
          <w:szCs w:val="28"/>
        </w:rPr>
        <w:t>严禁“一面墙”式开采，普通建筑用砂石土原则上禁止开采最低标高设在侵蚀基准面以下以凹陷式方式开采</w:t>
      </w:r>
      <w:r>
        <w:rPr>
          <w:rFonts w:hint="eastAsia" w:ascii="Times New Roman" w:hAnsi="Times New Roman" w:eastAsia="仿宋" w:cs="Times New Roman"/>
          <w:sz w:val="28"/>
          <w:szCs w:val="28"/>
        </w:rPr>
        <w:t>。</w:t>
      </w:r>
      <w:r>
        <w:rPr>
          <w:rFonts w:ascii="仿宋_GB2312" w:hAnsi="Calibri" w:eastAsia="仿宋_GB2312" w:cs="Times New Roman"/>
          <w:b/>
          <w:kern w:val="0"/>
          <w:sz w:val="44"/>
        </w:rPr>
        <w:br w:type="page"/>
      </w:r>
    </w:p>
    <w:p>
      <w:pPr>
        <w:spacing w:before="156" w:beforeLines="50" w:after="156" w:afterLines="50" w:line="360" w:lineRule="auto"/>
        <w:jc w:val="center"/>
        <w:outlineLvl w:val="0"/>
        <w:rPr>
          <w:rFonts w:ascii="仿宋_GB2312" w:hAnsi="Calibri" w:eastAsia="仿宋_GB2312" w:cs="Times New Roman"/>
          <w:b/>
          <w:kern w:val="0"/>
          <w:sz w:val="44"/>
        </w:rPr>
      </w:pPr>
      <w:bookmarkStart w:id="38" w:name="_Toc104389952"/>
      <w:r>
        <w:rPr>
          <w:rFonts w:ascii="仿宋_GB2312" w:hAnsi="Calibri" w:eastAsia="仿宋_GB2312" w:cs="Times New Roman"/>
          <w:b/>
          <w:kern w:val="0"/>
          <w:sz w:val="44"/>
        </w:rPr>
        <w:t>第</w:t>
      </w:r>
      <w:r>
        <w:rPr>
          <w:rFonts w:hint="eastAsia" w:ascii="仿宋_GB2312" w:hAnsi="Calibri" w:eastAsia="仿宋_GB2312" w:cs="Times New Roman"/>
          <w:b/>
          <w:kern w:val="0"/>
          <w:sz w:val="44"/>
        </w:rPr>
        <w:t>五</w:t>
      </w:r>
      <w:r>
        <w:rPr>
          <w:rFonts w:ascii="仿宋_GB2312" w:hAnsi="Calibri" w:eastAsia="仿宋_GB2312" w:cs="Times New Roman"/>
          <w:b/>
          <w:kern w:val="0"/>
          <w:sz w:val="44"/>
        </w:rPr>
        <w:t>章</w:t>
      </w:r>
      <w:r>
        <w:rPr>
          <w:rFonts w:hint="eastAsia" w:ascii="仿宋_GB2312" w:hAnsi="Calibri" w:eastAsia="仿宋_GB2312" w:cs="Times New Roman"/>
          <w:b/>
          <w:kern w:val="0"/>
          <w:sz w:val="44"/>
        </w:rPr>
        <w:t xml:space="preserve"> </w:t>
      </w:r>
      <w:r>
        <w:rPr>
          <w:rFonts w:ascii="仿宋_GB2312" w:hAnsi="Calibri" w:eastAsia="仿宋_GB2312" w:cs="Times New Roman"/>
          <w:b/>
          <w:kern w:val="0"/>
          <w:sz w:val="44"/>
        </w:rPr>
        <w:t xml:space="preserve"> </w:t>
      </w:r>
      <w:r>
        <w:rPr>
          <w:rFonts w:hint="eastAsia" w:ascii="仿宋_GB2312" w:hAnsi="Calibri" w:eastAsia="仿宋_GB2312" w:cs="Times New Roman"/>
          <w:b/>
          <w:kern w:val="0"/>
          <w:sz w:val="44"/>
        </w:rPr>
        <w:t>规划部署与管理</w:t>
      </w:r>
      <w:bookmarkEnd w:id="38"/>
    </w:p>
    <w:p>
      <w:pPr>
        <w:spacing w:before="156" w:beforeLines="50" w:after="156" w:afterLines="50" w:line="360" w:lineRule="auto"/>
        <w:jc w:val="center"/>
        <w:outlineLvl w:val="1"/>
        <w:rPr>
          <w:rFonts w:ascii="仿宋_GB2312" w:hAnsi="Calibri" w:eastAsia="仿宋_GB2312" w:cs="Times New Roman"/>
          <w:b/>
          <w:kern w:val="0"/>
          <w:sz w:val="32"/>
        </w:rPr>
      </w:pPr>
      <w:bookmarkStart w:id="39" w:name="_Toc104389953"/>
      <w:r>
        <w:rPr>
          <w:rFonts w:ascii="仿宋_GB2312" w:hAnsi="Calibri" w:eastAsia="仿宋_GB2312" w:cs="Times New Roman"/>
          <w:b/>
          <w:kern w:val="0"/>
          <w:sz w:val="32"/>
        </w:rPr>
        <w:t>第一节</w:t>
      </w:r>
      <w:r>
        <w:rPr>
          <w:rFonts w:hint="eastAsia" w:ascii="仿宋_GB2312" w:hAnsi="Calibri" w:eastAsia="仿宋_GB2312" w:cs="Times New Roman"/>
          <w:b/>
          <w:kern w:val="0"/>
          <w:sz w:val="32"/>
        </w:rPr>
        <w:t xml:space="preserve"> </w:t>
      </w:r>
      <w:r>
        <w:rPr>
          <w:rFonts w:ascii="仿宋_GB2312" w:hAnsi="Calibri" w:eastAsia="仿宋_GB2312" w:cs="Times New Roman"/>
          <w:b/>
          <w:kern w:val="0"/>
          <w:sz w:val="32"/>
        </w:rPr>
        <w:t xml:space="preserve"> 调查评价与勘查</w:t>
      </w:r>
      <w:bookmarkEnd w:id="39"/>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本轮规划期间，围绕南昌市提出的“</w:t>
      </w:r>
      <w:r>
        <w:rPr>
          <w:rFonts w:ascii="仿宋" w:hAnsi="仿宋" w:eastAsia="仿宋" w:cs="Times New Roman"/>
          <w:spacing w:val="-4"/>
          <w:kern w:val="0"/>
          <w:sz w:val="28"/>
          <w:szCs w:val="28"/>
        </w:rPr>
        <w:t>富有创新活力和文化魅力，令人向往的中国智造新城、山水名城</w:t>
      </w:r>
      <w:r>
        <w:rPr>
          <w:rFonts w:hint="eastAsia" w:ascii="仿宋" w:hAnsi="仿宋" w:eastAsia="仿宋" w:cs="Times New Roman"/>
          <w:spacing w:val="-4"/>
          <w:kern w:val="0"/>
          <w:sz w:val="28"/>
          <w:szCs w:val="28"/>
        </w:rPr>
        <w:t>”</w:t>
      </w:r>
      <w:r>
        <w:rPr>
          <w:rFonts w:ascii="仿宋" w:hAnsi="仿宋" w:eastAsia="仿宋" w:cs="Times New Roman"/>
          <w:spacing w:val="-4"/>
          <w:kern w:val="0"/>
          <w:sz w:val="28"/>
          <w:szCs w:val="28"/>
        </w:rPr>
        <w:t>城市愿景</w:t>
      </w:r>
      <w:r>
        <w:rPr>
          <w:rFonts w:hint="eastAsia" w:ascii="仿宋" w:hAnsi="仿宋" w:eastAsia="仿宋" w:cs="Times New Roman"/>
          <w:spacing w:val="-4"/>
          <w:kern w:val="0"/>
          <w:sz w:val="28"/>
          <w:szCs w:val="28"/>
        </w:rPr>
        <w:t>，继续推进南昌市城市地质调查与地下空间探测工作，部署开展南昌市地下水应急水源地调查评价、土地质量调查，以及地热水、矿泉水的勘查工作。</w:t>
      </w:r>
    </w:p>
    <w:p>
      <w:pPr>
        <w:spacing w:line="360" w:lineRule="auto"/>
        <w:ind w:firstLine="602" w:firstLineChars="200"/>
        <w:jc w:val="left"/>
        <w:outlineLvl w:val="2"/>
        <w:rPr>
          <w:rFonts w:ascii="仿宋" w:hAnsi="仿宋" w:eastAsia="仿宋" w:cs="Times New Roman"/>
          <w:spacing w:val="-4"/>
          <w:kern w:val="0"/>
          <w:sz w:val="28"/>
          <w:szCs w:val="28"/>
        </w:rPr>
      </w:pPr>
      <w:bookmarkStart w:id="40" w:name="_Toc104389954"/>
      <w:r>
        <w:rPr>
          <w:rFonts w:hint="eastAsia" w:ascii="仿宋_GB2312" w:hAnsi="仿宋" w:eastAsia="仿宋_GB2312" w:cs="Times New Roman"/>
          <w:b/>
          <w:kern w:val="0"/>
          <w:sz w:val="30"/>
          <w:szCs w:val="30"/>
        </w:rPr>
        <w:t>一、调查评价</w:t>
      </w:r>
      <w:bookmarkEnd w:id="40"/>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本轮规划期间，省级规划在南昌市部署重点项目主要有环境地质调查和多要素城市地质调查</w:t>
      </w:r>
      <w:r>
        <w:rPr>
          <w:rFonts w:ascii="仿宋" w:hAnsi="仿宋" w:eastAsia="仿宋" w:cs="Times New Roman"/>
          <w:spacing w:val="-4"/>
          <w:kern w:val="0"/>
          <w:sz w:val="28"/>
          <w:szCs w:val="28"/>
        </w:rPr>
        <w:t>。</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推进南昌市城市地质调查与地下空间探测项目，重点在“九望新城”“儒乐湖新城”“昌东高铁新城”“地铁沿线”等地区开展大比例尺的地上地下一体化空间资源综合调查评价，系统查明城市三维地质调查、地下空间综合利用、城区地热资源调查、城市地质灾害调查，摸清地质资源禀赋，评价资源环境承载能力、提出规划建设建议，支撑南昌“一江两岸、南北两城，拥江发展”的战略布局，带动赣江新区建设。</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部署开展南昌市地下水应急水源地调查评价，</w:t>
      </w:r>
      <w:r>
        <w:rPr>
          <w:rFonts w:ascii="仿宋" w:hAnsi="仿宋" w:eastAsia="仿宋" w:cs="Times New Roman"/>
          <w:spacing w:val="-4"/>
          <w:kern w:val="0"/>
          <w:sz w:val="28"/>
          <w:szCs w:val="28"/>
        </w:rPr>
        <w:t>综合采用遥感解译、现场调查、物探、钻探、现场试验、室内分析等手段查明选定工作范围内的地下水类型、分布埋藏条件、补径排条件及含水层参数等水文地质条件，根据调查成果及各地段地下水富水性进一步确定地下水应急水源地工作靶区。查明</w:t>
      </w:r>
      <w:r>
        <w:rPr>
          <w:rFonts w:hint="eastAsia" w:ascii="仿宋" w:hAnsi="仿宋" w:eastAsia="仿宋" w:cs="Times New Roman"/>
          <w:spacing w:val="-4"/>
          <w:kern w:val="0"/>
          <w:sz w:val="28"/>
          <w:szCs w:val="28"/>
        </w:rPr>
        <w:t>南昌</w:t>
      </w:r>
      <w:r>
        <w:rPr>
          <w:rFonts w:ascii="仿宋" w:hAnsi="仿宋" w:eastAsia="仿宋" w:cs="Times New Roman"/>
          <w:spacing w:val="-4"/>
          <w:kern w:val="0"/>
          <w:sz w:val="28"/>
          <w:szCs w:val="28"/>
        </w:rPr>
        <w:t>市地下水应急水源地下水资源量和水质，为应急水源地的建设提供可靠依据。</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积极开展土地质量调查</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在1∶25万多目标地球化学调查工作圈定的富硒土地远景区，进一步开展1∶5万比例尺土地质量调查，推动和促进富硒土地资源开发利用。</w:t>
      </w:r>
    </w:p>
    <w:p>
      <w:pPr>
        <w:spacing w:line="360" w:lineRule="auto"/>
        <w:ind w:firstLine="544" w:firstLineChars="200"/>
        <w:rPr>
          <w:rFonts w:ascii="仿宋" w:hAnsi="仿宋" w:eastAsia="仿宋" w:cs="Times New Roman"/>
          <w:kern w:val="0"/>
          <w:sz w:val="28"/>
          <w:szCs w:val="28"/>
        </w:rPr>
      </w:pPr>
      <w:r>
        <w:rPr>
          <w:rFonts w:hint="eastAsia" w:ascii="仿宋" w:hAnsi="仿宋" w:eastAsia="仿宋" w:cs="Times New Roman"/>
          <w:spacing w:val="-4"/>
          <w:kern w:val="0"/>
          <w:sz w:val="28"/>
          <w:szCs w:val="28"/>
        </w:rPr>
        <w:t>开展地质文化村(镇)建设，重点在梅岭地区选择符合条件的村(镇)申报地质文化村(镇)，</w:t>
      </w:r>
      <w:r>
        <w:rPr>
          <w:rFonts w:ascii="仿宋" w:hAnsi="仿宋" w:eastAsia="仿宋" w:cs="Times New Roman"/>
          <w:spacing w:val="-4"/>
          <w:kern w:val="0"/>
          <w:sz w:val="28"/>
          <w:szCs w:val="28"/>
        </w:rPr>
        <w:t>将地质科学和文化与乡镇建设结合在一起，</w:t>
      </w:r>
      <w:r>
        <w:rPr>
          <w:rFonts w:hint="eastAsia" w:ascii="仿宋" w:hAnsi="仿宋" w:eastAsia="仿宋" w:cs="Times New Roman"/>
          <w:spacing w:val="-4"/>
          <w:kern w:val="0"/>
          <w:sz w:val="28"/>
          <w:szCs w:val="28"/>
        </w:rPr>
        <w:t>推动</w:t>
      </w:r>
      <w:r>
        <w:rPr>
          <w:rFonts w:ascii="仿宋" w:hAnsi="仿宋" w:eastAsia="仿宋" w:cs="Times New Roman"/>
          <w:spacing w:val="-4"/>
          <w:kern w:val="0"/>
          <w:sz w:val="28"/>
          <w:szCs w:val="28"/>
        </w:rPr>
        <w:t>乡镇特色产业和特色经济发展，提升乡镇的文化底蕴和生活水平</w:t>
      </w:r>
      <w:r>
        <w:rPr>
          <w:rFonts w:hint="eastAsia" w:ascii="仿宋" w:hAnsi="仿宋" w:eastAsia="仿宋" w:cs="Times New Roman"/>
          <w:kern w:val="0"/>
          <w:sz w:val="28"/>
          <w:szCs w:val="28"/>
        </w:rPr>
        <w:t>。</w:t>
      </w:r>
    </w:p>
    <w:p>
      <w:pPr>
        <w:spacing w:line="360" w:lineRule="auto"/>
        <w:ind w:firstLine="602" w:firstLineChars="200"/>
        <w:jc w:val="left"/>
        <w:outlineLvl w:val="2"/>
        <w:rPr>
          <w:rFonts w:ascii="仿宋_GB2312" w:hAnsi="仿宋" w:eastAsia="仿宋_GB2312" w:cs="Times New Roman"/>
          <w:b/>
          <w:kern w:val="0"/>
          <w:sz w:val="30"/>
          <w:szCs w:val="30"/>
        </w:rPr>
      </w:pPr>
      <w:bookmarkStart w:id="41" w:name="_Toc104389955"/>
      <w:r>
        <w:rPr>
          <w:rFonts w:hint="eastAsia" w:ascii="仿宋_GB2312" w:hAnsi="仿宋" w:eastAsia="仿宋_GB2312" w:cs="Times New Roman"/>
          <w:b/>
          <w:kern w:val="0"/>
          <w:sz w:val="30"/>
          <w:szCs w:val="30"/>
        </w:rPr>
        <w:t>二、矿产资源勘查</w:t>
      </w:r>
      <w:bookmarkEnd w:id="41"/>
    </w:p>
    <w:p>
      <w:pPr>
        <w:spacing w:line="360" w:lineRule="auto"/>
        <w:ind w:firstLine="560" w:firstLineChars="200"/>
        <w:rPr>
          <w:rFonts w:ascii="仿宋" w:hAnsi="仿宋" w:eastAsia="仿宋" w:cs="Times New Roman"/>
          <w:spacing w:val="-4"/>
          <w:kern w:val="0"/>
          <w:sz w:val="28"/>
          <w:szCs w:val="28"/>
        </w:rPr>
      </w:pPr>
      <w:r>
        <w:rPr>
          <w:rFonts w:ascii="Times New Roman" w:hAnsi="Times New Roman" w:eastAsia="仿宋" w:cs="Times New Roman"/>
          <w:sz w:val="28"/>
          <w:szCs w:val="28"/>
        </w:rPr>
        <w:t>规划期内南昌市重点</w:t>
      </w:r>
      <w:r>
        <w:rPr>
          <w:rFonts w:hint="eastAsia" w:ascii="Times New Roman" w:hAnsi="Times New Roman" w:eastAsia="仿宋" w:cs="Times New Roman"/>
          <w:sz w:val="28"/>
          <w:szCs w:val="28"/>
        </w:rPr>
        <w:t>勘查</w:t>
      </w:r>
      <w:r>
        <w:rPr>
          <w:rFonts w:ascii="Times New Roman" w:hAnsi="Times New Roman" w:eastAsia="仿宋" w:cs="Times New Roman"/>
          <w:sz w:val="28"/>
          <w:szCs w:val="28"/>
        </w:rPr>
        <w:t>矿种为地热</w:t>
      </w:r>
      <w:r>
        <w:rPr>
          <w:rFonts w:hint="eastAsia" w:ascii="Times New Roman" w:hAnsi="Times New Roman" w:eastAsia="仿宋" w:cs="Times New Roman"/>
          <w:sz w:val="28"/>
          <w:szCs w:val="28"/>
        </w:rPr>
        <w:t>水</w:t>
      </w:r>
      <w:r>
        <w:rPr>
          <w:rFonts w:ascii="Times New Roman" w:hAnsi="Times New Roman" w:eastAsia="仿宋" w:cs="Times New Roman"/>
          <w:sz w:val="28"/>
          <w:szCs w:val="28"/>
        </w:rPr>
        <w:t>、矿泉水。</w:t>
      </w:r>
    </w:p>
    <w:p>
      <w:pPr>
        <w:spacing w:line="360" w:lineRule="auto"/>
        <w:ind w:firstLine="602" w:firstLineChars="200"/>
        <w:rPr>
          <w:rFonts w:ascii="仿宋" w:hAnsi="仿宋" w:eastAsia="仿宋" w:cs="Times New Roman"/>
          <w:kern w:val="0"/>
          <w:sz w:val="28"/>
          <w:szCs w:val="28"/>
        </w:rPr>
      </w:pPr>
      <w:r>
        <w:rPr>
          <w:rFonts w:hint="eastAsia" w:ascii="Times New Roman" w:hAnsi="Times New Roman" w:eastAsia="仿宋_GB2312" w:cs="Times New Roman"/>
          <w:b/>
          <w:kern w:val="0"/>
          <w:sz w:val="30"/>
          <w:szCs w:val="30"/>
        </w:rPr>
        <w:t>管理措施：</w:t>
      </w:r>
      <w:r>
        <w:rPr>
          <w:rFonts w:hint="eastAsia" w:ascii="宋体" w:hAnsi="宋体" w:eastAsia="宋体" w:cs="宋体"/>
          <w:sz w:val="28"/>
          <w:szCs w:val="28"/>
        </w:rPr>
        <w:t>1</w:t>
      </w:r>
      <w:r>
        <w:rPr>
          <w:rFonts w:ascii="宋体" w:hAnsi="宋体" w:eastAsia="宋体" w:cs="宋体"/>
          <w:sz w:val="28"/>
          <w:szCs w:val="28"/>
        </w:rPr>
        <w:t>.</w:t>
      </w:r>
      <w:r>
        <w:rPr>
          <w:rFonts w:hint="eastAsia" w:ascii="Times New Roman" w:hAnsi="Times New Roman" w:eastAsia="仿宋" w:cs="Times New Roman"/>
          <w:sz w:val="28"/>
          <w:szCs w:val="28"/>
        </w:rPr>
        <w:t>加大勘查投资和勘查力度，积极争取中央地质勘查基金、省级财政出资等经费优先投入勘查地热水。</w:t>
      </w:r>
      <w:r>
        <w:rPr>
          <w:rFonts w:hint="eastAsia" w:ascii="宋体" w:hAnsi="宋体" w:eastAsia="宋体" w:cs="宋体"/>
          <w:sz w:val="28"/>
          <w:szCs w:val="28"/>
        </w:rPr>
        <w:t>2</w:t>
      </w:r>
      <w:r>
        <w:rPr>
          <w:rFonts w:ascii="宋体" w:hAnsi="宋体" w:eastAsia="宋体" w:cs="宋体"/>
          <w:sz w:val="28"/>
          <w:szCs w:val="28"/>
        </w:rPr>
        <w:t>.</w:t>
      </w:r>
      <w:r>
        <w:rPr>
          <w:rFonts w:hint="eastAsia" w:ascii="Times New Roman" w:hAnsi="Times New Roman" w:eastAsia="仿宋" w:cs="Times New Roman"/>
          <w:sz w:val="28"/>
          <w:szCs w:val="28"/>
        </w:rPr>
        <w:t>优化勘查环境，构建和谐勘查氛围，吸引社会资金积极开展地热水、矿泉水的勘查开发利用。</w:t>
      </w:r>
      <w:r>
        <w:rPr>
          <w:rFonts w:hint="eastAsia" w:ascii="宋体" w:hAnsi="宋体" w:eastAsia="宋体" w:cs="宋体"/>
          <w:sz w:val="28"/>
          <w:szCs w:val="28"/>
        </w:rPr>
        <w:t>3</w:t>
      </w:r>
      <w:r>
        <w:rPr>
          <w:rFonts w:ascii="宋体" w:hAnsi="宋体" w:eastAsia="宋体" w:cs="宋体"/>
          <w:sz w:val="28"/>
          <w:szCs w:val="28"/>
        </w:rPr>
        <w:t>.</w:t>
      </w:r>
      <w:r>
        <w:rPr>
          <w:rFonts w:hint="eastAsia" w:ascii="Times New Roman" w:hAnsi="Times New Roman" w:eastAsia="仿宋" w:cs="Times New Roman"/>
          <w:sz w:val="28"/>
          <w:szCs w:val="28"/>
        </w:rPr>
        <w:t>对符合条件的矿业权，各级政府在相关优惠政策方面应给予大力支持。</w:t>
      </w:r>
    </w:p>
    <w:tbl>
      <w:tblPr>
        <w:tblStyle w:val="12"/>
        <w:tblW w:w="4952" w:type="pct"/>
        <w:tblInd w:w="0" w:type="dxa"/>
        <w:tblLayout w:type="autofit"/>
        <w:tblCellMar>
          <w:top w:w="0" w:type="dxa"/>
          <w:left w:w="108" w:type="dxa"/>
          <w:bottom w:w="0" w:type="dxa"/>
          <w:right w:w="108" w:type="dxa"/>
        </w:tblCellMar>
      </w:tblPr>
      <w:tblGrid>
        <w:gridCol w:w="2326"/>
        <w:gridCol w:w="1310"/>
        <w:gridCol w:w="874"/>
        <w:gridCol w:w="2329"/>
        <w:gridCol w:w="1601"/>
      </w:tblGrid>
      <w:tr>
        <w:tblPrEx>
          <w:tblCellMar>
            <w:top w:w="0" w:type="dxa"/>
            <w:left w:w="108" w:type="dxa"/>
            <w:bottom w:w="0" w:type="dxa"/>
            <w:right w:w="108" w:type="dxa"/>
          </w:tblCellMar>
        </w:tblPrEx>
        <w:trPr>
          <w:trHeight w:val="365" w:hRule="atLeast"/>
        </w:trPr>
        <w:tc>
          <w:tcPr>
            <w:tcW w:w="5000" w:type="pct"/>
            <w:gridSpan w:val="5"/>
            <w:tcBorders>
              <w:top w:val="single" w:color="auto" w:sz="4" w:space="0"/>
              <w:left w:val="single" w:color="auto" w:sz="4" w:space="0"/>
              <w:bottom w:val="single" w:color="auto" w:sz="4" w:space="0"/>
              <w:right w:val="single" w:color="000000" w:sz="4" w:space="0"/>
            </w:tcBorders>
            <w:shd w:val="clear" w:color="000000" w:fill="99CC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专栏</w:t>
            </w:r>
            <w:r>
              <w:rPr>
                <w:rFonts w:hint="eastAsia" w:ascii="Times New Roman" w:hAnsi="Times New Roman" w:eastAsia="仿宋_GB2312" w:cs="Times New Roman"/>
                <w:b/>
                <w:bCs/>
                <w:color w:val="000000"/>
                <w:kern w:val="0"/>
                <w:sz w:val="24"/>
                <w:szCs w:val="24"/>
              </w:rPr>
              <w:t>5</w:t>
            </w:r>
            <w:r>
              <w:rPr>
                <w:rFonts w:ascii="Times New Roman" w:hAnsi="Times New Roman" w:eastAsia="仿宋_GB2312" w:cs="Times New Roman"/>
                <w:b/>
                <w:bCs/>
                <w:color w:val="000000"/>
                <w:kern w:val="0"/>
                <w:sz w:val="24"/>
                <w:szCs w:val="24"/>
              </w:rPr>
              <w:t xml:space="preserve">-1   </w:t>
            </w:r>
            <w:r>
              <w:rPr>
                <w:rFonts w:hint="eastAsia" w:ascii="Times New Roman" w:hAnsi="Times New Roman" w:eastAsia="仿宋_GB2312" w:cs="Times New Roman"/>
                <w:b/>
                <w:bCs/>
                <w:color w:val="000000"/>
                <w:kern w:val="0"/>
                <w:sz w:val="24"/>
                <w:szCs w:val="24"/>
              </w:rPr>
              <w:t>南昌</w:t>
            </w:r>
            <w:r>
              <w:rPr>
                <w:rFonts w:ascii="Times New Roman" w:hAnsi="Times New Roman" w:eastAsia="仿宋_GB2312" w:cs="Times New Roman"/>
                <w:b/>
                <w:bCs/>
                <w:color w:val="000000"/>
                <w:kern w:val="0"/>
                <w:sz w:val="24"/>
                <w:szCs w:val="24"/>
              </w:rPr>
              <w:t>市矿产资源勘查重点项目</w:t>
            </w:r>
          </w:p>
        </w:tc>
      </w:tr>
      <w:tr>
        <w:tblPrEx>
          <w:tblCellMar>
            <w:top w:w="0" w:type="dxa"/>
            <w:left w:w="108" w:type="dxa"/>
            <w:bottom w:w="0" w:type="dxa"/>
            <w:right w:w="108" w:type="dxa"/>
          </w:tblCellMar>
        </w:tblPrEx>
        <w:trPr>
          <w:trHeight w:val="480" w:hRule="atLeast"/>
        </w:trPr>
        <w:tc>
          <w:tcPr>
            <w:tcW w:w="1378" w:type="pct"/>
            <w:tcBorders>
              <w:top w:val="nil"/>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名  称</w:t>
            </w:r>
          </w:p>
        </w:tc>
        <w:tc>
          <w:tcPr>
            <w:tcW w:w="776"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勘查矿种</w:t>
            </w:r>
          </w:p>
        </w:tc>
        <w:tc>
          <w:tcPr>
            <w:tcW w:w="518" w:type="pct"/>
            <w:tcBorders>
              <w:top w:val="nil"/>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类别</w:t>
            </w:r>
          </w:p>
        </w:tc>
        <w:tc>
          <w:tcPr>
            <w:tcW w:w="1380" w:type="pct"/>
            <w:tcBorders>
              <w:top w:val="single" w:color="auto" w:sz="4" w:space="0"/>
              <w:left w:val="nil"/>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预期</w:t>
            </w:r>
          </w:p>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主要成果</w:t>
            </w:r>
          </w:p>
        </w:tc>
        <w:tc>
          <w:tcPr>
            <w:tcW w:w="948" w:type="pct"/>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Times New Roman" w:hAnsi="Times New Roman" w:eastAsia="仿宋_GB2312" w:cs="Times New Roman"/>
                <w:b/>
                <w:bCs/>
                <w:color w:val="000000"/>
                <w:kern w:val="0"/>
                <w:sz w:val="24"/>
                <w:szCs w:val="24"/>
              </w:rPr>
            </w:pPr>
            <w:r>
              <w:rPr>
                <w:rFonts w:ascii="Times New Roman" w:hAnsi="Times New Roman" w:eastAsia="仿宋_GB2312" w:cs="Times New Roman"/>
                <w:b/>
                <w:bCs/>
                <w:color w:val="000000"/>
                <w:kern w:val="0"/>
                <w:sz w:val="24"/>
                <w:szCs w:val="24"/>
              </w:rPr>
              <w:t>出资类型</w:t>
            </w:r>
          </w:p>
        </w:tc>
      </w:tr>
      <w:tr>
        <w:tblPrEx>
          <w:tblCellMar>
            <w:top w:w="0" w:type="dxa"/>
            <w:left w:w="108" w:type="dxa"/>
            <w:bottom w:w="0" w:type="dxa"/>
            <w:right w:w="108" w:type="dxa"/>
          </w:tblCellMar>
        </w:tblPrEx>
        <w:trPr>
          <w:trHeight w:val="365" w:hRule="atLeast"/>
        </w:trPr>
        <w:tc>
          <w:tcPr>
            <w:tcW w:w="1378" w:type="pct"/>
            <w:tcBorders>
              <w:top w:val="nil"/>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南昌市湾里-厚田</w:t>
            </w:r>
          </w:p>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地热水重点勘查区</w:t>
            </w:r>
          </w:p>
        </w:tc>
        <w:tc>
          <w:tcPr>
            <w:tcW w:w="77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w:t>
            </w:r>
          </w:p>
        </w:tc>
        <w:tc>
          <w:tcPr>
            <w:tcW w:w="518"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省级</w:t>
            </w:r>
          </w:p>
        </w:tc>
        <w:tc>
          <w:tcPr>
            <w:tcW w:w="1380" w:type="pct"/>
            <w:tcBorders>
              <w:top w:val="single" w:color="auto" w:sz="4" w:space="0"/>
              <w:left w:val="nil"/>
              <w:bottom w:val="single" w:color="auto" w:sz="4" w:space="0"/>
              <w:right w:val="single" w:color="auto" w:sz="4" w:space="0"/>
            </w:tcBorders>
            <w:shd w:val="clear" w:color="000000" w:fill="CCFFFF"/>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b/>
                <w:bCs/>
                <w:sz w:val="24"/>
                <w:szCs w:val="24"/>
              </w:rPr>
              <w:t>新增资源量：</w:t>
            </w:r>
            <w:r>
              <w:rPr>
                <w:rFonts w:ascii="Times New Roman" w:hAnsi="Times New Roman" w:eastAsia="仿宋_GB2312" w:cs="Times New Roman"/>
                <w:sz w:val="24"/>
                <w:szCs w:val="24"/>
              </w:rPr>
              <w:t>地热水1200立方米/日</w:t>
            </w:r>
          </w:p>
        </w:tc>
        <w:tc>
          <w:tcPr>
            <w:tcW w:w="948" w:type="pct"/>
            <w:tcBorders>
              <w:top w:val="single" w:color="auto" w:sz="4" w:space="0"/>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财政、市场</w:t>
            </w:r>
          </w:p>
        </w:tc>
      </w:tr>
      <w:tr>
        <w:tblPrEx>
          <w:tblCellMar>
            <w:top w:w="0" w:type="dxa"/>
            <w:left w:w="108" w:type="dxa"/>
            <w:bottom w:w="0" w:type="dxa"/>
            <w:right w:w="108" w:type="dxa"/>
          </w:tblCellMar>
        </w:tblPrEx>
        <w:trPr>
          <w:trHeight w:val="285" w:hRule="atLeast"/>
        </w:trPr>
        <w:tc>
          <w:tcPr>
            <w:tcW w:w="1378" w:type="pct"/>
            <w:tcBorders>
              <w:top w:val="nil"/>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安义县新民地热水</w:t>
            </w:r>
          </w:p>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重点勘查区</w:t>
            </w:r>
          </w:p>
        </w:tc>
        <w:tc>
          <w:tcPr>
            <w:tcW w:w="77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w:t>
            </w:r>
          </w:p>
        </w:tc>
        <w:tc>
          <w:tcPr>
            <w:tcW w:w="518"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市级</w:t>
            </w:r>
          </w:p>
        </w:tc>
        <w:tc>
          <w:tcPr>
            <w:tcW w:w="1380" w:type="pct"/>
            <w:tcBorders>
              <w:top w:val="single" w:color="auto" w:sz="4" w:space="0"/>
              <w:left w:val="nil"/>
              <w:bottom w:val="single" w:color="auto" w:sz="4" w:space="0"/>
              <w:right w:val="single" w:color="auto" w:sz="4" w:space="0"/>
            </w:tcBorders>
            <w:shd w:val="clear" w:color="000000" w:fill="CCFFFF"/>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b/>
                <w:bCs/>
                <w:sz w:val="24"/>
                <w:szCs w:val="24"/>
              </w:rPr>
              <w:t>新增资源量：</w:t>
            </w:r>
            <w:r>
              <w:rPr>
                <w:rFonts w:ascii="Times New Roman" w:hAnsi="Times New Roman" w:eastAsia="仿宋_GB2312" w:cs="Times New Roman"/>
                <w:sz w:val="24"/>
                <w:szCs w:val="24"/>
              </w:rPr>
              <w:t>地热水600立方米/日</w:t>
            </w:r>
          </w:p>
        </w:tc>
        <w:tc>
          <w:tcPr>
            <w:tcW w:w="948" w:type="pct"/>
            <w:tcBorders>
              <w:top w:val="single" w:color="auto" w:sz="4" w:space="0"/>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财政、市场</w:t>
            </w:r>
          </w:p>
        </w:tc>
      </w:tr>
      <w:tr>
        <w:tblPrEx>
          <w:tblCellMar>
            <w:top w:w="0" w:type="dxa"/>
            <w:left w:w="108" w:type="dxa"/>
            <w:bottom w:w="0" w:type="dxa"/>
            <w:right w:w="108" w:type="dxa"/>
          </w:tblCellMar>
        </w:tblPrEx>
        <w:trPr>
          <w:trHeight w:val="285" w:hRule="atLeast"/>
        </w:trPr>
        <w:tc>
          <w:tcPr>
            <w:tcW w:w="1378" w:type="pct"/>
            <w:tcBorders>
              <w:top w:val="nil"/>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安义-湾里矿泉水</w:t>
            </w:r>
          </w:p>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重点勘查区</w:t>
            </w:r>
          </w:p>
        </w:tc>
        <w:tc>
          <w:tcPr>
            <w:tcW w:w="77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矿泉水</w:t>
            </w:r>
          </w:p>
        </w:tc>
        <w:tc>
          <w:tcPr>
            <w:tcW w:w="518"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市级</w:t>
            </w:r>
          </w:p>
        </w:tc>
        <w:tc>
          <w:tcPr>
            <w:tcW w:w="1380" w:type="pct"/>
            <w:tcBorders>
              <w:top w:val="single" w:color="auto" w:sz="4" w:space="0"/>
              <w:left w:val="nil"/>
              <w:bottom w:val="single" w:color="auto" w:sz="4" w:space="0"/>
              <w:right w:val="single" w:color="auto" w:sz="4" w:space="0"/>
            </w:tcBorders>
            <w:shd w:val="clear" w:color="000000" w:fill="CCFFFF"/>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b/>
                <w:bCs/>
                <w:sz w:val="24"/>
                <w:szCs w:val="24"/>
              </w:rPr>
              <w:t>新增资源量：</w:t>
            </w:r>
            <w:r>
              <w:rPr>
                <w:rFonts w:ascii="Times New Roman" w:hAnsi="Times New Roman" w:eastAsia="仿宋_GB2312" w:cs="Times New Roman"/>
                <w:sz w:val="24"/>
                <w:szCs w:val="24"/>
              </w:rPr>
              <w:t>矿泉水1000立方米/日</w:t>
            </w:r>
          </w:p>
        </w:tc>
        <w:tc>
          <w:tcPr>
            <w:tcW w:w="948" w:type="pct"/>
            <w:tcBorders>
              <w:top w:val="single" w:color="auto" w:sz="4" w:space="0"/>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市场</w:t>
            </w:r>
          </w:p>
        </w:tc>
      </w:tr>
      <w:tr>
        <w:tblPrEx>
          <w:tblCellMar>
            <w:top w:w="0" w:type="dxa"/>
            <w:left w:w="108" w:type="dxa"/>
            <w:bottom w:w="0" w:type="dxa"/>
            <w:right w:w="108" w:type="dxa"/>
          </w:tblCellMar>
        </w:tblPrEx>
        <w:trPr>
          <w:trHeight w:val="285" w:hRule="atLeast"/>
        </w:trPr>
        <w:tc>
          <w:tcPr>
            <w:tcW w:w="1378" w:type="pct"/>
            <w:tcBorders>
              <w:top w:val="nil"/>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进贤县七里-梅庄</w:t>
            </w:r>
          </w:p>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地热水、矿泉水</w:t>
            </w:r>
          </w:p>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重点勘查区</w:t>
            </w:r>
          </w:p>
        </w:tc>
        <w:tc>
          <w:tcPr>
            <w:tcW w:w="776"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地热水</w:t>
            </w:r>
          </w:p>
        </w:tc>
        <w:tc>
          <w:tcPr>
            <w:tcW w:w="518" w:type="pct"/>
            <w:tcBorders>
              <w:top w:val="nil"/>
              <w:left w:val="nil"/>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市级</w:t>
            </w:r>
          </w:p>
        </w:tc>
        <w:tc>
          <w:tcPr>
            <w:tcW w:w="1380" w:type="pct"/>
            <w:tcBorders>
              <w:top w:val="single" w:color="auto" w:sz="4" w:space="0"/>
              <w:left w:val="nil"/>
              <w:bottom w:val="single" w:color="auto" w:sz="4" w:space="0"/>
              <w:right w:val="single" w:color="auto" w:sz="4" w:space="0"/>
            </w:tcBorders>
            <w:shd w:val="clear" w:color="000000" w:fill="CCFFFF"/>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b/>
                <w:bCs/>
                <w:sz w:val="24"/>
                <w:szCs w:val="24"/>
              </w:rPr>
              <w:t>新增资源量：</w:t>
            </w:r>
            <w:r>
              <w:rPr>
                <w:rFonts w:ascii="Times New Roman" w:hAnsi="Times New Roman" w:eastAsia="仿宋_GB2312" w:cs="Times New Roman"/>
                <w:sz w:val="24"/>
                <w:szCs w:val="24"/>
              </w:rPr>
              <w:t>地热水1200立方米/日</w:t>
            </w:r>
          </w:p>
        </w:tc>
        <w:tc>
          <w:tcPr>
            <w:tcW w:w="948" w:type="pct"/>
            <w:tcBorders>
              <w:top w:val="single" w:color="auto" w:sz="4" w:space="0"/>
              <w:left w:val="single" w:color="auto" w:sz="4" w:space="0"/>
              <w:bottom w:val="single" w:color="auto" w:sz="4" w:space="0"/>
              <w:right w:val="single" w:color="auto" w:sz="4" w:space="0"/>
            </w:tcBorders>
            <w:shd w:val="clear" w:color="000000" w:fill="CCFFFF"/>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市场</w:t>
            </w:r>
          </w:p>
        </w:tc>
      </w:tr>
    </w:tbl>
    <w:p>
      <w:pPr>
        <w:spacing w:line="360" w:lineRule="auto"/>
        <w:ind w:firstLine="560" w:firstLineChars="200"/>
        <w:rPr>
          <w:rFonts w:ascii="仿宋" w:hAnsi="仿宋" w:eastAsia="仿宋" w:cs="Times New Roman"/>
          <w:spacing w:val="-4"/>
          <w:kern w:val="0"/>
          <w:sz w:val="28"/>
          <w:szCs w:val="28"/>
        </w:rPr>
      </w:pPr>
      <w:r>
        <w:rPr>
          <w:rFonts w:hint="eastAsia" w:ascii="仿宋" w:hAnsi="仿宋" w:eastAsia="仿宋" w:cs="Times New Roman"/>
          <w:kern w:val="0"/>
          <w:sz w:val="28"/>
          <w:szCs w:val="28"/>
        </w:rPr>
        <w:t>砂石土类矿产不设置探矿权，由政府出资进行勘查后，直接出让采矿权。</w:t>
      </w:r>
    </w:p>
    <w:p>
      <w:pPr>
        <w:spacing w:before="156" w:beforeLines="50" w:after="156" w:afterLines="50" w:line="360" w:lineRule="auto"/>
        <w:jc w:val="center"/>
        <w:outlineLvl w:val="1"/>
        <w:rPr>
          <w:rFonts w:ascii="仿宋_GB2312" w:hAnsi="Calibri" w:eastAsia="仿宋_GB2312" w:cs="Times New Roman"/>
          <w:b/>
          <w:kern w:val="0"/>
          <w:sz w:val="32"/>
        </w:rPr>
      </w:pPr>
      <w:bookmarkStart w:id="42" w:name="_Toc104389956"/>
      <w:r>
        <w:rPr>
          <w:rFonts w:ascii="仿宋_GB2312" w:hAnsi="Calibri" w:eastAsia="仿宋_GB2312" w:cs="Times New Roman"/>
          <w:b/>
          <w:kern w:val="0"/>
          <w:sz w:val="32"/>
        </w:rPr>
        <w:t>第二节</w:t>
      </w:r>
      <w:r>
        <w:rPr>
          <w:rFonts w:hint="eastAsia" w:ascii="仿宋_GB2312" w:hAnsi="Calibri" w:eastAsia="仿宋_GB2312" w:cs="Times New Roman"/>
          <w:b/>
          <w:kern w:val="0"/>
          <w:sz w:val="32"/>
        </w:rPr>
        <w:t xml:space="preserve"> </w:t>
      </w:r>
      <w:r>
        <w:rPr>
          <w:rFonts w:ascii="仿宋_GB2312" w:hAnsi="Calibri" w:eastAsia="仿宋_GB2312" w:cs="Times New Roman"/>
          <w:b/>
          <w:kern w:val="0"/>
          <w:sz w:val="32"/>
        </w:rPr>
        <w:t xml:space="preserve"> 开发利用与保护</w:t>
      </w:r>
      <w:bookmarkEnd w:id="42"/>
    </w:p>
    <w:p>
      <w:pPr>
        <w:spacing w:line="360" w:lineRule="auto"/>
        <w:ind w:firstLine="602" w:firstLineChars="200"/>
        <w:jc w:val="left"/>
        <w:outlineLvl w:val="2"/>
        <w:rPr>
          <w:rFonts w:ascii="仿宋" w:hAnsi="仿宋" w:eastAsia="仿宋" w:cs="Times New Roman"/>
          <w:spacing w:val="-4"/>
          <w:kern w:val="0"/>
          <w:sz w:val="28"/>
          <w:szCs w:val="28"/>
        </w:rPr>
      </w:pPr>
      <w:bookmarkStart w:id="43" w:name="_Toc104389957"/>
      <w:r>
        <w:rPr>
          <w:rFonts w:hint="eastAsia" w:ascii="仿宋_GB2312" w:hAnsi="仿宋" w:eastAsia="仿宋_GB2312" w:cs="Times New Roman"/>
          <w:b/>
          <w:kern w:val="0"/>
          <w:sz w:val="30"/>
          <w:szCs w:val="30"/>
        </w:rPr>
        <w:t>一、明确开发利用方向</w:t>
      </w:r>
      <w:bookmarkEnd w:id="43"/>
    </w:p>
    <w:p>
      <w:pPr>
        <w:spacing w:line="360" w:lineRule="auto"/>
        <w:ind w:firstLine="544" w:firstLineChars="200"/>
        <w:rPr>
          <w:rFonts w:ascii="仿宋" w:hAnsi="仿宋" w:eastAsia="仿宋" w:cs="Times New Roman"/>
          <w:spacing w:val="-4"/>
          <w:kern w:val="0"/>
          <w:sz w:val="28"/>
          <w:szCs w:val="28"/>
        </w:rPr>
      </w:pPr>
      <w:r>
        <w:rPr>
          <w:rFonts w:ascii="仿宋" w:hAnsi="仿宋" w:eastAsia="仿宋" w:cs="Times New Roman"/>
          <w:spacing w:val="-4"/>
          <w:kern w:val="0"/>
          <w:sz w:val="28"/>
          <w:szCs w:val="28"/>
        </w:rPr>
        <w:t>根据《江西省矿产资源规划（2021--2025年）》要求，结合南昌市区域成矿地质条件、矿产资源潜力和勘查开发利用现状，</w:t>
      </w:r>
      <w:r>
        <w:rPr>
          <w:rFonts w:ascii="Times New Roman" w:hAnsi="Times New Roman" w:eastAsia="仿宋" w:cs="Times New Roman"/>
          <w:sz w:val="28"/>
          <w:szCs w:val="28"/>
        </w:rPr>
        <w:t>综合考虑工业布局和经济发展状况</w:t>
      </w:r>
      <w:r>
        <w:rPr>
          <w:rFonts w:hint="eastAsia" w:ascii="Times New Roman" w:hAnsi="Times New Roman" w:eastAsia="仿宋" w:cs="Times New Roman"/>
          <w:sz w:val="28"/>
          <w:szCs w:val="28"/>
        </w:rPr>
        <w:t>，</w:t>
      </w:r>
      <w:r>
        <w:rPr>
          <w:rFonts w:ascii="仿宋" w:hAnsi="仿宋" w:eastAsia="仿宋" w:cs="Times New Roman"/>
          <w:spacing w:val="-4"/>
          <w:kern w:val="0"/>
          <w:sz w:val="28"/>
          <w:szCs w:val="28"/>
        </w:rPr>
        <w:t>确定本市</w:t>
      </w:r>
      <w:r>
        <w:rPr>
          <w:rFonts w:hint="eastAsia" w:ascii="仿宋" w:hAnsi="仿宋" w:eastAsia="仿宋" w:cs="Times New Roman"/>
          <w:spacing w:val="-4"/>
          <w:kern w:val="0"/>
          <w:sz w:val="28"/>
          <w:szCs w:val="28"/>
        </w:rPr>
        <w:t>开采调控</w:t>
      </w:r>
      <w:r>
        <w:rPr>
          <w:rFonts w:ascii="仿宋" w:hAnsi="仿宋" w:eastAsia="仿宋" w:cs="Times New Roman"/>
          <w:spacing w:val="-4"/>
          <w:kern w:val="0"/>
          <w:sz w:val="28"/>
          <w:szCs w:val="28"/>
        </w:rPr>
        <w:t>方向</w:t>
      </w:r>
      <w:r>
        <w:rPr>
          <w:rFonts w:hint="eastAsia" w:ascii="仿宋" w:hAnsi="仿宋" w:eastAsia="仿宋" w:cs="Times New Roman"/>
          <w:spacing w:val="-4"/>
          <w:kern w:val="0"/>
          <w:sz w:val="28"/>
          <w:szCs w:val="28"/>
        </w:rPr>
        <w:t>：</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1</w:t>
      </w:r>
      <w:r>
        <w:rPr>
          <w:rFonts w:ascii="仿宋" w:hAnsi="仿宋" w:eastAsia="仿宋" w:cs="Times New Roman"/>
          <w:spacing w:val="-4"/>
          <w:kern w:val="0"/>
          <w:sz w:val="28"/>
          <w:szCs w:val="28"/>
        </w:rPr>
        <w:t>.重点开发利用地热</w:t>
      </w:r>
      <w:r>
        <w:rPr>
          <w:rFonts w:hint="eastAsia" w:ascii="仿宋" w:hAnsi="仿宋" w:eastAsia="仿宋" w:cs="Times New Roman"/>
          <w:spacing w:val="-4"/>
          <w:kern w:val="0"/>
          <w:sz w:val="28"/>
          <w:szCs w:val="28"/>
        </w:rPr>
        <w:t>水</w:t>
      </w:r>
      <w:r>
        <w:rPr>
          <w:rFonts w:ascii="仿宋" w:hAnsi="仿宋" w:eastAsia="仿宋" w:cs="Times New Roman"/>
          <w:spacing w:val="-4"/>
          <w:kern w:val="0"/>
          <w:sz w:val="28"/>
          <w:szCs w:val="28"/>
        </w:rPr>
        <w:t>绿色矿产资源，大力发展与此相关的特色生态旅游产业，打造南昌市旅游休闲胜地。同时立足资源优势和产业基础，建设具有省内外影响的地热产业基地，为本市矿业经济的可持续发展提供支撑。</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2</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进贤地区矿泉水资源优势明显，湾里地区矿泉水资源潜力较大，推进矿泉水资源勘查开发，努力打造</w:t>
      </w:r>
      <w:r>
        <w:rPr>
          <w:rFonts w:ascii="仿宋" w:hAnsi="仿宋" w:eastAsia="仿宋" w:cs="Times New Roman"/>
          <w:spacing w:val="-4"/>
          <w:kern w:val="0"/>
          <w:sz w:val="28"/>
          <w:szCs w:val="28"/>
        </w:rPr>
        <w:t>优质矿泉水品牌</w:t>
      </w:r>
      <w:r>
        <w:rPr>
          <w:rFonts w:hint="eastAsia" w:ascii="仿宋" w:hAnsi="仿宋" w:eastAsia="仿宋" w:cs="Times New Roman"/>
          <w:spacing w:val="-4"/>
          <w:kern w:val="0"/>
          <w:sz w:val="28"/>
          <w:szCs w:val="28"/>
        </w:rPr>
        <w:t>。</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3</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适度有序开发利用城乡建设必需的建筑用石料、砖瓦用页岩等矿产资源。</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4</w:t>
      </w:r>
      <w:r>
        <w:rPr>
          <w:rFonts w:ascii="仿宋" w:hAnsi="仿宋" w:eastAsia="仿宋" w:cs="Times New Roman"/>
          <w:spacing w:val="-4"/>
          <w:kern w:val="0"/>
          <w:sz w:val="28"/>
          <w:szCs w:val="28"/>
        </w:rPr>
        <w:t>.禁止</w:t>
      </w:r>
      <w:r>
        <w:rPr>
          <w:rFonts w:hint="eastAsia" w:ascii="仿宋" w:hAnsi="仿宋" w:eastAsia="仿宋" w:cs="Times New Roman"/>
          <w:spacing w:val="-4"/>
          <w:kern w:val="0"/>
          <w:sz w:val="28"/>
          <w:szCs w:val="28"/>
        </w:rPr>
        <w:t>开采可耕地的</w:t>
      </w:r>
      <w:r>
        <w:rPr>
          <w:rFonts w:ascii="仿宋" w:hAnsi="仿宋" w:eastAsia="仿宋" w:cs="Times New Roman"/>
          <w:spacing w:val="-4"/>
          <w:kern w:val="0"/>
          <w:sz w:val="28"/>
          <w:szCs w:val="28"/>
        </w:rPr>
        <w:t>砖瓦用粘土。</w:t>
      </w:r>
    </w:p>
    <w:p>
      <w:pPr>
        <w:spacing w:line="360" w:lineRule="auto"/>
        <w:ind w:firstLine="602" w:firstLineChars="200"/>
        <w:jc w:val="left"/>
        <w:outlineLvl w:val="2"/>
        <w:rPr>
          <w:rFonts w:ascii="仿宋_GB2312" w:hAnsi="Calibri" w:eastAsia="仿宋_GB2312" w:cs="Times New Roman"/>
          <w:b/>
          <w:kern w:val="0"/>
          <w:sz w:val="32"/>
        </w:rPr>
      </w:pPr>
      <w:bookmarkStart w:id="44" w:name="_Toc104389958"/>
      <w:r>
        <w:rPr>
          <w:rFonts w:hint="eastAsia" w:ascii="仿宋_GB2312" w:hAnsi="仿宋" w:eastAsia="仿宋_GB2312" w:cs="Times New Roman"/>
          <w:b/>
          <w:kern w:val="0"/>
          <w:sz w:val="30"/>
          <w:szCs w:val="30"/>
        </w:rPr>
        <w:t>二、调控</w:t>
      </w:r>
      <w:r>
        <w:rPr>
          <w:rFonts w:ascii="仿宋_GB2312" w:hAnsi="仿宋" w:eastAsia="仿宋_GB2312" w:cs="Times New Roman"/>
          <w:b/>
          <w:kern w:val="0"/>
          <w:sz w:val="30"/>
          <w:szCs w:val="30"/>
        </w:rPr>
        <w:t>开发</w:t>
      </w:r>
      <w:r>
        <w:rPr>
          <w:rFonts w:hint="eastAsia" w:ascii="仿宋_GB2312" w:hAnsi="仿宋" w:eastAsia="仿宋_GB2312" w:cs="Times New Roman"/>
          <w:b/>
          <w:kern w:val="0"/>
          <w:sz w:val="30"/>
          <w:szCs w:val="30"/>
        </w:rPr>
        <w:t>利用</w:t>
      </w:r>
      <w:r>
        <w:rPr>
          <w:rFonts w:ascii="仿宋_GB2312" w:hAnsi="仿宋" w:eastAsia="仿宋_GB2312" w:cs="Times New Roman"/>
          <w:b/>
          <w:kern w:val="0"/>
          <w:sz w:val="30"/>
          <w:szCs w:val="30"/>
        </w:rPr>
        <w:t>强度</w:t>
      </w:r>
      <w:bookmarkEnd w:id="44"/>
    </w:p>
    <w:p>
      <w:pPr>
        <w:autoSpaceDE w:val="0"/>
        <w:autoSpaceDN w:val="0"/>
        <w:adjustRightInd w:val="0"/>
        <w:ind w:firstLine="520"/>
        <w:jc w:val="left"/>
        <w:rPr>
          <w:rFonts w:ascii="Times New Roman" w:hAnsi="Times New Roman" w:eastAsia="仿宋" w:cs="Times New Roman"/>
          <w:kern w:val="0"/>
          <w:sz w:val="28"/>
          <w:szCs w:val="28"/>
        </w:rPr>
      </w:pPr>
      <w:r>
        <w:rPr>
          <w:rFonts w:ascii="Times New Roman" w:hAnsi="Times New Roman" w:eastAsia="仿宋" w:cs="Times New Roman"/>
          <w:kern w:val="0"/>
          <w:sz w:val="28"/>
          <w:szCs w:val="28"/>
        </w:rPr>
        <w:t>到2025年，</w:t>
      </w:r>
      <w:r>
        <w:rPr>
          <w:rFonts w:hint="eastAsia" w:ascii="Times New Roman" w:hAnsi="Times New Roman" w:eastAsia="仿宋" w:cs="Times New Roman"/>
          <w:kern w:val="0"/>
          <w:sz w:val="28"/>
          <w:szCs w:val="28"/>
        </w:rPr>
        <w:t>南昌市预期的矿产资源开采总量为固体矿产</w:t>
      </w:r>
      <w:r>
        <w:rPr>
          <w:rFonts w:ascii="仿宋" w:hAnsi="仿宋" w:eastAsia="仿宋" w:cs="Times New Roman"/>
          <w:spacing w:val="-4"/>
          <w:kern w:val="0"/>
          <w:sz w:val="28"/>
          <w:szCs w:val="28"/>
        </w:rPr>
        <w:t>22</w:t>
      </w:r>
      <w:r>
        <w:rPr>
          <w:rFonts w:hint="eastAsia" w:ascii="仿宋" w:hAnsi="仿宋" w:eastAsia="仿宋" w:cs="Times New Roman"/>
          <w:spacing w:val="-4"/>
          <w:kern w:val="0"/>
          <w:sz w:val="28"/>
          <w:szCs w:val="28"/>
        </w:rPr>
        <w:t>0万吨、水气矿产2</w:t>
      </w:r>
      <w:r>
        <w:rPr>
          <w:rFonts w:ascii="仿宋" w:hAnsi="仿宋" w:eastAsia="仿宋" w:cs="Times New Roman"/>
          <w:spacing w:val="-4"/>
          <w:kern w:val="0"/>
          <w:sz w:val="28"/>
          <w:szCs w:val="28"/>
        </w:rPr>
        <w:t>10</w:t>
      </w:r>
      <w:r>
        <w:rPr>
          <w:rFonts w:hint="eastAsia" w:ascii="仿宋" w:hAnsi="仿宋" w:eastAsia="仿宋" w:cs="Times New Roman"/>
          <w:spacing w:val="-4"/>
          <w:kern w:val="0"/>
          <w:sz w:val="28"/>
          <w:szCs w:val="28"/>
        </w:rPr>
        <w:t>万吨</w:t>
      </w:r>
      <w:r>
        <w:rPr>
          <w:rFonts w:hint="eastAsia" w:ascii="Times New Roman" w:hAnsi="Times New Roman" w:eastAsia="仿宋" w:cs="Times New Roman"/>
          <w:kern w:val="0"/>
          <w:sz w:val="28"/>
          <w:szCs w:val="28"/>
        </w:rPr>
        <w:t>。扩大建筑石料用灰岩、砖瓦用页岩开发规模，新增地热水、矿泉水开发利用</w:t>
      </w:r>
      <w:r>
        <w:rPr>
          <w:rFonts w:ascii="Times New Roman" w:hAnsi="Times New Roman" w:eastAsia="仿宋" w:cs="Times New Roman"/>
          <w:kern w:val="0"/>
          <w:sz w:val="28"/>
          <w:szCs w:val="28"/>
        </w:rPr>
        <w:t>。</w:t>
      </w:r>
    </w:p>
    <w:p>
      <w:pPr>
        <w:autoSpaceDE w:val="0"/>
        <w:autoSpaceDN w:val="0"/>
        <w:adjustRightInd w:val="0"/>
        <w:ind w:firstLine="520"/>
        <w:jc w:val="left"/>
        <w:rPr>
          <w:rFonts w:ascii="Times New Roman" w:hAnsi="Times New Roman" w:eastAsia="仿宋" w:cs="Times New Roman"/>
          <w:b/>
          <w:kern w:val="0"/>
          <w:sz w:val="24"/>
          <w:szCs w:val="24"/>
        </w:rPr>
      </w:pPr>
      <w:r>
        <w:rPr>
          <w:rFonts w:hint="eastAsia" w:ascii="Times New Roman" w:hAnsi="Times New Roman" w:eastAsia="仿宋" w:cs="Times New Roman"/>
          <w:sz w:val="28"/>
          <w:szCs w:val="28"/>
        </w:rPr>
        <w:t>根据产业政策及省级规划要求，砖瓦用粘土矿逐步退出。结合</w:t>
      </w:r>
      <w:r>
        <w:rPr>
          <w:rFonts w:ascii="Times New Roman" w:hAnsi="Times New Roman" w:eastAsia="仿宋" w:cs="Times New Roman"/>
          <w:sz w:val="28"/>
          <w:szCs w:val="28"/>
        </w:rPr>
        <w:t>规划期内南昌市城镇化建设对砖瓦仍有较大需求</w:t>
      </w:r>
      <w:r>
        <w:rPr>
          <w:rFonts w:hint="eastAsia" w:ascii="Times New Roman" w:hAnsi="Times New Roman" w:eastAsia="仿宋" w:cs="Times New Roman"/>
          <w:sz w:val="28"/>
          <w:szCs w:val="28"/>
        </w:rPr>
        <w:t>，适当提高砖瓦用页岩的总量。发展绿色矿业，</w:t>
      </w:r>
      <w:r>
        <w:rPr>
          <w:rFonts w:ascii="Times New Roman" w:hAnsi="Times New Roman" w:eastAsia="仿宋" w:cs="Times New Roman"/>
          <w:sz w:val="28"/>
          <w:szCs w:val="28"/>
        </w:rPr>
        <w:t>加大对生态环境无影响或影响较小的地热</w:t>
      </w:r>
      <w:r>
        <w:rPr>
          <w:rFonts w:hint="eastAsia" w:ascii="Times New Roman" w:hAnsi="Times New Roman" w:eastAsia="仿宋" w:cs="Times New Roman"/>
          <w:sz w:val="28"/>
          <w:szCs w:val="28"/>
        </w:rPr>
        <w:t>水</w:t>
      </w:r>
      <w:r>
        <w:rPr>
          <w:rFonts w:ascii="Times New Roman" w:hAnsi="Times New Roman" w:eastAsia="仿宋" w:cs="Times New Roman"/>
          <w:sz w:val="28"/>
          <w:szCs w:val="28"/>
        </w:rPr>
        <w:t>、矿泉水等</w:t>
      </w:r>
      <w:r>
        <w:rPr>
          <w:rFonts w:hint="eastAsia" w:ascii="Times New Roman" w:hAnsi="Times New Roman" w:eastAsia="仿宋" w:cs="Times New Roman"/>
          <w:sz w:val="28"/>
          <w:szCs w:val="28"/>
        </w:rPr>
        <w:t>水气</w:t>
      </w:r>
      <w:r>
        <w:rPr>
          <w:rFonts w:ascii="Times New Roman" w:hAnsi="Times New Roman" w:eastAsia="仿宋" w:cs="Times New Roman"/>
          <w:sz w:val="28"/>
          <w:szCs w:val="28"/>
        </w:rPr>
        <w:t>矿产的开发利用。</w:t>
      </w:r>
      <w:r>
        <w:rPr>
          <w:rFonts w:ascii="Times New Roman" w:hAnsi="Times New Roman" w:eastAsia="仿宋" w:cs="Times New Roman"/>
          <w:kern w:val="0"/>
          <w:sz w:val="28"/>
          <w:szCs w:val="28"/>
        </w:rPr>
        <w:t>南昌市主要矿产开采总量</w:t>
      </w:r>
      <w:r>
        <w:rPr>
          <w:rFonts w:hint="eastAsia" w:ascii="Times New Roman" w:hAnsi="Times New Roman" w:eastAsia="仿宋" w:cs="Times New Roman"/>
          <w:kern w:val="0"/>
          <w:sz w:val="28"/>
          <w:szCs w:val="28"/>
        </w:rPr>
        <w:t>调控</w:t>
      </w:r>
      <w:r>
        <w:rPr>
          <w:rFonts w:ascii="Times New Roman" w:hAnsi="Times New Roman" w:eastAsia="仿宋" w:cs="Times New Roman"/>
          <w:kern w:val="0"/>
          <w:sz w:val="28"/>
          <w:szCs w:val="28"/>
        </w:rPr>
        <w:t>指标见</w:t>
      </w:r>
      <w:r>
        <w:rPr>
          <w:rFonts w:hint="eastAsia" w:ascii="仿宋" w:hAnsi="仿宋" w:eastAsia="仿宋" w:cs="Times New Roman"/>
          <w:kern w:val="0"/>
          <w:sz w:val="28"/>
          <w:szCs w:val="28"/>
        </w:rPr>
        <w:t>专栏</w:t>
      </w:r>
      <w:r>
        <w:rPr>
          <w:rFonts w:ascii="Times New Roman" w:hAnsi="Times New Roman" w:eastAsia="仿宋" w:cs="Times New Roman"/>
          <w:kern w:val="0"/>
          <w:sz w:val="28"/>
          <w:szCs w:val="28"/>
        </w:rPr>
        <w:t>5-2</w:t>
      </w:r>
      <w:r>
        <w:rPr>
          <w:rFonts w:hint="eastAsia" w:ascii="Times New Roman" w:hAnsi="Times New Roman" w:eastAsia="仿宋" w:cs="Times New Roman"/>
          <w:kern w:val="0"/>
          <w:sz w:val="28"/>
          <w:szCs w:val="28"/>
        </w:rPr>
        <w:t>。</w:t>
      </w:r>
    </w:p>
    <w:p>
      <w:pPr>
        <w:autoSpaceDE w:val="0"/>
        <w:autoSpaceDN w:val="0"/>
        <w:adjustRightInd w:val="0"/>
        <w:ind w:firstLine="520"/>
        <w:jc w:val="left"/>
        <w:rPr>
          <w:rFonts w:ascii="Times New Roman" w:hAnsi="Times New Roman" w:eastAsia="仿宋" w:cs="Times New Roman"/>
          <w:sz w:val="28"/>
          <w:szCs w:val="28"/>
        </w:rPr>
      </w:pPr>
      <w:r>
        <w:rPr>
          <w:rFonts w:ascii="Times New Roman" w:hAnsi="Times New Roman" w:eastAsia="仿宋" w:cs="Times New Roman"/>
          <w:b/>
          <w:bCs/>
          <w:sz w:val="28"/>
          <w:szCs w:val="28"/>
          <w:lang w:val="zh-CN"/>
        </w:rPr>
        <w:t>管</w:t>
      </w:r>
      <w:r>
        <w:rPr>
          <w:rFonts w:hint="eastAsia" w:ascii="Times New Roman" w:hAnsi="Times New Roman" w:eastAsia="仿宋" w:cs="Times New Roman"/>
          <w:b/>
          <w:bCs/>
          <w:sz w:val="28"/>
          <w:szCs w:val="28"/>
          <w:lang w:val="zh-CN"/>
        </w:rPr>
        <w:t>控</w:t>
      </w:r>
      <w:r>
        <w:rPr>
          <w:rFonts w:ascii="Times New Roman" w:hAnsi="Times New Roman" w:eastAsia="仿宋" w:cs="Times New Roman"/>
          <w:b/>
          <w:bCs/>
          <w:sz w:val="28"/>
          <w:szCs w:val="28"/>
          <w:lang w:val="zh-CN"/>
        </w:rPr>
        <w:t>措施：</w:t>
      </w:r>
      <w:r>
        <w:rPr>
          <w:rFonts w:hint="eastAsia" w:ascii="宋体" w:hAnsi="宋体" w:eastAsia="宋体" w:cs="宋体"/>
          <w:sz w:val="28"/>
          <w:szCs w:val="28"/>
        </w:rPr>
        <w:t>1</w:t>
      </w:r>
      <w:r>
        <w:rPr>
          <w:rFonts w:ascii="宋体" w:hAnsi="宋体" w:eastAsia="宋体" w:cs="宋体"/>
          <w:sz w:val="28"/>
          <w:szCs w:val="28"/>
        </w:rPr>
        <w:t>.</w:t>
      </w:r>
      <w:r>
        <w:rPr>
          <w:rFonts w:ascii="Times New Roman" w:hAnsi="Times New Roman" w:eastAsia="仿宋" w:cs="Times New Roman"/>
          <w:sz w:val="28"/>
          <w:szCs w:val="28"/>
        </w:rPr>
        <w:t>开展年度供需预测分析，通过分析报告合理调控矿产资源开采总量。</w:t>
      </w:r>
      <w:r>
        <w:rPr>
          <w:rFonts w:hint="eastAsia" w:ascii="宋体" w:hAnsi="宋体" w:eastAsia="宋体" w:cs="宋体"/>
          <w:sz w:val="28"/>
          <w:szCs w:val="28"/>
        </w:rPr>
        <w:t>2</w:t>
      </w:r>
      <w:r>
        <w:rPr>
          <w:rFonts w:ascii="宋体" w:hAnsi="宋体" w:eastAsia="宋体" w:cs="宋体"/>
          <w:sz w:val="28"/>
          <w:szCs w:val="28"/>
        </w:rPr>
        <w:t>.</w:t>
      </w:r>
      <w:r>
        <w:rPr>
          <w:rFonts w:ascii="Times New Roman" w:hAnsi="Times New Roman" w:eastAsia="仿宋" w:cs="Times New Roman"/>
          <w:sz w:val="28"/>
          <w:szCs w:val="28"/>
        </w:rPr>
        <w:t>严格执行年度储量动态监测、开发利用情况年报制度。</w:t>
      </w:r>
      <w:r>
        <w:rPr>
          <w:rFonts w:hint="eastAsia" w:ascii="宋体" w:hAnsi="宋体" w:eastAsia="宋体" w:cs="宋体"/>
          <w:sz w:val="28"/>
          <w:szCs w:val="28"/>
        </w:rPr>
        <w:t>3</w:t>
      </w:r>
      <w:r>
        <w:rPr>
          <w:rFonts w:ascii="宋体" w:hAnsi="宋体" w:eastAsia="宋体" w:cs="宋体"/>
          <w:sz w:val="28"/>
          <w:szCs w:val="28"/>
        </w:rPr>
        <w:t>.</w:t>
      </w:r>
      <w:r>
        <w:rPr>
          <w:rFonts w:ascii="Times New Roman" w:hAnsi="Times New Roman" w:eastAsia="仿宋" w:cs="Times New Roman"/>
          <w:sz w:val="28"/>
          <w:szCs w:val="28"/>
        </w:rPr>
        <w:t>加强矿山规模化、集约化开发。</w:t>
      </w:r>
    </w:p>
    <w:tbl>
      <w:tblPr>
        <w:tblStyle w:val="16"/>
        <w:tblW w:w="7933" w:type="dxa"/>
        <w:jc w:val="center"/>
        <w:tblLayout w:type="fixed"/>
        <w:tblCellMar>
          <w:top w:w="0" w:type="dxa"/>
          <w:left w:w="0" w:type="dxa"/>
          <w:bottom w:w="0" w:type="dxa"/>
          <w:right w:w="0" w:type="dxa"/>
        </w:tblCellMar>
      </w:tblPr>
      <w:tblGrid>
        <w:gridCol w:w="988"/>
        <w:gridCol w:w="1281"/>
        <w:gridCol w:w="992"/>
        <w:gridCol w:w="845"/>
        <w:gridCol w:w="1140"/>
        <w:gridCol w:w="850"/>
        <w:gridCol w:w="967"/>
        <w:gridCol w:w="870"/>
      </w:tblGrid>
      <w:tr>
        <w:tblPrEx>
          <w:tblCellMar>
            <w:top w:w="0" w:type="dxa"/>
            <w:left w:w="0" w:type="dxa"/>
            <w:bottom w:w="0" w:type="dxa"/>
            <w:right w:w="0" w:type="dxa"/>
          </w:tblCellMar>
        </w:tblPrEx>
        <w:trPr>
          <w:trHeight w:val="397" w:hRule="exact"/>
          <w:jc w:val="center"/>
        </w:trPr>
        <w:tc>
          <w:tcPr>
            <w:tcW w:w="7933" w:type="dxa"/>
            <w:gridSpan w:val="8"/>
            <w:tcBorders>
              <w:top w:val="single" w:color="000000" w:sz="4" w:space="0"/>
              <w:left w:val="single" w:color="000000" w:sz="4" w:space="0"/>
              <w:bottom w:val="single" w:color="000000" w:sz="4" w:space="0"/>
              <w:right w:val="single" w:color="000000" w:sz="4" w:space="0"/>
            </w:tcBorders>
            <w:shd w:val="clear" w:color="auto" w:fill="99CCFF"/>
            <w:vAlign w:val="center"/>
          </w:tcPr>
          <w:p>
            <w:pPr>
              <w:jc w:val="center"/>
              <w:rPr>
                <w:rFonts w:ascii="Times New Roman" w:hAnsi="Times New Roman" w:eastAsia="仿宋" w:cs="Times New Roman"/>
                <w:b/>
                <w:kern w:val="0"/>
                <w:sz w:val="22"/>
                <w:szCs w:val="21"/>
                <w:lang w:eastAsia="zh-CN"/>
              </w:rPr>
            </w:pPr>
            <w:r>
              <w:rPr>
                <w:rFonts w:hint="eastAsia" w:ascii="Times New Roman" w:hAnsi="Times New Roman" w:eastAsia="仿宋" w:cs="Times New Roman"/>
                <w:b/>
                <w:kern w:val="0"/>
                <w:sz w:val="24"/>
                <w:szCs w:val="24"/>
                <w:lang w:eastAsia="zh-CN"/>
              </w:rPr>
              <w:t>专栏</w:t>
            </w:r>
            <w:r>
              <w:rPr>
                <w:rFonts w:ascii="Times New Roman" w:hAnsi="Times New Roman" w:eastAsia="仿宋" w:cs="Times New Roman"/>
                <w:b/>
                <w:spacing w:val="-60"/>
                <w:kern w:val="0"/>
                <w:sz w:val="24"/>
                <w:szCs w:val="24"/>
                <w:lang w:eastAsia="zh-CN"/>
              </w:rPr>
              <w:t xml:space="preserve"> </w:t>
            </w:r>
            <w:r>
              <w:rPr>
                <w:rFonts w:ascii="Times New Roman" w:hAnsi="Times New Roman" w:eastAsia="仿宋" w:cs="Times New Roman"/>
                <w:b/>
                <w:kern w:val="0"/>
                <w:sz w:val="24"/>
                <w:szCs w:val="24"/>
                <w:lang w:eastAsia="zh-CN"/>
              </w:rPr>
              <w:t>5-2    矿产资源总量调控</w:t>
            </w:r>
          </w:p>
        </w:tc>
      </w:tr>
      <w:tr>
        <w:tblPrEx>
          <w:tblCellMar>
            <w:top w:w="0" w:type="dxa"/>
            <w:left w:w="0" w:type="dxa"/>
            <w:bottom w:w="0" w:type="dxa"/>
            <w:right w:w="0" w:type="dxa"/>
          </w:tblCellMar>
        </w:tblPrEx>
        <w:trPr>
          <w:trHeight w:val="397" w:hRule="exact"/>
          <w:jc w:val="center"/>
        </w:trPr>
        <w:tc>
          <w:tcPr>
            <w:tcW w:w="2269" w:type="dxa"/>
            <w:gridSpan w:val="2"/>
            <w:vMerge w:val="restart"/>
            <w:tcBorders>
              <w:top w:val="single" w:color="000000" w:sz="4" w:space="0"/>
              <w:left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b/>
                <w:kern w:val="0"/>
                <w:sz w:val="22"/>
                <w:szCs w:val="21"/>
                <w:lang w:eastAsia="en-US"/>
              </w:rPr>
              <w:t>矿产类别</w:t>
            </w:r>
          </w:p>
        </w:tc>
        <w:tc>
          <w:tcPr>
            <w:tcW w:w="1837" w:type="dxa"/>
            <w:gridSpan w:val="2"/>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b/>
                <w:kern w:val="0"/>
                <w:sz w:val="22"/>
                <w:szCs w:val="21"/>
                <w:lang w:eastAsia="en-US"/>
              </w:rPr>
            </w:pPr>
            <w:r>
              <w:rPr>
                <w:rFonts w:ascii="Times New Roman" w:hAnsi="Times New Roman" w:eastAsia="仿宋" w:cs="Times New Roman"/>
                <w:b/>
                <w:kern w:val="0"/>
                <w:sz w:val="22"/>
                <w:szCs w:val="21"/>
                <w:lang w:eastAsia="en-US"/>
              </w:rPr>
              <w:t>矿山数(个)</w:t>
            </w:r>
          </w:p>
        </w:tc>
        <w:tc>
          <w:tcPr>
            <w:tcW w:w="2957" w:type="dxa"/>
            <w:gridSpan w:val="3"/>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b/>
                <w:kern w:val="0"/>
                <w:sz w:val="22"/>
                <w:szCs w:val="21"/>
                <w:lang w:eastAsia="zh-CN"/>
              </w:rPr>
            </w:pPr>
            <w:r>
              <w:rPr>
                <w:rFonts w:hint="eastAsia" w:ascii="Times New Roman" w:hAnsi="Times New Roman" w:eastAsia="仿宋" w:cs="Times New Roman"/>
                <w:b/>
                <w:kern w:val="0"/>
                <w:sz w:val="22"/>
                <w:szCs w:val="21"/>
                <w:lang w:eastAsia="zh-CN"/>
              </w:rPr>
              <w:t>资源总量</w:t>
            </w:r>
          </w:p>
        </w:tc>
        <w:tc>
          <w:tcPr>
            <w:tcW w:w="870" w:type="dxa"/>
            <w:vMerge w:val="restart"/>
            <w:tcBorders>
              <w:top w:val="single" w:color="000000" w:sz="4" w:space="0"/>
              <w:left w:val="single" w:color="000000" w:sz="4" w:space="0"/>
              <w:right w:val="single" w:color="000000" w:sz="4" w:space="0"/>
            </w:tcBorders>
            <w:shd w:val="clear" w:color="auto" w:fill="CCFFFF"/>
            <w:vAlign w:val="center"/>
          </w:tcPr>
          <w:p>
            <w:pPr>
              <w:jc w:val="center"/>
              <w:rPr>
                <w:rFonts w:ascii="Times New Roman" w:hAnsi="Times New Roman" w:eastAsia="仿宋" w:cs="Times New Roman"/>
                <w:b/>
                <w:kern w:val="0"/>
                <w:sz w:val="22"/>
                <w:szCs w:val="21"/>
                <w:lang w:eastAsia="en-US"/>
              </w:rPr>
            </w:pPr>
            <w:r>
              <w:rPr>
                <w:rFonts w:ascii="Times New Roman" w:hAnsi="Times New Roman" w:eastAsia="仿宋" w:cs="Times New Roman"/>
                <w:b/>
                <w:kern w:val="0"/>
                <w:sz w:val="22"/>
                <w:szCs w:val="21"/>
                <w:lang w:eastAsia="en-US"/>
              </w:rPr>
              <w:t>备注</w:t>
            </w:r>
          </w:p>
        </w:tc>
      </w:tr>
      <w:tr>
        <w:tblPrEx>
          <w:tblCellMar>
            <w:top w:w="0" w:type="dxa"/>
            <w:left w:w="0" w:type="dxa"/>
            <w:bottom w:w="0" w:type="dxa"/>
            <w:right w:w="0" w:type="dxa"/>
          </w:tblCellMar>
        </w:tblPrEx>
        <w:trPr>
          <w:trHeight w:val="397" w:hRule="exact"/>
          <w:jc w:val="center"/>
        </w:trPr>
        <w:tc>
          <w:tcPr>
            <w:tcW w:w="2269" w:type="dxa"/>
            <w:gridSpan w:val="2"/>
            <w:vMerge w:val="continue"/>
            <w:tcBorders>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b/>
                <w:kern w:val="0"/>
                <w:sz w:val="22"/>
                <w:lang w:eastAsia="en-US"/>
              </w:rPr>
            </w:pPr>
            <w:r>
              <w:rPr>
                <w:rFonts w:ascii="Times New Roman" w:hAnsi="Times New Roman" w:eastAsia="仿宋" w:cs="Times New Roman"/>
                <w:b/>
                <w:kern w:val="0"/>
                <w:sz w:val="22"/>
                <w:lang w:eastAsia="en-US"/>
              </w:rPr>
              <w:t>2020</w:t>
            </w:r>
            <w:r>
              <w:rPr>
                <w:rFonts w:ascii="Times New Roman" w:hAnsi="Times New Roman" w:eastAsia="仿宋" w:cs="Times New Roman"/>
                <w:b/>
                <w:kern w:val="0"/>
                <w:sz w:val="22"/>
                <w:szCs w:val="21"/>
                <w:lang w:eastAsia="en-US"/>
              </w:rPr>
              <w:t>年</w:t>
            </w:r>
          </w:p>
        </w:tc>
        <w:tc>
          <w:tcPr>
            <w:tcW w:w="845"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b/>
                <w:kern w:val="0"/>
                <w:sz w:val="22"/>
                <w:szCs w:val="21"/>
                <w:lang w:eastAsia="zh-CN"/>
              </w:rPr>
            </w:pPr>
            <w:r>
              <w:rPr>
                <w:rFonts w:hint="eastAsia" w:ascii="Times New Roman" w:hAnsi="Times New Roman" w:eastAsia="仿宋" w:cs="Times New Roman"/>
                <w:b/>
                <w:kern w:val="0"/>
                <w:sz w:val="22"/>
                <w:szCs w:val="21"/>
                <w:lang w:eastAsia="zh-CN"/>
              </w:rPr>
              <w:t>2</w:t>
            </w:r>
            <w:r>
              <w:rPr>
                <w:rFonts w:ascii="Times New Roman" w:hAnsi="Times New Roman" w:eastAsia="仿宋" w:cs="Times New Roman"/>
                <w:b/>
                <w:kern w:val="0"/>
                <w:sz w:val="22"/>
                <w:szCs w:val="21"/>
                <w:lang w:eastAsia="zh-CN"/>
              </w:rPr>
              <w:t>025</w:t>
            </w:r>
            <w:r>
              <w:rPr>
                <w:rFonts w:hint="eastAsia" w:ascii="Times New Roman" w:hAnsi="Times New Roman" w:eastAsia="仿宋" w:cs="Times New Roman"/>
                <w:b/>
                <w:kern w:val="0"/>
                <w:sz w:val="22"/>
                <w:szCs w:val="21"/>
                <w:lang w:eastAsia="zh-CN"/>
              </w:rPr>
              <w:t>年</w:t>
            </w:r>
          </w:p>
        </w:tc>
        <w:tc>
          <w:tcPr>
            <w:tcW w:w="114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b/>
                <w:kern w:val="0"/>
                <w:sz w:val="22"/>
                <w:szCs w:val="21"/>
                <w:lang w:eastAsia="en-US"/>
              </w:rPr>
            </w:pPr>
            <w:r>
              <w:rPr>
                <w:rFonts w:ascii="Times New Roman" w:hAnsi="Times New Roman" w:eastAsia="仿宋" w:cs="Times New Roman"/>
                <w:b/>
                <w:kern w:val="0"/>
                <w:sz w:val="22"/>
                <w:szCs w:val="21"/>
                <w:lang w:eastAsia="en-US"/>
              </w:rPr>
              <w:t>计量单位</w:t>
            </w:r>
          </w:p>
        </w:tc>
        <w:tc>
          <w:tcPr>
            <w:tcW w:w="85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b/>
                <w:kern w:val="0"/>
                <w:sz w:val="22"/>
                <w:szCs w:val="21"/>
                <w:lang w:eastAsia="en-US"/>
              </w:rPr>
            </w:pPr>
            <w:r>
              <w:rPr>
                <w:rFonts w:ascii="Times New Roman" w:hAnsi="Times New Roman" w:eastAsia="仿宋" w:cs="Times New Roman"/>
                <w:b/>
                <w:kern w:val="0"/>
                <w:sz w:val="22"/>
                <w:lang w:eastAsia="en-US"/>
              </w:rPr>
              <w:t>2020</w:t>
            </w:r>
            <w:r>
              <w:rPr>
                <w:rFonts w:ascii="Times New Roman" w:hAnsi="Times New Roman" w:eastAsia="仿宋" w:cs="Times New Roman"/>
                <w:b/>
                <w:kern w:val="0"/>
                <w:sz w:val="22"/>
                <w:szCs w:val="21"/>
                <w:lang w:eastAsia="en-US"/>
              </w:rPr>
              <w:t>年</w:t>
            </w:r>
          </w:p>
        </w:tc>
        <w:tc>
          <w:tcPr>
            <w:tcW w:w="967" w:type="dxa"/>
            <w:tcBorders>
              <w:top w:val="single" w:color="000000" w:sz="4" w:space="0"/>
              <w:left w:val="single" w:color="000000" w:sz="4" w:space="0"/>
              <w:bottom w:val="single" w:color="auto" w:sz="4" w:space="0"/>
              <w:right w:val="single" w:color="000000" w:sz="4" w:space="0"/>
            </w:tcBorders>
            <w:shd w:val="clear" w:color="auto" w:fill="CCFFFF"/>
            <w:vAlign w:val="center"/>
          </w:tcPr>
          <w:p>
            <w:pPr>
              <w:jc w:val="center"/>
              <w:rPr>
                <w:rFonts w:ascii="Times New Roman" w:hAnsi="Times New Roman" w:eastAsia="仿宋" w:cs="Times New Roman"/>
                <w:b/>
                <w:kern w:val="0"/>
                <w:sz w:val="22"/>
                <w:szCs w:val="21"/>
                <w:lang w:eastAsia="en-US"/>
              </w:rPr>
            </w:pPr>
            <w:r>
              <w:rPr>
                <w:rFonts w:ascii="Times New Roman" w:hAnsi="Times New Roman" w:eastAsia="仿宋" w:cs="Times New Roman"/>
                <w:b/>
                <w:kern w:val="0"/>
                <w:sz w:val="22"/>
                <w:lang w:eastAsia="en-US"/>
              </w:rPr>
              <w:t>2025</w:t>
            </w:r>
            <w:r>
              <w:rPr>
                <w:rFonts w:ascii="Times New Roman" w:hAnsi="Times New Roman" w:eastAsia="仿宋" w:cs="Times New Roman"/>
                <w:b/>
                <w:kern w:val="0"/>
                <w:sz w:val="22"/>
                <w:szCs w:val="21"/>
                <w:lang w:eastAsia="en-US"/>
              </w:rPr>
              <w:t>年</w:t>
            </w:r>
          </w:p>
        </w:tc>
        <w:tc>
          <w:tcPr>
            <w:tcW w:w="870" w:type="dxa"/>
            <w:vMerge w:val="continue"/>
            <w:tcBorders>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b/>
                <w:kern w:val="0"/>
                <w:sz w:val="22"/>
                <w:szCs w:val="21"/>
                <w:lang w:eastAsia="en-US"/>
              </w:rPr>
            </w:pPr>
          </w:p>
        </w:tc>
      </w:tr>
      <w:tr>
        <w:tblPrEx>
          <w:tblCellMar>
            <w:top w:w="0" w:type="dxa"/>
            <w:left w:w="0" w:type="dxa"/>
            <w:bottom w:w="0" w:type="dxa"/>
            <w:right w:w="0" w:type="dxa"/>
          </w:tblCellMar>
        </w:tblPrEx>
        <w:trPr>
          <w:trHeight w:val="397" w:hRule="exact"/>
          <w:jc w:val="center"/>
        </w:trPr>
        <w:tc>
          <w:tcPr>
            <w:tcW w:w="988" w:type="dxa"/>
            <w:vMerge w:val="restart"/>
            <w:tcBorders>
              <w:top w:val="single" w:color="000000" w:sz="4" w:space="0"/>
              <w:left w:val="single" w:color="000000" w:sz="4" w:space="0"/>
              <w:right w:val="single" w:color="auto"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开采总量</w:t>
            </w:r>
          </w:p>
        </w:tc>
        <w:tc>
          <w:tcPr>
            <w:tcW w:w="128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固体矿产</w:t>
            </w:r>
          </w:p>
        </w:tc>
        <w:tc>
          <w:tcPr>
            <w:tcW w:w="992" w:type="dxa"/>
            <w:tcBorders>
              <w:top w:val="single" w:color="000000" w:sz="4" w:space="0"/>
              <w:left w:val="single" w:color="auto"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zh-CN"/>
              </w:rPr>
            </w:pPr>
            <w:r>
              <w:rPr>
                <w:rFonts w:ascii="Times New Roman" w:hAnsi="Times New Roman" w:eastAsia="仿宋" w:cs="Times New Roman"/>
                <w:kern w:val="0"/>
                <w:sz w:val="22"/>
                <w:lang w:eastAsia="zh-CN"/>
              </w:rPr>
              <w:t>15</w:t>
            </w:r>
          </w:p>
        </w:tc>
        <w:tc>
          <w:tcPr>
            <w:tcW w:w="845"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1</w:t>
            </w:r>
            <w:r>
              <w:rPr>
                <w:rFonts w:ascii="Times New Roman" w:hAnsi="Times New Roman" w:eastAsia="仿宋" w:cs="Times New Roman"/>
                <w:kern w:val="0"/>
                <w:sz w:val="22"/>
                <w:szCs w:val="21"/>
                <w:lang w:eastAsia="zh-CN"/>
              </w:rPr>
              <w:t>0</w:t>
            </w:r>
          </w:p>
        </w:tc>
        <w:tc>
          <w:tcPr>
            <w:tcW w:w="114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矿石万吨</w:t>
            </w:r>
          </w:p>
        </w:tc>
        <w:tc>
          <w:tcPr>
            <w:tcW w:w="850" w:type="dxa"/>
            <w:tcBorders>
              <w:top w:val="single" w:color="000000" w:sz="4" w:space="0"/>
              <w:left w:val="single" w:color="000000" w:sz="4" w:space="0"/>
              <w:bottom w:val="single" w:color="000000" w:sz="4" w:space="0"/>
              <w:right w:val="single" w:color="auto" w:sz="4" w:space="0"/>
            </w:tcBorders>
            <w:shd w:val="clear" w:color="auto" w:fill="CCFFFF"/>
            <w:vAlign w:val="center"/>
          </w:tcPr>
          <w:p>
            <w:pPr>
              <w:jc w:val="center"/>
              <w:rPr>
                <w:rFonts w:ascii="Times New Roman" w:hAnsi="Times New Roman" w:eastAsia="仿宋" w:cs="Times New Roman"/>
                <w:kern w:val="0"/>
                <w:sz w:val="22"/>
                <w:lang w:eastAsia="en-US"/>
              </w:rPr>
            </w:pPr>
            <w:r>
              <w:rPr>
                <w:rFonts w:ascii="Times New Roman" w:hAnsi="Times New Roman" w:eastAsia="仿宋" w:cs="Times New Roman"/>
                <w:kern w:val="0"/>
                <w:sz w:val="22"/>
                <w:lang w:eastAsia="en-US"/>
              </w:rPr>
              <w:t>142</w:t>
            </w:r>
          </w:p>
        </w:tc>
        <w:tc>
          <w:tcPr>
            <w:tcW w:w="967"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仿宋" w:cs="Times New Roman"/>
                <w:kern w:val="0"/>
                <w:sz w:val="22"/>
                <w:lang w:eastAsia="zh-CN"/>
              </w:rPr>
            </w:pPr>
            <w:r>
              <w:rPr>
                <w:rFonts w:ascii="Times New Roman" w:hAnsi="Times New Roman" w:eastAsia="仿宋" w:cs="Times New Roman"/>
                <w:kern w:val="0"/>
                <w:sz w:val="22"/>
                <w:lang w:eastAsia="zh-CN"/>
              </w:rPr>
              <w:t>220</w:t>
            </w:r>
          </w:p>
        </w:tc>
        <w:tc>
          <w:tcPr>
            <w:tcW w:w="870" w:type="dxa"/>
            <w:tcBorders>
              <w:top w:val="single" w:color="000000" w:sz="4" w:space="0"/>
              <w:left w:val="single" w:color="auto"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扩大</w:t>
            </w:r>
          </w:p>
        </w:tc>
      </w:tr>
      <w:tr>
        <w:tblPrEx>
          <w:tblCellMar>
            <w:top w:w="0" w:type="dxa"/>
            <w:left w:w="0" w:type="dxa"/>
            <w:bottom w:w="0" w:type="dxa"/>
            <w:right w:w="0" w:type="dxa"/>
          </w:tblCellMar>
        </w:tblPrEx>
        <w:trPr>
          <w:trHeight w:val="397" w:hRule="exact"/>
          <w:jc w:val="center"/>
        </w:trPr>
        <w:tc>
          <w:tcPr>
            <w:tcW w:w="988" w:type="dxa"/>
            <w:vMerge w:val="continue"/>
            <w:tcBorders>
              <w:left w:val="single" w:color="000000" w:sz="4" w:space="0"/>
              <w:bottom w:val="single" w:color="000000" w:sz="4" w:space="0"/>
              <w:right w:val="single" w:color="auto" w:sz="4" w:space="0"/>
            </w:tcBorders>
            <w:shd w:val="clear" w:color="auto" w:fill="CCFFFF"/>
            <w:vAlign w:val="center"/>
          </w:tcPr>
          <w:p>
            <w:pPr>
              <w:jc w:val="center"/>
              <w:rPr>
                <w:rFonts w:ascii="Times New Roman" w:hAnsi="Times New Roman" w:eastAsia="仿宋" w:cs="Times New Roman"/>
                <w:kern w:val="0"/>
                <w:sz w:val="22"/>
                <w:szCs w:val="21"/>
                <w:lang w:eastAsia="en-US"/>
              </w:rPr>
            </w:pPr>
          </w:p>
        </w:tc>
        <w:tc>
          <w:tcPr>
            <w:tcW w:w="1281"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水气矿产</w:t>
            </w:r>
          </w:p>
        </w:tc>
        <w:tc>
          <w:tcPr>
            <w:tcW w:w="992" w:type="dxa"/>
            <w:tcBorders>
              <w:top w:val="single" w:color="000000" w:sz="4" w:space="0"/>
              <w:left w:val="single" w:color="auto"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zh-CN"/>
              </w:rPr>
            </w:pPr>
            <w:r>
              <w:rPr>
                <w:rFonts w:hint="eastAsia" w:ascii="Times New Roman" w:hAnsi="Times New Roman" w:eastAsia="仿宋" w:cs="Times New Roman"/>
                <w:kern w:val="0"/>
                <w:sz w:val="22"/>
                <w:lang w:eastAsia="zh-CN"/>
              </w:rPr>
              <w:t>0</w:t>
            </w:r>
          </w:p>
        </w:tc>
        <w:tc>
          <w:tcPr>
            <w:tcW w:w="845"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3</w:t>
            </w:r>
          </w:p>
        </w:tc>
        <w:tc>
          <w:tcPr>
            <w:tcW w:w="114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流量万吨</w:t>
            </w:r>
          </w:p>
        </w:tc>
        <w:tc>
          <w:tcPr>
            <w:tcW w:w="850" w:type="dxa"/>
            <w:tcBorders>
              <w:top w:val="single" w:color="000000" w:sz="4" w:space="0"/>
              <w:left w:val="single" w:color="000000" w:sz="4" w:space="0"/>
              <w:bottom w:val="single" w:color="000000" w:sz="4" w:space="0"/>
              <w:right w:val="single" w:color="auto" w:sz="4" w:space="0"/>
            </w:tcBorders>
            <w:shd w:val="clear" w:color="auto" w:fill="CCFFFF"/>
            <w:vAlign w:val="center"/>
          </w:tcPr>
          <w:p>
            <w:pPr>
              <w:jc w:val="center"/>
              <w:rPr>
                <w:rFonts w:ascii="Times New Roman" w:hAnsi="Times New Roman" w:eastAsia="仿宋" w:cs="Times New Roman"/>
                <w:kern w:val="0"/>
                <w:sz w:val="22"/>
                <w:lang w:eastAsia="zh-CN"/>
              </w:rPr>
            </w:pPr>
            <w:r>
              <w:rPr>
                <w:rFonts w:hint="eastAsia" w:ascii="Times New Roman" w:hAnsi="Times New Roman" w:eastAsia="仿宋" w:cs="Times New Roman"/>
                <w:kern w:val="0"/>
                <w:sz w:val="22"/>
                <w:lang w:eastAsia="zh-CN"/>
              </w:rPr>
              <w:t>0</w:t>
            </w:r>
          </w:p>
        </w:tc>
        <w:tc>
          <w:tcPr>
            <w:tcW w:w="967"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仿宋" w:cs="Times New Roman"/>
                <w:kern w:val="0"/>
                <w:sz w:val="22"/>
                <w:lang w:eastAsia="zh-CN"/>
              </w:rPr>
            </w:pPr>
            <w:r>
              <w:rPr>
                <w:rFonts w:hint="eastAsia" w:ascii="Times New Roman" w:hAnsi="Times New Roman" w:eastAsia="仿宋" w:cs="Times New Roman"/>
                <w:kern w:val="0"/>
                <w:sz w:val="22"/>
                <w:lang w:eastAsia="zh-CN"/>
              </w:rPr>
              <w:t>2</w:t>
            </w:r>
            <w:r>
              <w:rPr>
                <w:rFonts w:ascii="Times New Roman" w:hAnsi="Times New Roman" w:eastAsia="仿宋" w:cs="Times New Roman"/>
                <w:kern w:val="0"/>
                <w:sz w:val="22"/>
                <w:lang w:eastAsia="zh-CN"/>
              </w:rPr>
              <w:t>10</w:t>
            </w:r>
          </w:p>
        </w:tc>
        <w:tc>
          <w:tcPr>
            <w:tcW w:w="870" w:type="dxa"/>
            <w:tcBorders>
              <w:top w:val="single" w:color="000000" w:sz="4" w:space="0"/>
              <w:left w:val="single" w:color="auto"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扩大</w:t>
            </w:r>
          </w:p>
        </w:tc>
      </w:tr>
      <w:tr>
        <w:tblPrEx>
          <w:tblCellMar>
            <w:top w:w="0" w:type="dxa"/>
            <w:left w:w="0" w:type="dxa"/>
            <w:bottom w:w="0" w:type="dxa"/>
            <w:right w:w="0" w:type="dxa"/>
          </w:tblCellMar>
        </w:tblPrEx>
        <w:trPr>
          <w:trHeight w:val="397" w:hRule="exact"/>
          <w:jc w:val="center"/>
        </w:trPr>
        <w:tc>
          <w:tcPr>
            <w:tcW w:w="988" w:type="dxa"/>
            <w:vMerge w:val="restart"/>
            <w:tcBorders>
              <w:top w:val="single" w:color="000000" w:sz="4" w:space="0"/>
              <w:left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砂石土类矿产</w:t>
            </w:r>
          </w:p>
        </w:tc>
        <w:tc>
          <w:tcPr>
            <w:tcW w:w="1281"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建筑用石料</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zh-CN"/>
              </w:rPr>
            </w:pPr>
            <w:r>
              <w:rPr>
                <w:rFonts w:ascii="Times New Roman" w:hAnsi="Times New Roman" w:eastAsia="仿宋" w:cs="Times New Roman"/>
                <w:kern w:val="0"/>
                <w:sz w:val="22"/>
                <w:lang w:eastAsia="zh-CN"/>
              </w:rPr>
              <w:t>5</w:t>
            </w:r>
          </w:p>
        </w:tc>
        <w:tc>
          <w:tcPr>
            <w:tcW w:w="845"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5</w:t>
            </w:r>
          </w:p>
        </w:tc>
        <w:tc>
          <w:tcPr>
            <w:tcW w:w="114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矿石万吨</w:t>
            </w:r>
          </w:p>
        </w:tc>
        <w:tc>
          <w:tcPr>
            <w:tcW w:w="85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zh-CN"/>
              </w:rPr>
            </w:pPr>
            <w:r>
              <w:rPr>
                <w:rFonts w:ascii="Times New Roman" w:hAnsi="Times New Roman" w:eastAsia="仿宋" w:cs="Times New Roman"/>
                <w:kern w:val="0"/>
                <w:sz w:val="22"/>
                <w:lang w:eastAsia="zh-CN"/>
              </w:rPr>
              <w:t>97</w:t>
            </w:r>
          </w:p>
        </w:tc>
        <w:tc>
          <w:tcPr>
            <w:tcW w:w="967" w:type="dxa"/>
            <w:tcBorders>
              <w:top w:val="single" w:color="auto"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zh-CN"/>
              </w:rPr>
            </w:pPr>
            <w:r>
              <w:rPr>
                <w:rFonts w:ascii="Times New Roman" w:hAnsi="Times New Roman" w:eastAsia="仿宋" w:cs="Times New Roman"/>
                <w:kern w:val="0"/>
                <w:sz w:val="22"/>
                <w:lang w:eastAsia="zh-CN"/>
              </w:rPr>
              <w:t>150</w:t>
            </w:r>
          </w:p>
        </w:tc>
        <w:tc>
          <w:tcPr>
            <w:tcW w:w="87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扩大</w:t>
            </w:r>
          </w:p>
        </w:tc>
      </w:tr>
      <w:tr>
        <w:tblPrEx>
          <w:tblCellMar>
            <w:top w:w="0" w:type="dxa"/>
            <w:left w:w="0" w:type="dxa"/>
            <w:bottom w:w="0" w:type="dxa"/>
            <w:right w:w="0" w:type="dxa"/>
          </w:tblCellMar>
        </w:tblPrEx>
        <w:trPr>
          <w:trHeight w:val="397" w:hRule="exact"/>
          <w:jc w:val="center"/>
        </w:trPr>
        <w:tc>
          <w:tcPr>
            <w:tcW w:w="988" w:type="dxa"/>
            <w:vMerge w:val="continue"/>
            <w:tcBorders>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en-US"/>
              </w:rPr>
            </w:pPr>
          </w:p>
        </w:tc>
        <w:tc>
          <w:tcPr>
            <w:tcW w:w="1281"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ascii="Times New Roman" w:hAnsi="Times New Roman" w:eastAsia="仿宋" w:cs="Times New Roman"/>
                <w:kern w:val="0"/>
                <w:sz w:val="22"/>
                <w:szCs w:val="21"/>
                <w:lang w:eastAsia="zh-CN"/>
              </w:rPr>
              <w:t>砖瓦用页岩</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zh-CN"/>
              </w:rPr>
            </w:pPr>
            <w:r>
              <w:rPr>
                <w:rFonts w:ascii="Times New Roman" w:hAnsi="Times New Roman" w:eastAsia="仿宋" w:cs="Times New Roman"/>
                <w:kern w:val="0"/>
                <w:sz w:val="22"/>
                <w:lang w:eastAsia="zh-CN"/>
              </w:rPr>
              <w:t>9</w:t>
            </w:r>
          </w:p>
        </w:tc>
        <w:tc>
          <w:tcPr>
            <w:tcW w:w="845"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5</w:t>
            </w:r>
          </w:p>
        </w:tc>
        <w:tc>
          <w:tcPr>
            <w:tcW w:w="114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矿石万吨</w:t>
            </w:r>
          </w:p>
        </w:tc>
        <w:tc>
          <w:tcPr>
            <w:tcW w:w="85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45</w:t>
            </w:r>
          </w:p>
        </w:tc>
        <w:tc>
          <w:tcPr>
            <w:tcW w:w="967"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zh-CN"/>
              </w:rPr>
            </w:pPr>
            <w:r>
              <w:rPr>
                <w:rFonts w:ascii="Times New Roman" w:hAnsi="Times New Roman" w:eastAsia="仿宋" w:cs="Times New Roman"/>
                <w:kern w:val="0"/>
                <w:sz w:val="22"/>
                <w:lang w:eastAsia="zh-CN"/>
              </w:rPr>
              <w:t>70</w:t>
            </w:r>
          </w:p>
        </w:tc>
        <w:tc>
          <w:tcPr>
            <w:tcW w:w="87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扩大</w:t>
            </w:r>
          </w:p>
        </w:tc>
      </w:tr>
      <w:tr>
        <w:tblPrEx>
          <w:tblCellMar>
            <w:top w:w="0" w:type="dxa"/>
            <w:left w:w="0" w:type="dxa"/>
            <w:bottom w:w="0" w:type="dxa"/>
            <w:right w:w="0" w:type="dxa"/>
          </w:tblCellMar>
        </w:tblPrEx>
        <w:trPr>
          <w:trHeight w:val="397" w:hRule="exact"/>
          <w:jc w:val="center"/>
        </w:trPr>
        <w:tc>
          <w:tcPr>
            <w:tcW w:w="988" w:type="dxa"/>
            <w:vMerge w:val="restart"/>
            <w:tcBorders>
              <w:top w:val="single" w:color="000000" w:sz="4" w:space="0"/>
              <w:left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水气</w:t>
            </w:r>
          </w:p>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矿产</w:t>
            </w:r>
          </w:p>
        </w:tc>
        <w:tc>
          <w:tcPr>
            <w:tcW w:w="1281"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ascii="Times New Roman" w:hAnsi="Times New Roman" w:eastAsia="仿宋" w:cs="Times New Roman"/>
                <w:kern w:val="0"/>
                <w:sz w:val="22"/>
                <w:szCs w:val="21"/>
                <w:lang w:eastAsia="en-US"/>
              </w:rPr>
              <w:t>地热</w:t>
            </w:r>
            <w:r>
              <w:rPr>
                <w:rFonts w:hint="eastAsia" w:ascii="Times New Roman" w:hAnsi="Times New Roman" w:eastAsia="仿宋" w:cs="Times New Roman"/>
                <w:kern w:val="0"/>
                <w:sz w:val="22"/>
                <w:szCs w:val="21"/>
                <w:lang w:eastAsia="zh-CN"/>
              </w:rPr>
              <w:t>水</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zh-CN"/>
              </w:rPr>
            </w:pPr>
            <w:r>
              <w:rPr>
                <w:rFonts w:ascii="Times New Roman" w:hAnsi="Times New Roman" w:eastAsia="仿宋" w:cs="Times New Roman"/>
                <w:kern w:val="0"/>
                <w:sz w:val="22"/>
                <w:lang w:eastAsia="zh-CN"/>
              </w:rPr>
              <w:t>0</w:t>
            </w:r>
          </w:p>
        </w:tc>
        <w:tc>
          <w:tcPr>
            <w:tcW w:w="845"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2</w:t>
            </w:r>
          </w:p>
        </w:tc>
        <w:tc>
          <w:tcPr>
            <w:tcW w:w="114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流量万吨</w:t>
            </w:r>
          </w:p>
        </w:tc>
        <w:tc>
          <w:tcPr>
            <w:tcW w:w="85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w:t>
            </w:r>
          </w:p>
        </w:tc>
        <w:tc>
          <w:tcPr>
            <w:tcW w:w="967"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zh-CN"/>
              </w:rPr>
            </w:pPr>
            <w:r>
              <w:rPr>
                <w:rFonts w:ascii="Times New Roman" w:hAnsi="Times New Roman" w:eastAsia="仿宋" w:cs="Times New Roman"/>
                <w:kern w:val="0"/>
                <w:sz w:val="22"/>
                <w:lang w:eastAsia="zh-CN"/>
              </w:rPr>
              <w:t>200</w:t>
            </w:r>
          </w:p>
        </w:tc>
        <w:tc>
          <w:tcPr>
            <w:tcW w:w="87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新增</w:t>
            </w:r>
          </w:p>
        </w:tc>
      </w:tr>
      <w:tr>
        <w:tblPrEx>
          <w:tblCellMar>
            <w:top w:w="0" w:type="dxa"/>
            <w:left w:w="0" w:type="dxa"/>
            <w:bottom w:w="0" w:type="dxa"/>
            <w:right w:w="0" w:type="dxa"/>
          </w:tblCellMar>
        </w:tblPrEx>
        <w:trPr>
          <w:trHeight w:val="397" w:hRule="exact"/>
          <w:jc w:val="center"/>
        </w:trPr>
        <w:tc>
          <w:tcPr>
            <w:tcW w:w="988" w:type="dxa"/>
            <w:vMerge w:val="continue"/>
            <w:tcBorders>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en-US"/>
              </w:rPr>
            </w:pPr>
          </w:p>
        </w:tc>
        <w:tc>
          <w:tcPr>
            <w:tcW w:w="1281"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矿泉水</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zh-CN"/>
              </w:rPr>
            </w:pPr>
            <w:r>
              <w:rPr>
                <w:rFonts w:ascii="Times New Roman" w:hAnsi="Times New Roman" w:eastAsia="仿宋" w:cs="Times New Roman"/>
                <w:kern w:val="0"/>
                <w:sz w:val="22"/>
                <w:lang w:eastAsia="zh-CN"/>
              </w:rPr>
              <w:t>0</w:t>
            </w:r>
          </w:p>
        </w:tc>
        <w:tc>
          <w:tcPr>
            <w:tcW w:w="845"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zh-CN"/>
              </w:rPr>
            </w:pPr>
            <w:r>
              <w:rPr>
                <w:rFonts w:hint="eastAsia" w:ascii="Times New Roman" w:hAnsi="Times New Roman" w:eastAsia="仿宋" w:cs="Times New Roman"/>
                <w:kern w:val="0"/>
                <w:sz w:val="22"/>
                <w:szCs w:val="21"/>
                <w:lang w:eastAsia="zh-CN"/>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ascii="Times New Roman" w:hAnsi="Times New Roman" w:eastAsia="仿宋" w:cs="Times New Roman"/>
                <w:kern w:val="0"/>
                <w:sz w:val="22"/>
                <w:szCs w:val="21"/>
                <w:lang w:eastAsia="en-US"/>
              </w:rPr>
              <w:t>流量万吨</w:t>
            </w:r>
          </w:p>
        </w:tc>
        <w:tc>
          <w:tcPr>
            <w:tcW w:w="85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en-US"/>
              </w:rPr>
            </w:pPr>
            <w:r>
              <w:rPr>
                <w:rFonts w:ascii="Times New Roman" w:hAnsi="Times New Roman" w:eastAsia="仿宋" w:cs="Times New Roman"/>
                <w:kern w:val="0"/>
                <w:sz w:val="22"/>
                <w:szCs w:val="21"/>
                <w:lang w:eastAsia="en-US"/>
              </w:rPr>
              <w:t>—</w:t>
            </w:r>
          </w:p>
        </w:tc>
        <w:tc>
          <w:tcPr>
            <w:tcW w:w="967"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lang w:eastAsia="zh-CN"/>
              </w:rPr>
            </w:pPr>
            <w:r>
              <w:rPr>
                <w:rFonts w:ascii="Times New Roman" w:hAnsi="Times New Roman" w:eastAsia="仿宋" w:cs="Times New Roman"/>
                <w:kern w:val="0"/>
                <w:sz w:val="22"/>
                <w:lang w:eastAsia="zh-CN"/>
              </w:rPr>
              <w:t>10</w:t>
            </w:r>
          </w:p>
        </w:tc>
        <w:tc>
          <w:tcPr>
            <w:tcW w:w="870"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kern w:val="0"/>
                <w:sz w:val="22"/>
                <w:szCs w:val="21"/>
                <w:lang w:eastAsia="en-US"/>
              </w:rPr>
            </w:pPr>
            <w:r>
              <w:rPr>
                <w:rFonts w:hint="eastAsia" w:ascii="Times New Roman" w:hAnsi="Times New Roman" w:eastAsia="仿宋" w:cs="Times New Roman"/>
                <w:kern w:val="0"/>
                <w:sz w:val="22"/>
                <w:szCs w:val="21"/>
                <w:lang w:eastAsia="zh-CN"/>
              </w:rPr>
              <w:t>新增</w:t>
            </w:r>
          </w:p>
        </w:tc>
      </w:tr>
    </w:tbl>
    <w:p>
      <w:pPr>
        <w:spacing w:line="360" w:lineRule="auto"/>
        <w:ind w:firstLine="602" w:firstLineChars="200"/>
        <w:jc w:val="left"/>
        <w:outlineLvl w:val="2"/>
        <w:rPr>
          <w:rFonts w:ascii="仿宋_GB2312" w:hAnsi="Calibri" w:eastAsia="仿宋_GB2312" w:cs="Times New Roman"/>
          <w:b/>
          <w:kern w:val="0"/>
          <w:sz w:val="32"/>
        </w:rPr>
      </w:pPr>
      <w:bookmarkStart w:id="45" w:name="_Toc104389959"/>
      <w:r>
        <w:rPr>
          <w:rFonts w:hint="eastAsia" w:ascii="仿宋_GB2312" w:hAnsi="仿宋" w:eastAsia="仿宋_GB2312" w:cs="Times New Roman"/>
          <w:b/>
          <w:kern w:val="0"/>
          <w:sz w:val="30"/>
          <w:szCs w:val="30"/>
        </w:rPr>
        <w:t>三、</w:t>
      </w:r>
      <w:r>
        <w:rPr>
          <w:rFonts w:ascii="仿宋_GB2312" w:hAnsi="仿宋" w:eastAsia="仿宋_GB2312" w:cs="Times New Roman"/>
          <w:b/>
          <w:kern w:val="0"/>
          <w:sz w:val="30"/>
          <w:szCs w:val="30"/>
        </w:rPr>
        <w:t>优化开发利用结构</w:t>
      </w:r>
      <w:bookmarkEnd w:id="45"/>
    </w:p>
    <w:p>
      <w:pPr>
        <w:spacing w:line="360" w:lineRule="auto"/>
        <w:ind w:firstLine="544" w:firstLineChars="200"/>
        <w:rPr>
          <w:rFonts w:ascii="仿宋" w:hAnsi="仿宋" w:eastAsia="仿宋" w:cs="Times New Roman"/>
          <w:kern w:val="0"/>
          <w:sz w:val="28"/>
          <w:szCs w:val="28"/>
        </w:rPr>
      </w:pPr>
      <w:r>
        <w:rPr>
          <w:rFonts w:ascii="仿宋" w:hAnsi="仿宋" w:eastAsia="仿宋" w:cs="Times New Roman"/>
          <w:spacing w:val="-4"/>
          <w:kern w:val="0"/>
          <w:sz w:val="28"/>
          <w:szCs w:val="28"/>
        </w:rPr>
        <w:t>加强矿山企业结构调整，</w:t>
      </w:r>
      <w:r>
        <w:rPr>
          <w:rFonts w:hint="eastAsia" w:ascii="仿宋" w:hAnsi="仿宋" w:eastAsia="仿宋" w:cs="Times New Roman"/>
          <w:kern w:val="0"/>
          <w:sz w:val="28"/>
          <w:szCs w:val="28"/>
        </w:rPr>
        <w:t>支持矿山企业做大做强。大力推进建筑用石料、砖瓦用页岩等矿产资源开发整合，</w:t>
      </w:r>
      <w:r>
        <w:rPr>
          <w:rFonts w:ascii="仿宋" w:hAnsi="仿宋" w:eastAsia="仿宋" w:cs="Times New Roman"/>
          <w:spacing w:val="-4"/>
          <w:kern w:val="0"/>
          <w:sz w:val="28"/>
          <w:szCs w:val="28"/>
        </w:rPr>
        <w:t>形成数量适中、规</w:t>
      </w:r>
      <w:r>
        <w:rPr>
          <w:rFonts w:ascii="仿宋" w:hAnsi="仿宋" w:eastAsia="仿宋" w:cs="Times New Roman"/>
          <w:kern w:val="0"/>
          <w:sz w:val="28"/>
          <w:szCs w:val="28"/>
        </w:rPr>
        <w:t>模适度、结构合理的矿山生产布局，发挥龙头矿山企业的核心作用，</w:t>
      </w:r>
      <w:r>
        <w:rPr>
          <w:rFonts w:ascii="仿宋" w:hAnsi="仿宋" w:eastAsia="仿宋" w:cs="Times New Roman"/>
          <w:spacing w:val="-4"/>
          <w:kern w:val="0"/>
          <w:sz w:val="28"/>
          <w:szCs w:val="28"/>
        </w:rPr>
        <w:t>培育产业集群，鼓励和引导矿山企业进行资源和产业整合，实现矿山规模化、集约化发展。</w:t>
      </w:r>
    </w:p>
    <w:p>
      <w:pPr>
        <w:spacing w:line="360" w:lineRule="auto"/>
        <w:ind w:firstLine="560" w:firstLineChars="200"/>
        <w:rPr>
          <w:rFonts w:ascii="仿宋" w:hAnsi="仿宋" w:eastAsia="仿宋" w:cs="Times New Roman"/>
          <w:kern w:val="0"/>
          <w:sz w:val="28"/>
          <w:szCs w:val="28"/>
        </w:rPr>
      </w:pPr>
      <w:r>
        <w:rPr>
          <w:rFonts w:ascii="仿宋" w:hAnsi="仿宋" w:eastAsia="仿宋" w:cs="Times New Roman"/>
          <w:kern w:val="0"/>
          <w:sz w:val="28"/>
          <w:szCs w:val="28"/>
        </w:rPr>
        <w:t>到</w:t>
      </w:r>
      <w:r>
        <w:rPr>
          <w:rFonts w:ascii="Times New Roman" w:hAnsi="Times New Roman" w:eastAsia="Times New Roman" w:cs="Times New Roman"/>
          <w:kern w:val="0"/>
          <w:sz w:val="28"/>
          <w:szCs w:val="28"/>
        </w:rPr>
        <w:t>2025</w:t>
      </w:r>
      <w:r>
        <w:rPr>
          <w:rFonts w:ascii="仿宋" w:hAnsi="仿宋" w:eastAsia="仿宋" w:cs="Times New Roman"/>
          <w:kern w:val="0"/>
          <w:sz w:val="28"/>
          <w:szCs w:val="28"/>
        </w:rPr>
        <w:t>年，</w:t>
      </w:r>
      <w:r>
        <w:rPr>
          <w:rFonts w:hint="eastAsia" w:ascii="仿宋" w:hAnsi="仿宋" w:eastAsia="仿宋" w:cs="Times New Roman"/>
          <w:spacing w:val="-4"/>
          <w:kern w:val="0"/>
          <w:sz w:val="28"/>
          <w:szCs w:val="28"/>
        </w:rPr>
        <w:t>预期</w:t>
      </w:r>
      <w:r>
        <w:rPr>
          <w:rFonts w:ascii="仿宋" w:hAnsi="仿宋" w:eastAsia="仿宋" w:cs="Times New Roman"/>
          <w:spacing w:val="-4"/>
          <w:kern w:val="0"/>
          <w:sz w:val="28"/>
          <w:szCs w:val="28"/>
        </w:rPr>
        <w:t>本行政区矿山总数</w:t>
      </w:r>
      <w:r>
        <w:rPr>
          <w:rFonts w:ascii="Times New Roman" w:hAnsi="Times New Roman" w:eastAsia="Times New Roman" w:cs="Times New Roman"/>
          <w:kern w:val="0"/>
          <w:sz w:val="28"/>
          <w:szCs w:val="28"/>
        </w:rPr>
        <w:t>16</w:t>
      </w:r>
      <w:r>
        <w:rPr>
          <w:rFonts w:ascii="仿宋" w:hAnsi="仿宋" w:eastAsia="仿宋" w:cs="Times New Roman"/>
          <w:kern w:val="0"/>
          <w:sz w:val="28"/>
          <w:szCs w:val="28"/>
        </w:rPr>
        <w:t>个，其中大中型矿山达到</w:t>
      </w:r>
      <w:r>
        <w:rPr>
          <w:rFonts w:ascii="Times New Roman" w:hAnsi="Times New Roman" w:eastAsia="Times New Roman" w:cs="Times New Roman"/>
          <w:kern w:val="0"/>
          <w:sz w:val="28"/>
          <w:szCs w:val="28"/>
        </w:rPr>
        <w:t>11</w:t>
      </w:r>
      <w:r>
        <w:rPr>
          <w:rFonts w:hint="eastAsia" w:ascii="Times New Roman" w:hAnsi="Times New Roman" w:cs="Times New Roman"/>
          <w:kern w:val="0"/>
          <w:sz w:val="28"/>
          <w:szCs w:val="28"/>
        </w:rPr>
        <w:t>个</w:t>
      </w:r>
      <w:r>
        <w:rPr>
          <w:rFonts w:ascii="仿宋" w:hAnsi="仿宋" w:eastAsia="仿宋" w:cs="Times New Roman"/>
          <w:kern w:val="0"/>
          <w:sz w:val="28"/>
          <w:szCs w:val="28"/>
        </w:rPr>
        <w:t>。</w:t>
      </w:r>
      <w:r>
        <w:rPr>
          <w:rFonts w:ascii="仿宋" w:hAnsi="仿宋" w:eastAsia="仿宋" w:cs="Times New Roman"/>
          <w:spacing w:val="-4"/>
          <w:kern w:val="0"/>
          <w:sz w:val="28"/>
          <w:szCs w:val="28"/>
        </w:rPr>
        <w:t>相比</w:t>
      </w:r>
      <w:r>
        <w:rPr>
          <w:rFonts w:ascii="Times New Roman" w:hAnsi="Times New Roman" w:eastAsia="Times New Roman" w:cs="Times New Roman"/>
          <w:kern w:val="0"/>
          <w:sz w:val="28"/>
          <w:szCs w:val="28"/>
        </w:rPr>
        <w:t>2020</w:t>
      </w:r>
      <w:r>
        <w:rPr>
          <w:rFonts w:ascii="仿宋" w:hAnsi="仿宋" w:eastAsia="仿宋" w:cs="Times New Roman"/>
          <w:kern w:val="0"/>
          <w:sz w:val="28"/>
          <w:szCs w:val="28"/>
        </w:rPr>
        <w:t>年，矿山总数</w:t>
      </w:r>
      <w:r>
        <w:rPr>
          <w:rFonts w:hint="eastAsia" w:ascii="仿宋" w:hAnsi="仿宋" w:eastAsia="仿宋" w:cs="Times New Roman"/>
          <w:kern w:val="0"/>
          <w:sz w:val="28"/>
          <w:szCs w:val="28"/>
        </w:rPr>
        <w:t>略有增加或维持相当</w:t>
      </w:r>
      <w:r>
        <w:rPr>
          <w:rFonts w:ascii="仿宋" w:hAnsi="仿宋" w:eastAsia="仿宋" w:cs="Times New Roman"/>
          <w:kern w:val="0"/>
          <w:sz w:val="28"/>
          <w:szCs w:val="28"/>
        </w:rPr>
        <w:t>；</w:t>
      </w:r>
      <w:r>
        <w:rPr>
          <w:rFonts w:ascii="仿宋" w:hAnsi="仿宋" w:eastAsia="仿宋" w:cs="Times New Roman"/>
          <w:spacing w:val="-4"/>
          <w:kern w:val="0"/>
          <w:sz w:val="28"/>
          <w:szCs w:val="28"/>
        </w:rPr>
        <w:t>其中大中型矿山增加</w:t>
      </w:r>
      <w:r>
        <w:rPr>
          <w:rFonts w:ascii="Times New Roman" w:hAnsi="Times New Roman" w:eastAsia="Times New Roman" w:cs="Times New Roman"/>
          <w:kern w:val="0"/>
          <w:sz w:val="28"/>
          <w:szCs w:val="28"/>
        </w:rPr>
        <w:t>3</w:t>
      </w:r>
      <w:r>
        <w:rPr>
          <w:rFonts w:ascii="仿宋" w:hAnsi="仿宋" w:eastAsia="仿宋" w:cs="Times New Roman"/>
          <w:kern w:val="0"/>
          <w:sz w:val="28"/>
          <w:szCs w:val="28"/>
        </w:rPr>
        <w:t>个，</w:t>
      </w:r>
      <w:r>
        <w:rPr>
          <w:rFonts w:ascii="仿宋" w:hAnsi="仿宋" w:eastAsia="仿宋" w:cs="Times New Roman"/>
          <w:spacing w:val="-4"/>
          <w:kern w:val="0"/>
          <w:sz w:val="28"/>
          <w:szCs w:val="28"/>
        </w:rPr>
        <w:t>大中型矿山比例</w:t>
      </w:r>
      <w:r>
        <w:rPr>
          <w:rFonts w:hint="eastAsia" w:ascii="仿宋" w:hAnsi="仿宋" w:eastAsia="仿宋" w:cs="Times New Roman"/>
          <w:spacing w:val="-4"/>
          <w:kern w:val="0"/>
          <w:sz w:val="28"/>
          <w:szCs w:val="28"/>
        </w:rPr>
        <w:t>由</w:t>
      </w:r>
      <w:r>
        <w:rPr>
          <w:rFonts w:ascii="仿宋" w:hAnsi="仿宋" w:eastAsia="仿宋" w:cs="Times New Roman"/>
          <w:spacing w:val="-4"/>
          <w:kern w:val="0"/>
          <w:sz w:val="28"/>
          <w:szCs w:val="28"/>
        </w:rPr>
        <w:t>5</w:t>
      </w:r>
      <w:r>
        <w:rPr>
          <w:rFonts w:hint="eastAsia" w:ascii="仿宋" w:hAnsi="仿宋" w:eastAsia="仿宋" w:cs="Times New Roman"/>
          <w:spacing w:val="-4"/>
          <w:kern w:val="0"/>
          <w:sz w:val="28"/>
          <w:szCs w:val="28"/>
        </w:rPr>
        <w:t>3%增长至</w:t>
      </w:r>
      <w:r>
        <w:rPr>
          <w:rFonts w:ascii="Times New Roman" w:hAnsi="Times New Roman" w:eastAsia="Times New Roman" w:cs="Times New Roman"/>
          <w:kern w:val="0"/>
          <w:sz w:val="28"/>
          <w:szCs w:val="28"/>
        </w:rPr>
        <w:t>69%</w:t>
      </w:r>
      <w:r>
        <w:rPr>
          <w:rFonts w:ascii="仿宋" w:hAnsi="仿宋" w:eastAsia="仿宋" w:cs="Times New Roman"/>
          <w:kern w:val="0"/>
          <w:sz w:val="28"/>
          <w:szCs w:val="28"/>
        </w:rPr>
        <w:t>。见</w:t>
      </w:r>
      <w:r>
        <w:rPr>
          <w:rFonts w:hint="eastAsia" w:ascii="仿宋" w:hAnsi="仿宋" w:eastAsia="仿宋" w:cs="Times New Roman"/>
          <w:kern w:val="0"/>
          <w:sz w:val="28"/>
          <w:szCs w:val="28"/>
        </w:rPr>
        <w:t>专栏</w:t>
      </w:r>
      <w:r>
        <w:rPr>
          <w:rFonts w:ascii="Times New Roman" w:hAnsi="Times New Roman" w:eastAsia="Times New Roman" w:cs="Times New Roman"/>
          <w:kern w:val="0"/>
          <w:sz w:val="28"/>
          <w:szCs w:val="28"/>
        </w:rPr>
        <w:t>5-3</w:t>
      </w:r>
      <w:r>
        <w:rPr>
          <w:rFonts w:ascii="仿宋" w:hAnsi="仿宋" w:eastAsia="仿宋" w:cs="Times New Roman"/>
          <w:kern w:val="0"/>
          <w:sz w:val="28"/>
          <w:szCs w:val="28"/>
        </w:rPr>
        <w:t>。</w:t>
      </w:r>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建筑石料用灰岩：2</w:t>
      </w:r>
      <w:r>
        <w:rPr>
          <w:rFonts w:ascii="仿宋" w:hAnsi="仿宋" w:eastAsia="仿宋" w:cs="Times New Roman"/>
          <w:kern w:val="0"/>
          <w:sz w:val="28"/>
          <w:szCs w:val="28"/>
        </w:rPr>
        <w:t>020</w:t>
      </w:r>
      <w:r>
        <w:rPr>
          <w:rFonts w:hint="eastAsia" w:ascii="仿宋" w:hAnsi="仿宋" w:eastAsia="仿宋" w:cs="Times New Roman"/>
          <w:kern w:val="0"/>
          <w:sz w:val="28"/>
          <w:szCs w:val="28"/>
        </w:rPr>
        <w:t>年5个采矿权，实际生产矿山</w:t>
      </w:r>
      <w:r>
        <w:rPr>
          <w:rFonts w:ascii="仿宋" w:hAnsi="仿宋" w:eastAsia="仿宋" w:cs="Times New Roman"/>
          <w:kern w:val="0"/>
          <w:sz w:val="28"/>
          <w:szCs w:val="28"/>
        </w:rPr>
        <w:t>4</w:t>
      </w:r>
      <w:r>
        <w:rPr>
          <w:rFonts w:hint="eastAsia" w:ascii="仿宋" w:hAnsi="仿宋" w:eastAsia="仿宋" w:cs="Times New Roman"/>
          <w:kern w:val="0"/>
          <w:sz w:val="28"/>
          <w:szCs w:val="28"/>
        </w:rPr>
        <w:t>个。规划期内不再新建开采规模小于年产</w:t>
      </w:r>
      <w:r>
        <w:rPr>
          <w:rFonts w:ascii="仿宋" w:hAnsi="仿宋" w:eastAsia="仿宋" w:cs="Times New Roman"/>
          <w:kern w:val="0"/>
          <w:sz w:val="28"/>
          <w:szCs w:val="28"/>
        </w:rPr>
        <w:t>50</w:t>
      </w:r>
      <w:r>
        <w:rPr>
          <w:rFonts w:hint="eastAsia" w:ascii="仿宋" w:hAnsi="仿宋" w:eastAsia="仿宋" w:cs="Times New Roman"/>
          <w:kern w:val="0"/>
          <w:sz w:val="28"/>
          <w:szCs w:val="28"/>
        </w:rPr>
        <w:t>万吨的矿山。2</w:t>
      </w:r>
      <w:r>
        <w:rPr>
          <w:rFonts w:ascii="仿宋" w:hAnsi="仿宋" w:eastAsia="仿宋" w:cs="Times New Roman"/>
          <w:kern w:val="0"/>
          <w:sz w:val="28"/>
          <w:szCs w:val="28"/>
        </w:rPr>
        <w:t>025</w:t>
      </w:r>
      <w:r>
        <w:rPr>
          <w:rFonts w:hint="eastAsia" w:ascii="仿宋" w:hAnsi="仿宋" w:eastAsia="仿宋" w:cs="Times New Roman"/>
          <w:kern w:val="0"/>
          <w:sz w:val="28"/>
          <w:szCs w:val="28"/>
        </w:rPr>
        <w:t>年预期矿山数5个，其中大型2个，中型3个。</w:t>
      </w:r>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砖瓦用页岩矿：2</w:t>
      </w:r>
      <w:r>
        <w:rPr>
          <w:rFonts w:ascii="仿宋" w:hAnsi="仿宋" w:eastAsia="仿宋" w:cs="Times New Roman"/>
          <w:kern w:val="0"/>
          <w:sz w:val="28"/>
          <w:szCs w:val="28"/>
        </w:rPr>
        <w:t>020</w:t>
      </w:r>
      <w:r>
        <w:rPr>
          <w:rFonts w:hint="eastAsia" w:ascii="仿宋" w:hAnsi="仿宋" w:eastAsia="仿宋" w:cs="Times New Roman"/>
          <w:kern w:val="0"/>
          <w:sz w:val="28"/>
          <w:szCs w:val="28"/>
        </w:rPr>
        <w:t>年矿山数3个，均为中型矿山。规划期内不再新建年开采规模小于</w:t>
      </w:r>
      <w:r>
        <w:rPr>
          <w:rFonts w:ascii="仿宋" w:hAnsi="仿宋" w:eastAsia="仿宋" w:cs="Times New Roman"/>
          <w:kern w:val="0"/>
          <w:sz w:val="28"/>
          <w:szCs w:val="28"/>
        </w:rPr>
        <w:t>6</w:t>
      </w:r>
      <w:r>
        <w:rPr>
          <w:rFonts w:hint="eastAsia" w:ascii="仿宋" w:hAnsi="仿宋" w:eastAsia="仿宋" w:cs="Times New Roman"/>
          <w:kern w:val="0"/>
          <w:sz w:val="28"/>
          <w:szCs w:val="28"/>
        </w:rPr>
        <w:t>万吨的矿山。2</w:t>
      </w:r>
      <w:r>
        <w:rPr>
          <w:rFonts w:ascii="仿宋" w:hAnsi="仿宋" w:eastAsia="仿宋" w:cs="Times New Roman"/>
          <w:kern w:val="0"/>
          <w:sz w:val="28"/>
          <w:szCs w:val="28"/>
        </w:rPr>
        <w:t>025</w:t>
      </w:r>
      <w:r>
        <w:rPr>
          <w:rFonts w:hint="eastAsia" w:ascii="仿宋" w:hAnsi="仿宋" w:eastAsia="仿宋" w:cs="Times New Roman"/>
          <w:kern w:val="0"/>
          <w:sz w:val="28"/>
          <w:szCs w:val="28"/>
        </w:rPr>
        <w:t>年预期矿山数5个，全部为中型以上。</w:t>
      </w:r>
    </w:p>
    <w:tbl>
      <w:tblPr>
        <w:tblStyle w:val="16"/>
        <w:tblW w:w="8075" w:type="dxa"/>
        <w:jc w:val="center"/>
        <w:tblLayout w:type="fixed"/>
        <w:tblCellMar>
          <w:top w:w="0" w:type="dxa"/>
          <w:left w:w="0" w:type="dxa"/>
          <w:bottom w:w="0" w:type="dxa"/>
          <w:right w:w="0" w:type="dxa"/>
        </w:tblCellMar>
      </w:tblPr>
      <w:tblGrid>
        <w:gridCol w:w="1014"/>
        <w:gridCol w:w="1816"/>
        <w:gridCol w:w="993"/>
        <w:gridCol w:w="1134"/>
        <w:gridCol w:w="992"/>
        <w:gridCol w:w="992"/>
        <w:gridCol w:w="1134"/>
      </w:tblGrid>
      <w:tr>
        <w:tblPrEx>
          <w:tblCellMar>
            <w:top w:w="0" w:type="dxa"/>
            <w:left w:w="0" w:type="dxa"/>
            <w:bottom w:w="0" w:type="dxa"/>
            <w:right w:w="0" w:type="dxa"/>
          </w:tblCellMar>
        </w:tblPrEx>
        <w:trPr>
          <w:trHeight w:val="397" w:hRule="exact"/>
          <w:jc w:val="center"/>
        </w:trPr>
        <w:tc>
          <w:tcPr>
            <w:tcW w:w="8075" w:type="dxa"/>
            <w:gridSpan w:val="7"/>
            <w:tcBorders>
              <w:top w:val="single" w:color="000000" w:sz="4" w:space="0"/>
              <w:left w:val="single" w:color="000000" w:sz="4" w:space="0"/>
              <w:right w:val="single" w:color="000000" w:sz="4" w:space="0"/>
            </w:tcBorders>
            <w:shd w:val="clear" w:color="auto" w:fill="99CCFF"/>
            <w:vAlign w:val="center"/>
          </w:tcPr>
          <w:p>
            <w:pPr>
              <w:jc w:val="center"/>
              <w:rPr>
                <w:rFonts w:ascii="仿宋" w:hAnsi="仿宋" w:eastAsia="仿宋" w:cs="仿宋"/>
                <w:kern w:val="0"/>
                <w:sz w:val="22"/>
                <w:szCs w:val="21"/>
                <w:lang w:eastAsia="zh-CN"/>
              </w:rPr>
            </w:pPr>
            <w:r>
              <w:rPr>
                <w:rFonts w:hint="eastAsia" w:ascii="仿宋" w:hAnsi="仿宋" w:eastAsia="仿宋" w:cs="仿宋"/>
                <w:b/>
                <w:kern w:val="0"/>
                <w:sz w:val="24"/>
                <w:szCs w:val="24"/>
                <w:lang w:eastAsia="zh-CN"/>
              </w:rPr>
              <w:t>专栏</w:t>
            </w:r>
            <w:r>
              <w:rPr>
                <w:rFonts w:ascii="Times New Roman" w:hAnsi="Times New Roman" w:eastAsia="仿宋" w:cs="Times New Roman"/>
                <w:b/>
                <w:kern w:val="0"/>
                <w:sz w:val="24"/>
                <w:szCs w:val="24"/>
                <w:lang w:eastAsia="zh-CN"/>
              </w:rPr>
              <w:t>5-3</w:t>
            </w:r>
            <w:r>
              <w:rPr>
                <w:rFonts w:ascii="仿宋" w:hAnsi="仿宋" w:eastAsia="仿宋" w:cs="仿宋"/>
                <w:b/>
                <w:kern w:val="0"/>
                <w:sz w:val="24"/>
                <w:szCs w:val="24"/>
                <w:lang w:eastAsia="zh-CN"/>
              </w:rPr>
              <w:t xml:space="preserve">    </w:t>
            </w:r>
            <w:r>
              <w:rPr>
                <w:rFonts w:hint="eastAsia" w:ascii="仿宋" w:hAnsi="仿宋" w:eastAsia="仿宋" w:cs="仿宋"/>
                <w:b/>
                <w:kern w:val="0"/>
                <w:sz w:val="24"/>
                <w:szCs w:val="24"/>
                <w:lang w:eastAsia="zh-CN"/>
              </w:rPr>
              <w:t>南昌市主要矿种</w:t>
            </w:r>
            <w:r>
              <w:rPr>
                <w:rFonts w:ascii="仿宋" w:hAnsi="仿宋" w:eastAsia="仿宋" w:cs="仿宋"/>
                <w:b/>
                <w:kern w:val="0"/>
                <w:sz w:val="24"/>
                <w:szCs w:val="24"/>
                <w:lang w:eastAsia="zh-CN"/>
              </w:rPr>
              <w:t>矿山结构调整</w:t>
            </w:r>
          </w:p>
        </w:tc>
      </w:tr>
      <w:tr>
        <w:tblPrEx>
          <w:tblCellMar>
            <w:top w:w="0" w:type="dxa"/>
            <w:left w:w="0" w:type="dxa"/>
            <w:bottom w:w="0" w:type="dxa"/>
            <w:right w:w="0" w:type="dxa"/>
          </w:tblCellMar>
        </w:tblPrEx>
        <w:trPr>
          <w:trHeight w:val="397" w:hRule="exact"/>
          <w:jc w:val="center"/>
        </w:trPr>
        <w:tc>
          <w:tcPr>
            <w:tcW w:w="2830" w:type="dxa"/>
            <w:gridSpan w:val="2"/>
            <w:vMerge w:val="restart"/>
            <w:tcBorders>
              <w:top w:val="single" w:color="000000" w:sz="4" w:space="0"/>
              <w:left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r>
              <w:rPr>
                <w:rFonts w:ascii="仿宋" w:hAnsi="仿宋" w:eastAsia="仿宋" w:cs="仿宋"/>
                <w:kern w:val="0"/>
                <w:sz w:val="22"/>
                <w:szCs w:val="21"/>
                <w:lang w:eastAsia="en-US"/>
              </w:rPr>
              <w:t>项目</w:t>
            </w:r>
          </w:p>
        </w:tc>
        <w:tc>
          <w:tcPr>
            <w:tcW w:w="2127" w:type="dxa"/>
            <w:gridSpan w:val="2"/>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r>
              <w:rPr>
                <w:rFonts w:ascii="Times New Roman" w:hAnsi="Times New Roman" w:eastAsia="Times New Roman" w:cs="Times New Roman"/>
                <w:kern w:val="0"/>
                <w:sz w:val="22"/>
                <w:szCs w:val="21"/>
                <w:lang w:eastAsia="en-US"/>
              </w:rPr>
              <w:t>2020</w:t>
            </w:r>
            <w:r>
              <w:rPr>
                <w:rFonts w:ascii="仿宋" w:hAnsi="仿宋" w:eastAsia="仿宋" w:cs="仿宋"/>
                <w:kern w:val="0"/>
                <w:sz w:val="22"/>
                <w:szCs w:val="21"/>
                <w:lang w:eastAsia="en-US"/>
              </w:rPr>
              <w:t>年现状（个）</w:t>
            </w:r>
          </w:p>
        </w:tc>
        <w:tc>
          <w:tcPr>
            <w:tcW w:w="1984" w:type="dxa"/>
            <w:gridSpan w:val="2"/>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r>
              <w:rPr>
                <w:rFonts w:ascii="Times New Roman" w:hAnsi="Times New Roman" w:eastAsia="Times New Roman" w:cs="Times New Roman"/>
                <w:kern w:val="0"/>
                <w:sz w:val="22"/>
                <w:szCs w:val="21"/>
                <w:lang w:eastAsia="en-US"/>
              </w:rPr>
              <w:t>2025</w:t>
            </w:r>
            <w:r>
              <w:rPr>
                <w:rFonts w:ascii="仿宋" w:hAnsi="仿宋" w:eastAsia="仿宋" w:cs="仿宋"/>
                <w:kern w:val="0"/>
                <w:sz w:val="22"/>
                <w:szCs w:val="21"/>
                <w:lang w:eastAsia="en-US"/>
              </w:rPr>
              <w:t>年</w:t>
            </w:r>
            <w:r>
              <w:rPr>
                <w:rFonts w:hint="eastAsia" w:ascii="仿宋" w:hAnsi="仿宋" w:eastAsia="仿宋" w:cs="仿宋"/>
                <w:kern w:val="0"/>
                <w:sz w:val="22"/>
                <w:szCs w:val="21"/>
                <w:lang w:eastAsia="zh-CN"/>
              </w:rPr>
              <w:t>预期</w:t>
            </w:r>
            <w:r>
              <w:rPr>
                <w:rFonts w:ascii="仿宋" w:hAnsi="仿宋" w:eastAsia="仿宋" w:cs="仿宋"/>
                <w:kern w:val="0"/>
                <w:sz w:val="22"/>
                <w:szCs w:val="21"/>
                <w:lang w:eastAsia="en-US"/>
              </w:rPr>
              <w:t>（个）</w:t>
            </w:r>
          </w:p>
        </w:tc>
        <w:tc>
          <w:tcPr>
            <w:tcW w:w="1134" w:type="dxa"/>
            <w:vMerge w:val="restart"/>
            <w:tcBorders>
              <w:top w:val="single" w:color="000000" w:sz="4" w:space="0"/>
              <w:left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r>
              <w:rPr>
                <w:rFonts w:ascii="仿宋" w:hAnsi="仿宋" w:eastAsia="仿宋" w:cs="仿宋"/>
                <w:kern w:val="0"/>
                <w:sz w:val="22"/>
                <w:szCs w:val="21"/>
                <w:lang w:eastAsia="en-US"/>
              </w:rPr>
              <w:t>备注</w:t>
            </w:r>
          </w:p>
        </w:tc>
      </w:tr>
      <w:tr>
        <w:tblPrEx>
          <w:tblCellMar>
            <w:top w:w="0" w:type="dxa"/>
            <w:left w:w="0" w:type="dxa"/>
            <w:bottom w:w="0" w:type="dxa"/>
            <w:right w:w="0" w:type="dxa"/>
          </w:tblCellMar>
        </w:tblPrEx>
        <w:trPr>
          <w:trHeight w:val="635" w:hRule="exact"/>
          <w:jc w:val="center"/>
        </w:trPr>
        <w:tc>
          <w:tcPr>
            <w:tcW w:w="2830" w:type="dxa"/>
            <w:gridSpan w:val="2"/>
            <w:vMerge w:val="continue"/>
            <w:tcBorders>
              <w:left w:val="single" w:color="000000" w:sz="4" w:space="0"/>
              <w:bottom w:val="single" w:color="000000" w:sz="4" w:space="0"/>
              <w:right w:val="single" w:color="000000" w:sz="4" w:space="0"/>
            </w:tcBorders>
            <w:shd w:val="clear" w:color="auto" w:fill="CCFFFF"/>
            <w:vAlign w:val="center"/>
          </w:tcPr>
          <w:p>
            <w:pPr>
              <w:jc w:val="center"/>
              <w:rPr>
                <w:rFonts w:ascii="Calibri" w:hAnsi="Calibri" w:eastAsia="宋体" w:cs="Times New Roman"/>
                <w:kern w:val="0"/>
                <w:sz w:val="22"/>
                <w:lang w:eastAsia="en-US"/>
              </w:rPr>
            </w:pPr>
          </w:p>
        </w:tc>
        <w:tc>
          <w:tcPr>
            <w:tcW w:w="993"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r>
              <w:rPr>
                <w:rFonts w:ascii="仿宋" w:hAnsi="仿宋" w:eastAsia="仿宋" w:cs="仿宋"/>
                <w:kern w:val="0"/>
                <w:sz w:val="22"/>
                <w:szCs w:val="21"/>
                <w:lang w:eastAsia="en-US"/>
              </w:rPr>
              <w:t>矿山数</w:t>
            </w:r>
          </w:p>
        </w:tc>
        <w:tc>
          <w:tcPr>
            <w:tcW w:w="1134"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r>
              <w:rPr>
                <w:rFonts w:ascii="仿宋" w:hAnsi="仿宋" w:eastAsia="仿宋" w:cs="仿宋"/>
                <w:kern w:val="0"/>
                <w:sz w:val="22"/>
                <w:szCs w:val="21"/>
                <w:lang w:eastAsia="en-US"/>
              </w:rPr>
              <w:t>大中型</w:t>
            </w:r>
          </w:p>
          <w:p>
            <w:pPr>
              <w:jc w:val="center"/>
              <w:rPr>
                <w:rFonts w:ascii="仿宋" w:hAnsi="仿宋" w:eastAsia="仿宋" w:cs="仿宋"/>
                <w:kern w:val="0"/>
                <w:sz w:val="22"/>
                <w:szCs w:val="21"/>
                <w:lang w:eastAsia="en-US"/>
              </w:rPr>
            </w:pPr>
            <w:r>
              <w:rPr>
                <w:rFonts w:ascii="仿宋" w:hAnsi="仿宋" w:eastAsia="仿宋" w:cs="仿宋"/>
                <w:kern w:val="0"/>
                <w:sz w:val="22"/>
                <w:szCs w:val="21"/>
                <w:lang w:eastAsia="en-US"/>
              </w:rPr>
              <w:t>矿山数</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r>
              <w:rPr>
                <w:rFonts w:ascii="仿宋" w:hAnsi="仿宋" w:eastAsia="仿宋" w:cs="仿宋"/>
                <w:kern w:val="0"/>
                <w:sz w:val="22"/>
                <w:szCs w:val="21"/>
                <w:lang w:eastAsia="en-US"/>
              </w:rPr>
              <w:t>矿山数</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r>
              <w:rPr>
                <w:rFonts w:ascii="仿宋" w:hAnsi="仿宋" w:eastAsia="仿宋" w:cs="仿宋"/>
                <w:kern w:val="0"/>
                <w:sz w:val="22"/>
                <w:szCs w:val="21"/>
                <w:lang w:eastAsia="en-US"/>
              </w:rPr>
              <w:t>大中型</w:t>
            </w:r>
          </w:p>
          <w:p>
            <w:pPr>
              <w:jc w:val="center"/>
              <w:rPr>
                <w:rFonts w:ascii="仿宋" w:hAnsi="仿宋" w:eastAsia="仿宋" w:cs="仿宋"/>
                <w:kern w:val="0"/>
                <w:sz w:val="22"/>
                <w:szCs w:val="21"/>
                <w:lang w:eastAsia="en-US"/>
              </w:rPr>
            </w:pPr>
            <w:r>
              <w:rPr>
                <w:rFonts w:ascii="仿宋" w:hAnsi="仿宋" w:eastAsia="仿宋" w:cs="仿宋"/>
                <w:kern w:val="0"/>
                <w:sz w:val="22"/>
                <w:szCs w:val="21"/>
                <w:lang w:eastAsia="en-US"/>
              </w:rPr>
              <w:t>矿山数</w:t>
            </w:r>
          </w:p>
        </w:tc>
        <w:tc>
          <w:tcPr>
            <w:tcW w:w="1134" w:type="dxa"/>
            <w:vMerge w:val="continue"/>
            <w:tcBorders>
              <w:left w:val="single" w:color="000000" w:sz="4" w:space="0"/>
              <w:bottom w:val="single" w:color="000000" w:sz="4" w:space="0"/>
              <w:right w:val="single" w:color="000000" w:sz="4" w:space="0"/>
            </w:tcBorders>
            <w:shd w:val="clear" w:color="auto" w:fill="CCFFFF"/>
            <w:vAlign w:val="center"/>
          </w:tcPr>
          <w:p>
            <w:pPr>
              <w:jc w:val="center"/>
              <w:rPr>
                <w:rFonts w:ascii="Calibri" w:hAnsi="Calibri" w:eastAsia="宋体" w:cs="Times New Roman"/>
                <w:kern w:val="0"/>
                <w:sz w:val="22"/>
                <w:lang w:eastAsia="en-US"/>
              </w:rPr>
            </w:pPr>
          </w:p>
        </w:tc>
      </w:tr>
      <w:tr>
        <w:tblPrEx>
          <w:tblCellMar>
            <w:top w:w="0" w:type="dxa"/>
            <w:left w:w="0" w:type="dxa"/>
            <w:bottom w:w="0" w:type="dxa"/>
            <w:right w:w="0" w:type="dxa"/>
          </w:tblCellMar>
        </w:tblPrEx>
        <w:trPr>
          <w:trHeight w:val="340" w:hRule="exact"/>
          <w:jc w:val="center"/>
        </w:trPr>
        <w:tc>
          <w:tcPr>
            <w:tcW w:w="2830" w:type="dxa"/>
            <w:gridSpan w:val="2"/>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r>
              <w:rPr>
                <w:rFonts w:ascii="仿宋" w:hAnsi="仿宋" w:eastAsia="仿宋" w:cs="仿宋"/>
                <w:kern w:val="0"/>
                <w:sz w:val="22"/>
                <w:szCs w:val="21"/>
                <w:lang w:eastAsia="en-US"/>
              </w:rPr>
              <w:t>全区</w:t>
            </w:r>
          </w:p>
        </w:tc>
        <w:tc>
          <w:tcPr>
            <w:tcW w:w="993"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15</w:t>
            </w:r>
          </w:p>
        </w:tc>
        <w:tc>
          <w:tcPr>
            <w:tcW w:w="1134"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8</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16</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11</w:t>
            </w:r>
          </w:p>
        </w:tc>
        <w:tc>
          <w:tcPr>
            <w:tcW w:w="1134"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Calibri" w:hAnsi="Calibri" w:eastAsia="宋体" w:cs="Times New Roman"/>
                <w:kern w:val="0"/>
                <w:sz w:val="22"/>
                <w:lang w:eastAsia="zh-CN"/>
              </w:rPr>
            </w:pPr>
          </w:p>
        </w:tc>
      </w:tr>
      <w:tr>
        <w:tblPrEx>
          <w:tblCellMar>
            <w:top w:w="0" w:type="dxa"/>
            <w:left w:w="0" w:type="dxa"/>
            <w:bottom w:w="0" w:type="dxa"/>
            <w:right w:w="0" w:type="dxa"/>
          </w:tblCellMar>
        </w:tblPrEx>
        <w:trPr>
          <w:trHeight w:val="323" w:hRule="exact"/>
          <w:jc w:val="center"/>
        </w:trPr>
        <w:tc>
          <w:tcPr>
            <w:tcW w:w="1014" w:type="dxa"/>
            <w:vMerge w:val="restart"/>
            <w:tcBorders>
              <w:top w:val="single" w:color="000000" w:sz="4" w:space="0"/>
              <w:left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r>
              <w:rPr>
                <w:rFonts w:ascii="仿宋" w:hAnsi="仿宋" w:eastAsia="仿宋" w:cs="仿宋"/>
                <w:kern w:val="0"/>
                <w:sz w:val="22"/>
                <w:szCs w:val="21"/>
                <w:lang w:eastAsia="en-US"/>
              </w:rPr>
              <w:t>砂石土类矿产</w:t>
            </w:r>
          </w:p>
        </w:tc>
        <w:tc>
          <w:tcPr>
            <w:tcW w:w="1816"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zh-CN"/>
              </w:rPr>
            </w:pPr>
            <w:r>
              <w:rPr>
                <w:rFonts w:ascii="仿宋" w:hAnsi="仿宋" w:eastAsia="仿宋" w:cs="仿宋"/>
                <w:kern w:val="0"/>
                <w:sz w:val="22"/>
                <w:szCs w:val="21"/>
                <w:lang w:eastAsia="en-US"/>
              </w:rPr>
              <w:t>建筑石料</w:t>
            </w:r>
            <w:r>
              <w:rPr>
                <w:rFonts w:hint="eastAsia" w:ascii="仿宋" w:hAnsi="仿宋" w:eastAsia="仿宋" w:cs="仿宋"/>
                <w:kern w:val="0"/>
                <w:sz w:val="22"/>
                <w:szCs w:val="21"/>
                <w:lang w:eastAsia="zh-CN"/>
              </w:rPr>
              <w:t>用灰岩</w:t>
            </w:r>
          </w:p>
        </w:tc>
        <w:tc>
          <w:tcPr>
            <w:tcW w:w="993"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5</w:t>
            </w:r>
          </w:p>
        </w:tc>
        <w:tc>
          <w:tcPr>
            <w:tcW w:w="1134"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5</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5</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5</w:t>
            </w:r>
          </w:p>
        </w:tc>
        <w:tc>
          <w:tcPr>
            <w:tcW w:w="1134"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Calibri" w:hAnsi="Calibri" w:eastAsia="宋体" w:cs="Times New Roman"/>
                <w:kern w:val="0"/>
                <w:sz w:val="22"/>
                <w:lang w:eastAsia="zh-CN"/>
              </w:rPr>
            </w:pPr>
          </w:p>
        </w:tc>
      </w:tr>
      <w:tr>
        <w:tblPrEx>
          <w:tblCellMar>
            <w:top w:w="0" w:type="dxa"/>
            <w:left w:w="0" w:type="dxa"/>
            <w:bottom w:w="0" w:type="dxa"/>
            <w:right w:w="0" w:type="dxa"/>
          </w:tblCellMar>
        </w:tblPrEx>
        <w:trPr>
          <w:trHeight w:val="323" w:hRule="exact"/>
          <w:jc w:val="center"/>
        </w:trPr>
        <w:tc>
          <w:tcPr>
            <w:tcW w:w="1014" w:type="dxa"/>
            <w:vMerge w:val="continue"/>
            <w:tcBorders>
              <w:top w:val="single" w:color="000000" w:sz="4" w:space="0"/>
              <w:left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p>
        </w:tc>
        <w:tc>
          <w:tcPr>
            <w:tcW w:w="1816"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仿宋" w:hAnsi="仿宋" w:eastAsia="仿宋" w:cs="仿宋"/>
                <w:kern w:val="0"/>
                <w:sz w:val="22"/>
                <w:szCs w:val="21"/>
                <w:lang w:eastAsia="en-US"/>
              </w:rPr>
            </w:pPr>
            <w:r>
              <w:rPr>
                <w:rFonts w:ascii="仿宋" w:hAnsi="仿宋" w:eastAsia="仿宋" w:cs="仿宋"/>
                <w:spacing w:val="-11"/>
                <w:kern w:val="0"/>
                <w:sz w:val="22"/>
                <w:szCs w:val="21"/>
                <w:lang w:eastAsia="en-US"/>
              </w:rPr>
              <w:t>砖瓦用页岩</w:t>
            </w:r>
          </w:p>
        </w:tc>
        <w:tc>
          <w:tcPr>
            <w:tcW w:w="993"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3</w:t>
            </w:r>
          </w:p>
        </w:tc>
        <w:tc>
          <w:tcPr>
            <w:tcW w:w="1134"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3</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5</w:t>
            </w:r>
          </w:p>
        </w:tc>
        <w:tc>
          <w:tcPr>
            <w:tcW w:w="992"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5</w:t>
            </w:r>
          </w:p>
        </w:tc>
        <w:tc>
          <w:tcPr>
            <w:tcW w:w="1134"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Calibri" w:hAnsi="Calibri" w:eastAsia="宋体" w:cs="Times New Roman"/>
                <w:kern w:val="0"/>
                <w:sz w:val="22"/>
                <w:lang w:eastAsia="en-US"/>
              </w:rPr>
            </w:pPr>
          </w:p>
        </w:tc>
      </w:tr>
      <w:tr>
        <w:tblPrEx>
          <w:tblCellMar>
            <w:top w:w="0" w:type="dxa"/>
            <w:left w:w="0" w:type="dxa"/>
            <w:bottom w:w="0" w:type="dxa"/>
            <w:right w:w="0" w:type="dxa"/>
          </w:tblCellMar>
        </w:tblPrEx>
        <w:trPr>
          <w:trHeight w:val="322" w:hRule="exact"/>
          <w:jc w:val="center"/>
        </w:trPr>
        <w:tc>
          <w:tcPr>
            <w:tcW w:w="1014" w:type="dxa"/>
            <w:vMerge w:val="continue"/>
            <w:tcBorders>
              <w:left w:val="single" w:color="000000" w:sz="4" w:space="0"/>
              <w:bottom w:val="single" w:color="auto" w:sz="4" w:space="0"/>
              <w:right w:val="single" w:color="000000" w:sz="4" w:space="0"/>
            </w:tcBorders>
            <w:shd w:val="clear" w:color="auto" w:fill="CCFFFF"/>
            <w:vAlign w:val="center"/>
          </w:tcPr>
          <w:p>
            <w:pPr>
              <w:jc w:val="center"/>
              <w:rPr>
                <w:rFonts w:ascii="Calibri" w:hAnsi="Calibri" w:eastAsia="宋体" w:cs="Times New Roman"/>
                <w:kern w:val="0"/>
                <w:sz w:val="22"/>
                <w:lang w:eastAsia="en-US"/>
              </w:rPr>
            </w:pPr>
          </w:p>
        </w:tc>
        <w:tc>
          <w:tcPr>
            <w:tcW w:w="1816" w:type="dxa"/>
            <w:tcBorders>
              <w:top w:val="single" w:color="000000" w:sz="4" w:space="0"/>
              <w:left w:val="single" w:color="000000" w:sz="4" w:space="0"/>
              <w:bottom w:val="single" w:color="auto" w:sz="4" w:space="0"/>
              <w:right w:val="single" w:color="000000" w:sz="4" w:space="0"/>
            </w:tcBorders>
            <w:shd w:val="clear" w:color="auto" w:fill="CCFFFF"/>
            <w:vAlign w:val="center"/>
          </w:tcPr>
          <w:p>
            <w:pPr>
              <w:jc w:val="center"/>
              <w:rPr>
                <w:rFonts w:ascii="仿宋" w:hAnsi="仿宋" w:eastAsia="仿宋" w:cs="仿宋"/>
                <w:kern w:val="0"/>
                <w:sz w:val="22"/>
                <w:szCs w:val="21"/>
                <w:lang w:eastAsia="zh-CN"/>
              </w:rPr>
            </w:pPr>
            <w:r>
              <w:rPr>
                <w:rFonts w:ascii="仿宋" w:hAnsi="仿宋" w:eastAsia="仿宋" w:cs="仿宋"/>
                <w:spacing w:val="-11"/>
                <w:kern w:val="0"/>
                <w:sz w:val="22"/>
                <w:szCs w:val="21"/>
                <w:lang w:eastAsia="en-US"/>
              </w:rPr>
              <w:t>砖瓦用</w:t>
            </w:r>
            <w:r>
              <w:rPr>
                <w:rFonts w:hint="eastAsia" w:ascii="仿宋" w:hAnsi="仿宋" w:eastAsia="仿宋" w:cs="仿宋"/>
                <w:spacing w:val="-11"/>
                <w:kern w:val="0"/>
                <w:sz w:val="22"/>
                <w:szCs w:val="21"/>
                <w:lang w:eastAsia="zh-CN"/>
              </w:rPr>
              <w:t>粘土</w:t>
            </w:r>
          </w:p>
        </w:tc>
        <w:tc>
          <w:tcPr>
            <w:tcW w:w="993" w:type="dxa"/>
            <w:tcBorders>
              <w:top w:val="single" w:color="000000" w:sz="4" w:space="0"/>
              <w:left w:val="single" w:color="000000" w:sz="4" w:space="0"/>
              <w:bottom w:val="single" w:color="auto"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hint="eastAsia" w:ascii="Times New Roman" w:hAnsi="Times New Roman" w:eastAsia="宋体" w:cs="Times New Roman"/>
                <w:kern w:val="0"/>
                <w:sz w:val="22"/>
                <w:lang w:eastAsia="zh-CN"/>
              </w:rPr>
              <w:t>6</w:t>
            </w:r>
          </w:p>
        </w:tc>
        <w:tc>
          <w:tcPr>
            <w:tcW w:w="1134" w:type="dxa"/>
            <w:tcBorders>
              <w:top w:val="single" w:color="000000" w:sz="4" w:space="0"/>
              <w:left w:val="single" w:color="000000" w:sz="4" w:space="0"/>
              <w:bottom w:val="single" w:color="auto"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hint="eastAsia" w:ascii="Times New Roman" w:hAnsi="Times New Roman" w:eastAsia="宋体" w:cs="Times New Roman"/>
                <w:kern w:val="0"/>
                <w:sz w:val="22"/>
                <w:lang w:eastAsia="zh-CN"/>
              </w:rPr>
              <w:t>0</w:t>
            </w:r>
          </w:p>
        </w:tc>
        <w:tc>
          <w:tcPr>
            <w:tcW w:w="992" w:type="dxa"/>
            <w:tcBorders>
              <w:top w:val="single" w:color="000000" w:sz="4" w:space="0"/>
              <w:left w:val="single" w:color="000000" w:sz="4" w:space="0"/>
              <w:bottom w:val="single" w:color="auto"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3</w:t>
            </w:r>
          </w:p>
        </w:tc>
        <w:tc>
          <w:tcPr>
            <w:tcW w:w="992" w:type="dxa"/>
            <w:tcBorders>
              <w:top w:val="single" w:color="000000" w:sz="4" w:space="0"/>
              <w:left w:val="single" w:color="000000" w:sz="4" w:space="0"/>
              <w:bottom w:val="single" w:color="auto" w:sz="4" w:space="0"/>
              <w:right w:val="single" w:color="000000"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w:t>
            </w:r>
          </w:p>
        </w:tc>
        <w:tc>
          <w:tcPr>
            <w:tcW w:w="1134" w:type="dxa"/>
            <w:tcBorders>
              <w:top w:val="single" w:color="000000" w:sz="4" w:space="0"/>
              <w:left w:val="single" w:color="000000" w:sz="4" w:space="0"/>
              <w:bottom w:val="single" w:color="auto" w:sz="4" w:space="0"/>
              <w:right w:val="single" w:color="000000" w:sz="4" w:space="0"/>
            </w:tcBorders>
            <w:shd w:val="clear" w:color="auto" w:fill="CCFFFF"/>
            <w:vAlign w:val="center"/>
          </w:tcPr>
          <w:p>
            <w:pPr>
              <w:jc w:val="center"/>
              <w:rPr>
                <w:rFonts w:ascii="仿宋" w:hAnsi="仿宋" w:eastAsia="仿宋" w:cs="Times New Roman"/>
                <w:kern w:val="0"/>
                <w:sz w:val="22"/>
                <w:lang w:eastAsia="zh-CN"/>
              </w:rPr>
            </w:pPr>
            <w:r>
              <w:rPr>
                <w:rFonts w:hint="eastAsia" w:ascii="仿宋" w:hAnsi="仿宋" w:eastAsia="仿宋" w:cs="Times New Roman"/>
                <w:kern w:val="0"/>
                <w:sz w:val="22"/>
                <w:lang w:eastAsia="zh-CN"/>
              </w:rPr>
              <w:t>逐步退出</w:t>
            </w:r>
          </w:p>
        </w:tc>
      </w:tr>
      <w:tr>
        <w:tblPrEx>
          <w:tblCellMar>
            <w:top w:w="0" w:type="dxa"/>
            <w:left w:w="0" w:type="dxa"/>
            <w:bottom w:w="0" w:type="dxa"/>
            <w:right w:w="0" w:type="dxa"/>
          </w:tblCellMar>
        </w:tblPrEx>
        <w:trPr>
          <w:trHeight w:val="322" w:hRule="exact"/>
          <w:jc w:val="center"/>
        </w:trPr>
        <w:tc>
          <w:tcPr>
            <w:tcW w:w="1014" w:type="dxa"/>
            <w:vMerge w:val="restart"/>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仿宋" w:hAnsi="仿宋" w:eastAsia="仿宋" w:cs="仿宋"/>
                <w:kern w:val="0"/>
                <w:sz w:val="22"/>
                <w:szCs w:val="21"/>
                <w:lang w:eastAsia="en-US"/>
              </w:rPr>
            </w:pPr>
            <w:r>
              <w:rPr>
                <w:rFonts w:hint="eastAsia" w:ascii="仿宋" w:hAnsi="仿宋" w:eastAsia="仿宋" w:cs="仿宋"/>
                <w:kern w:val="0"/>
                <w:sz w:val="22"/>
                <w:szCs w:val="21"/>
                <w:lang w:eastAsia="zh-CN"/>
              </w:rPr>
              <w:t>水气</w:t>
            </w:r>
            <w:r>
              <w:rPr>
                <w:rFonts w:ascii="仿宋" w:hAnsi="仿宋" w:eastAsia="仿宋" w:cs="仿宋"/>
                <w:kern w:val="0"/>
                <w:sz w:val="22"/>
                <w:szCs w:val="21"/>
                <w:lang w:eastAsia="en-US"/>
              </w:rPr>
              <w:t>矿产</w:t>
            </w:r>
          </w:p>
        </w:tc>
        <w:tc>
          <w:tcPr>
            <w:tcW w:w="1816"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仿宋" w:hAnsi="仿宋" w:eastAsia="仿宋" w:cs="仿宋"/>
                <w:kern w:val="0"/>
                <w:sz w:val="22"/>
                <w:szCs w:val="21"/>
                <w:lang w:eastAsia="zh-CN"/>
              </w:rPr>
            </w:pPr>
            <w:r>
              <w:rPr>
                <w:rFonts w:ascii="仿宋" w:hAnsi="仿宋" w:eastAsia="仿宋" w:cs="仿宋"/>
                <w:kern w:val="0"/>
                <w:sz w:val="22"/>
                <w:szCs w:val="21"/>
                <w:lang w:eastAsia="en-US"/>
              </w:rPr>
              <w:t>地热</w:t>
            </w:r>
            <w:r>
              <w:rPr>
                <w:rFonts w:hint="eastAsia" w:ascii="仿宋" w:hAnsi="仿宋" w:eastAsia="仿宋" w:cs="仿宋"/>
                <w:kern w:val="0"/>
                <w:sz w:val="22"/>
                <w:szCs w:val="21"/>
                <w:lang w:eastAsia="zh-CN"/>
              </w:rPr>
              <w:t>水</w:t>
            </w:r>
          </w:p>
        </w:tc>
        <w:tc>
          <w:tcPr>
            <w:tcW w:w="993"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w:t>
            </w:r>
          </w:p>
        </w:tc>
        <w:tc>
          <w:tcPr>
            <w:tcW w:w="1134"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w:t>
            </w:r>
          </w:p>
        </w:tc>
        <w:tc>
          <w:tcPr>
            <w:tcW w:w="992"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2</w:t>
            </w:r>
          </w:p>
        </w:tc>
        <w:tc>
          <w:tcPr>
            <w:tcW w:w="992"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w:t>
            </w:r>
          </w:p>
        </w:tc>
        <w:tc>
          <w:tcPr>
            <w:tcW w:w="1134"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仿宋" w:hAnsi="仿宋" w:eastAsia="仿宋" w:cs="Times New Roman"/>
                <w:kern w:val="0"/>
                <w:sz w:val="22"/>
                <w:lang w:eastAsia="zh-CN"/>
              </w:rPr>
            </w:pPr>
            <w:r>
              <w:rPr>
                <w:rFonts w:hint="eastAsia" w:ascii="仿宋" w:hAnsi="仿宋" w:eastAsia="仿宋" w:cs="Times New Roman"/>
                <w:kern w:val="0"/>
                <w:sz w:val="22"/>
                <w:lang w:eastAsia="zh-CN"/>
              </w:rPr>
              <w:t>新增</w:t>
            </w:r>
          </w:p>
        </w:tc>
      </w:tr>
      <w:tr>
        <w:tblPrEx>
          <w:tblCellMar>
            <w:top w:w="0" w:type="dxa"/>
            <w:left w:w="0" w:type="dxa"/>
            <w:bottom w:w="0" w:type="dxa"/>
            <w:right w:w="0" w:type="dxa"/>
          </w:tblCellMar>
        </w:tblPrEx>
        <w:trPr>
          <w:trHeight w:val="323" w:hRule="exact"/>
          <w:jc w:val="center"/>
        </w:trPr>
        <w:tc>
          <w:tcPr>
            <w:tcW w:w="1014" w:type="dxa"/>
            <w:vMerge w:val="continue"/>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Calibri" w:hAnsi="Calibri" w:eastAsia="宋体" w:cs="Times New Roman"/>
                <w:kern w:val="0"/>
                <w:sz w:val="22"/>
                <w:lang w:eastAsia="en-US"/>
              </w:rPr>
            </w:pPr>
          </w:p>
        </w:tc>
        <w:tc>
          <w:tcPr>
            <w:tcW w:w="1816"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仿宋" w:hAnsi="仿宋" w:eastAsia="仿宋" w:cs="仿宋"/>
                <w:kern w:val="0"/>
                <w:sz w:val="22"/>
                <w:szCs w:val="21"/>
                <w:lang w:eastAsia="en-US"/>
              </w:rPr>
            </w:pPr>
            <w:r>
              <w:rPr>
                <w:rFonts w:ascii="仿宋" w:hAnsi="仿宋" w:eastAsia="仿宋" w:cs="仿宋"/>
                <w:kern w:val="0"/>
                <w:sz w:val="22"/>
                <w:szCs w:val="21"/>
                <w:lang w:eastAsia="en-US"/>
              </w:rPr>
              <w:t>矿泉水</w:t>
            </w:r>
          </w:p>
        </w:tc>
        <w:tc>
          <w:tcPr>
            <w:tcW w:w="993"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w:t>
            </w:r>
          </w:p>
        </w:tc>
        <w:tc>
          <w:tcPr>
            <w:tcW w:w="1134"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w:t>
            </w:r>
          </w:p>
        </w:tc>
        <w:tc>
          <w:tcPr>
            <w:tcW w:w="992"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1</w:t>
            </w:r>
          </w:p>
        </w:tc>
        <w:tc>
          <w:tcPr>
            <w:tcW w:w="992"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Times New Roman" w:hAnsi="Times New Roman" w:eastAsia="宋体" w:cs="Times New Roman"/>
                <w:kern w:val="0"/>
                <w:sz w:val="22"/>
                <w:lang w:eastAsia="zh-CN"/>
              </w:rPr>
            </w:pPr>
            <w:r>
              <w:rPr>
                <w:rFonts w:ascii="Times New Roman" w:hAnsi="Times New Roman" w:eastAsia="宋体" w:cs="Times New Roman"/>
                <w:kern w:val="0"/>
                <w:sz w:val="22"/>
                <w:lang w:eastAsia="zh-CN"/>
              </w:rPr>
              <w:t>1</w:t>
            </w:r>
          </w:p>
        </w:tc>
        <w:tc>
          <w:tcPr>
            <w:tcW w:w="1134" w:type="dxa"/>
            <w:tcBorders>
              <w:top w:val="single" w:color="auto" w:sz="4" w:space="0"/>
              <w:left w:val="single" w:color="auto" w:sz="4" w:space="0"/>
              <w:bottom w:val="single" w:color="auto" w:sz="4" w:space="0"/>
              <w:right w:val="single" w:color="auto" w:sz="4" w:space="0"/>
            </w:tcBorders>
            <w:shd w:val="clear" w:color="auto" w:fill="CCFFFF"/>
            <w:vAlign w:val="center"/>
          </w:tcPr>
          <w:p>
            <w:pPr>
              <w:jc w:val="center"/>
              <w:rPr>
                <w:rFonts w:ascii="仿宋" w:hAnsi="仿宋" w:eastAsia="仿宋" w:cs="Times New Roman"/>
                <w:kern w:val="0"/>
                <w:sz w:val="22"/>
                <w:lang w:eastAsia="zh-CN"/>
              </w:rPr>
            </w:pPr>
            <w:r>
              <w:rPr>
                <w:rFonts w:hint="eastAsia" w:ascii="仿宋" w:hAnsi="仿宋" w:eastAsia="仿宋" w:cs="Times New Roman"/>
                <w:kern w:val="0"/>
                <w:sz w:val="22"/>
                <w:lang w:eastAsia="zh-CN"/>
              </w:rPr>
              <w:t>新增</w:t>
            </w:r>
          </w:p>
        </w:tc>
      </w:tr>
    </w:tbl>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砖瓦用粘土矿：2</w:t>
      </w:r>
      <w:r>
        <w:rPr>
          <w:rFonts w:ascii="仿宋" w:hAnsi="仿宋" w:eastAsia="仿宋" w:cs="Times New Roman"/>
          <w:kern w:val="0"/>
          <w:sz w:val="28"/>
          <w:szCs w:val="28"/>
        </w:rPr>
        <w:t>020</w:t>
      </w:r>
      <w:r>
        <w:rPr>
          <w:rFonts w:hint="eastAsia" w:ascii="仿宋" w:hAnsi="仿宋" w:eastAsia="仿宋" w:cs="Times New Roman"/>
          <w:kern w:val="0"/>
          <w:sz w:val="28"/>
          <w:szCs w:val="28"/>
        </w:rPr>
        <w:t>年矿山数</w:t>
      </w:r>
      <w:r>
        <w:rPr>
          <w:rFonts w:ascii="仿宋" w:hAnsi="仿宋" w:eastAsia="仿宋" w:cs="Times New Roman"/>
          <w:kern w:val="0"/>
          <w:sz w:val="28"/>
          <w:szCs w:val="28"/>
        </w:rPr>
        <w:t>7</w:t>
      </w:r>
      <w:r>
        <w:rPr>
          <w:rFonts w:hint="eastAsia" w:ascii="仿宋" w:hAnsi="仿宋" w:eastAsia="仿宋" w:cs="Times New Roman"/>
          <w:kern w:val="0"/>
          <w:sz w:val="28"/>
          <w:szCs w:val="28"/>
        </w:rPr>
        <w:t>个，均为小型矿山。规划期内不再新建砖瓦用粘土矿山，已有矿山不再扩界、扩深，实行逐步退出。</w:t>
      </w:r>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地热水：2</w:t>
      </w:r>
      <w:r>
        <w:rPr>
          <w:rFonts w:ascii="仿宋" w:hAnsi="仿宋" w:eastAsia="仿宋" w:cs="Times New Roman"/>
          <w:kern w:val="0"/>
          <w:sz w:val="28"/>
          <w:szCs w:val="28"/>
        </w:rPr>
        <w:t>020</w:t>
      </w:r>
      <w:r>
        <w:rPr>
          <w:rFonts w:hint="eastAsia" w:ascii="仿宋" w:hAnsi="仿宋" w:eastAsia="仿宋" w:cs="Times New Roman"/>
          <w:kern w:val="0"/>
          <w:sz w:val="28"/>
          <w:szCs w:val="28"/>
        </w:rPr>
        <w:t>年无地热水矿山（未设置采矿权）。2</w:t>
      </w:r>
      <w:r>
        <w:rPr>
          <w:rFonts w:ascii="仿宋" w:hAnsi="仿宋" w:eastAsia="仿宋" w:cs="Times New Roman"/>
          <w:kern w:val="0"/>
          <w:sz w:val="28"/>
          <w:szCs w:val="28"/>
        </w:rPr>
        <w:t>025</w:t>
      </w:r>
      <w:r>
        <w:rPr>
          <w:rFonts w:hint="eastAsia" w:ascii="仿宋" w:hAnsi="仿宋" w:eastAsia="仿宋" w:cs="Times New Roman"/>
          <w:kern w:val="0"/>
          <w:sz w:val="28"/>
          <w:szCs w:val="28"/>
        </w:rPr>
        <w:t>年预期矿山数2个（2</w:t>
      </w:r>
      <w:r>
        <w:rPr>
          <w:rFonts w:ascii="仿宋" w:hAnsi="仿宋" w:eastAsia="仿宋" w:cs="Times New Roman"/>
          <w:kern w:val="0"/>
          <w:sz w:val="28"/>
          <w:szCs w:val="28"/>
        </w:rPr>
        <w:t>021</w:t>
      </w:r>
      <w:r>
        <w:rPr>
          <w:rFonts w:hint="eastAsia" w:ascii="仿宋" w:hAnsi="仿宋" w:eastAsia="仿宋" w:cs="Times New Roman"/>
          <w:kern w:val="0"/>
          <w:sz w:val="28"/>
          <w:szCs w:val="28"/>
        </w:rPr>
        <w:t>年已设置采矿权）。</w:t>
      </w:r>
    </w:p>
    <w:p>
      <w:pPr>
        <w:spacing w:line="360" w:lineRule="auto"/>
        <w:ind w:firstLine="560" w:firstLineChars="200"/>
        <w:rPr>
          <w:rFonts w:ascii="仿宋" w:hAnsi="仿宋" w:eastAsia="仿宋" w:cs="仿宋"/>
          <w:kern w:val="0"/>
          <w:szCs w:val="21"/>
        </w:rPr>
      </w:pPr>
      <w:r>
        <w:rPr>
          <w:rFonts w:hint="eastAsia" w:ascii="仿宋" w:hAnsi="仿宋" w:eastAsia="仿宋" w:cs="Times New Roman"/>
          <w:kern w:val="0"/>
          <w:sz w:val="28"/>
          <w:szCs w:val="28"/>
        </w:rPr>
        <w:t>矿泉水：2</w:t>
      </w:r>
      <w:r>
        <w:rPr>
          <w:rFonts w:ascii="仿宋" w:hAnsi="仿宋" w:eastAsia="仿宋" w:cs="Times New Roman"/>
          <w:kern w:val="0"/>
          <w:sz w:val="28"/>
          <w:szCs w:val="28"/>
        </w:rPr>
        <w:t>020</w:t>
      </w:r>
      <w:r>
        <w:rPr>
          <w:rFonts w:hint="eastAsia" w:ascii="仿宋" w:hAnsi="仿宋" w:eastAsia="仿宋" w:cs="Times New Roman"/>
          <w:kern w:val="0"/>
          <w:sz w:val="28"/>
          <w:szCs w:val="28"/>
        </w:rPr>
        <w:t>年无矿泉水矿山（未设置采矿权）。规划期内通过矿产勘查，2</w:t>
      </w:r>
      <w:r>
        <w:rPr>
          <w:rFonts w:ascii="仿宋" w:hAnsi="仿宋" w:eastAsia="仿宋" w:cs="Times New Roman"/>
          <w:kern w:val="0"/>
          <w:sz w:val="28"/>
          <w:szCs w:val="28"/>
        </w:rPr>
        <w:t>025</w:t>
      </w:r>
      <w:r>
        <w:rPr>
          <w:rFonts w:hint="eastAsia" w:ascii="仿宋" w:hAnsi="仿宋" w:eastAsia="仿宋" w:cs="Times New Roman"/>
          <w:kern w:val="0"/>
          <w:sz w:val="28"/>
          <w:szCs w:val="28"/>
        </w:rPr>
        <w:t>年预期新增中型矿山1个。</w:t>
      </w:r>
    </w:p>
    <w:p>
      <w:pPr>
        <w:spacing w:before="4"/>
        <w:ind w:firstLine="562" w:firstLineChars="200"/>
        <w:jc w:val="left"/>
        <w:rPr>
          <w:rFonts w:ascii="仿宋" w:hAnsi="仿宋" w:eastAsia="仿宋" w:cs="Times New Roman"/>
          <w:spacing w:val="-4"/>
          <w:kern w:val="0"/>
          <w:sz w:val="28"/>
          <w:szCs w:val="28"/>
        </w:rPr>
      </w:pPr>
      <w:r>
        <w:rPr>
          <w:rFonts w:ascii="Times New Roman" w:hAnsi="Times New Roman" w:eastAsia="仿宋" w:cs="Times New Roman"/>
          <w:b/>
          <w:bCs/>
          <w:sz w:val="28"/>
          <w:szCs w:val="28"/>
        </w:rPr>
        <w:t>管理措施：</w:t>
      </w:r>
      <w:r>
        <w:rPr>
          <w:rFonts w:hint="eastAsia" w:ascii="宋体" w:hAnsi="宋体" w:eastAsia="宋体" w:cs="宋体"/>
          <w:sz w:val="28"/>
          <w:szCs w:val="28"/>
        </w:rPr>
        <w:t>1</w:t>
      </w:r>
      <w:r>
        <w:rPr>
          <w:rFonts w:ascii="宋体" w:hAnsi="宋体" w:eastAsia="宋体" w:cs="宋体"/>
          <w:sz w:val="28"/>
          <w:szCs w:val="28"/>
        </w:rPr>
        <w:t>.</w:t>
      </w:r>
      <w:r>
        <w:rPr>
          <w:rFonts w:ascii="Times New Roman" w:hAnsi="Times New Roman" w:eastAsia="仿宋" w:cs="Times New Roman"/>
          <w:sz w:val="28"/>
          <w:szCs w:val="28"/>
        </w:rPr>
        <w:t>建筑用石料、砖瓦用页岩等矿产，严格执行矿山准入条件，严格执行矿山最低开采规模制度，新设矿山达不到最低开采规模一律不允许新设</w:t>
      </w:r>
      <w:r>
        <w:rPr>
          <w:rFonts w:hint="eastAsia" w:ascii="Times New Roman" w:hAnsi="Times New Roman" w:eastAsia="仿宋" w:cs="Times New Roman"/>
          <w:sz w:val="28"/>
          <w:szCs w:val="28"/>
        </w:rPr>
        <w:t>。</w:t>
      </w:r>
      <w:r>
        <w:rPr>
          <w:rFonts w:hint="eastAsia" w:ascii="宋体" w:hAnsi="宋体" w:eastAsia="宋体" w:cs="宋体"/>
          <w:sz w:val="28"/>
          <w:szCs w:val="28"/>
        </w:rPr>
        <w:t>2</w:t>
      </w:r>
      <w:r>
        <w:rPr>
          <w:rFonts w:ascii="宋体" w:hAnsi="宋体" w:eastAsia="宋体" w:cs="宋体"/>
          <w:sz w:val="28"/>
          <w:szCs w:val="28"/>
        </w:rPr>
        <w:t>.</w:t>
      </w:r>
      <w:r>
        <w:rPr>
          <w:rFonts w:ascii="Times New Roman" w:hAnsi="Times New Roman" w:eastAsia="仿宋" w:cs="Times New Roman"/>
          <w:sz w:val="28"/>
          <w:szCs w:val="28"/>
        </w:rPr>
        <w:t>对南昌市重点建设发展区域，已有的矿业权实行清单式管理，在政府引导下，区内已有的砖瓦用粘土矿山有序退出。</w:t>
      </w:r>
      <w:r>
        <w:rPr>
          <w:rFonts w:hint="eastAsia" w:ascii="宋体" w:hAnsi="宋体" w:eastAsia="宋体" w:cs="宋体"/>
          <w:sz w:val="28"/>
          <w:szCs w:val="28"/>
        </w:rPr>
        <w:t>3</w:t>
      </w:r>
      <w:r>
        <w:rPr>
          <w:rFonts w:ascii="宋体" w:hAnsi="宋体" w:eastAsia="宋体" w:cs="宋体"/>
          <w:sz w:val="28"/>
          <w:szCs w:val="28"/>
        </w:rPr>
        <w:t>.</w:t>
      </w:r>
      <w:r>
        <w:rPr>
          <w:rFonts w:ascii="Times New Roman" w:hAnsi="Times New Roman" w:eastAsia="仿宋" w:cs="Times New Roman"/>
          <w:sz w:val="28"/>
          <w:szCs w:val="28"/>
        </w:rPr>
        <w:t>一个矿床原则上只设一个开发主体，严格禁止大矿小开，一矿多开</w:t>
      </w:r>
      <w:r>
        <w:rPr>
          <w:rFonts w:hint="eastAsia" w:ascii="Times New Roman" w:hAnsi="Times New Roman" w:eastAsia="仿宋" w:cs="Times New Roman"/>
          <w:sz w:val="28"/>
          <w:szCs w:val="28"/>
        </w:rPr>
        <w:t>。</w:t>
      </w:r>
      <w:r>
        <w:rPr>
          <w:rFonts w:hint="eastAsia" w:ascii="宋体" w:hAnsi="宋体" w:eastAsia="宋体" w:cs="宋体"/>
          <w:sz w:val="28"/>
          <w:szCs w:val="28"/>
        </w:rPr>
        <w:t>4</w:t>
      </w:r>
      <w:r>
        <w:rPr>
          <w:rFonts w:ascii="宋体" w:hAnsi="宋体" w:eastAsia="宋体" w:cs="宋体"/>
          <w:sz w:val="28"/>
          <w:szCs w:val="28"/>
        </w:rPr>
        <w:t>.</w:t>
      </w:r>
      <w:r>
        <w:rPr>
          <w:rFonts w:ascii="Times New Roman" w:hAnsi="Times New Roman" w:eastAsia="仿宋" w:cs="Times New Roman"/>
          <w:sz w:val="28"/>
          <w:szCs w:val="28"/>
        </w:rPr>
        <w:t>鼓励并引导矿山企业改造矿山，向节约、集约大中型矿山企业发展。</w:t>
      </w:r>
    </w:p>
    <w:p>
      <w:pPr>
        <w:spacing w:line="360" w:lineRule="auto"/>
        <w:ind w:firstLine="602" w:firstLineChars="200"/>
        <w:jc w:val="left"/>
        <w:outlineLvl w:val="2"/>
        <w:rPr>
          <w:rFonts w:ascii="仿宋_GB2312" w:hAnsi="Calibri" w:eastAsia="仿宋_GB2312" w:cs="Times New Roman"/>
          <w:b/>
          <w:kern w:val="0"/>
          <w:sz w:val="32"/>
        </w:rPr>
      </w:pPr>
      <w:bookmarkStart w:id="46" w:name="_Toc104389960"/>
      <w:r>
        <w:rPr>
          <w:rFonts w:hint="eastAsia" w:ascii="仿宋_GB2312" w:hAnsi="仿宋" w:eastAsia="仿宋_GB2312" w:cs="Times New Roman"/>
          <w:b/>
          <w:kern w:val="0"/>
          <w:sz w:val="30"/>
          <w:szCs w:val="30"/>
        </w:rPr>
        <w:t>四、</w:t>
      </w:r>
      <w:r>
        <w:rPr>
          <w:rFonts w:ascii="仿宋_GB2312" w:hAnsi="仿宋" w:eastAsia="仿宋_GB2312" w:cs="Times New Roman"/>
          <w:b/>
          <w:kern w:val="0"/>
          <w:sz w:val="30"/>
          <w:szCs w:val="30"/>
        </w:rPr>
        <w:t>严格</w:t>
      </w:r>
      <w:r>
        <w:rPr>
          <w:rFonts w:hint="eastAsia" w:ascii="仿宋_GB2312" w:hAnsi="仿宋" w:eastAsia="仿宋_GB2312" w:cs="Times New Roman"/>
          <w:b/>
          <w:kern w:val="0"/>
          <w:sz w:val="30"/>
          <w:szCs w:val="30"/>
        </w:rPr>
        <w:t>矿山</w:t>
      </w:r>
      <w:r>
        <w:rPr>
          <w:rFonts w:ascii="仿宋_GB2312" w:hAnsi="仿宋" w:eastAsia="仿宋_GB2312" w:cs="Times New Roman"/>
          <w:b/>
          <w:kern w:val="0"/>
          <w:sz w:val="30"/>
          <w:szCs w:val="30"/>
        </w:rPr>
        <w:t>准入</w:t>
      </w:r>
      <w:r>
        <w:rPr>
          <w:rFonts w:hint="eastAsia" w:ascii="仿宋_GB2312" w:hAnsi="仿宋" w:eastAsia="仿宋_GB2312" w:cs="Times New Roman"/>
          <w:b/>
          <w:kern w:val="0"/>
          <w:sz w:val="30"/>
          <w:szCs w:val="30"/>
        </w:rPr>
        <w:t>条件</w:t>
      </w:r>
      <w:bookmarkEnd w:id="46"/>
    </w:p>
    <w:p>
      <w:pPr>
        <w:spacing w:line="360" w:lineRule="auto"/>
        <w:ind w:firstLine="544" w:firstLineChars="200"/>
        <w:rPr>
          <w:rFonts w:ascii="Times New Roman" w:hAnsi="Times New Roman" w:eastAsia="仿宋" w:cs="Times New Roman"/>
          <w:b/>
          <w:sz w:val="24"/>
        </w:rPr>
      </w:pPr>
      <w:r>
        <w:rPr>
          <w:rFonts w:ascii="仿宋" w:hAnsi="仿宋" w:eastAsia="仿宋" w:cs="Times New Roman"/>
          <w:spacing w:val="-4"/>
          <w:kern w:val="0"/>
          <w:sz w:val="28"/>
          <w:szCs w:val="28"/>
        </w:rPr>
        <w:t>加强对砂石土等小矿的管理，严格规模准入，合理调控矿业权数量。严格执行新建矿山准入条件</w:t>
      </w:r>
      <w:r>
        <w:rPr>
          <w:rFonts w:ascii="仿宋" w:hAnsi="仿宋" w:eastAsia="仿宋" w:cs="Times New Roman"/>
          <w:spacing w:val="7"/>
          <w:kern w:val="0"/>
          <w:sz w:val="28"/>
          <w:szCs w:val="28"/>
        </w:rPr>
        <w:t>，服务年限需与矿产资源量相匹</w:t>
      </w:r>
      <w:r>
        <w:rPr>
          <w:rFonts w:ascii="仿宋" w:hAnsi="仿宋" w:eastAsia="仿宋" w:cs="Times New Roman"/>
          <w:kern w:val="0"/>
          <w:sz w:val="28"/>
          <w:szCs w:val="28"/>
        </w:rPr>
        <w:t>配。</w:t>
      </w:r>
      <w:r>
        <w:rPr>
          <w:rFonts w:ascii="仿宋" w:hAnsi="仿宋" w:eastAsia="仿宋" w:cs="Times New Roman"/>
          <w:spacing w:val="-4"/>
          <w:kern w:val="0"/>
          <w:sz w:val="28"/>
          <w:szCs w:val="28"/>
        </w:rPr>
        <w:t>新</w:t>
      </w:r>
      <w:r>
        <w:rPr>
          <w:rFonts w:hint="eastAsia" w:ascii="仿宋" w:hAnsi="仿宋" w:eastAsia="仿宋" w:cs="Times New Roman"/>
          <w:spacing w:val="-4"/>
          <w:kern w:val="0"/>
          <w:sz w:val="28"/>
          <w:szCs w:val="28"/>
        </w:rPr>
        <w:t>建矿山最低服务年限不小于</w:t>
      </w:r>
      <w:r>
        <w:rPr>
          <w:rFonts w:ascii="仿宋" w:hAnsi="仿宋" w:eastAsia="仿宋" w:cs="Times New Roman"/>
          <w:spacing w:val="-4"/>
          <w:kern w:val="0"/>
          <w:sz w:val="28"/>
          <w:szCs w:val="28"/>
        </w:rPr>
        <w:t>5</w:t>
      </w:r>
      <w:r>
        <w:rPr>
          <w:rFonts w:hint="eastAsia" w:ascii="仿宋" w:hAnsi="仿宋" w:eastAsia="仿宋" w:cs="Times New Roman"/>
          <w:spacing w:val="-4"/>
          <w:kern w:val="0"/>
          <w:sz w:val="28"/>
          <w:szCs w:val="28"/>
        </w:rPr>
        <w:t>年，其中建筑用石料、砖瓦用页岩</w:t>
      </w:r>
      <w:r>
        <w:rPr>
          <w:rFonts w:ascii="仿宋" w:hAnsi="仿宋" w:eastAsia="仿宋" w:cs="Times New Roman"/>
          <w:spacing w:val="-4"/>
          <w:kern w:val="0"/>
          <w:sz w:val="28"/>
          <w:szCs w:val="28"/>
        </w:rPr>
        <w:t>矿山最低服务年限</w:t>
      </w:r>
      <w:r>
        <w:rPr>
          <w:rFonts w:hint="eastAsia" w:ascii="仿宋" w:hAnsi="仿宋" w:eastAsia="仿宋" w:cs="Times New Roman"/>
          <w:spacing w:val="-4"/>
          <w:kern w:val="0"/>
          <w:sz w:val="28"/>
          <w:szCs w:val="28"/>
        </w:rPr>
        <w:t>原则上</w:t>
      </w:r>
      <w:r>
        <w:rPr>
          <w:rFonts w:ascii="仿宋" w:hAnsi="仿宋" w:eastAsia="仿宋" w:cs="Times New Roman"/>
          <w:spacing w:val="-4"/>
          <w:kern w:val="0"/>
          <w:sz w:val="28"/>
          <w:szCs w:val="28"/>
        </w:rPr>
        <w:t>不小于</w:t>
      </w:r>
      <w:r>
        <w:rPr>
          <w:rFonts w:ascii="Times New Roman" w:hAnsi="Times New Roman" w:eastAsia="Times New Roman" w:cs="Times New Roman"/>
          <w:kern w:val="0"/>
          <w:sz w:val="28"/>
          <w:szCs w:val="28"/>
        </w:rPr>
        <w:t>10</w:t>
      </w:r>
      <w:r>
        <w:rPr>
          <w:rFonts w:ascii="仿宋" w:hAnsi="仿宋" w:eastAsia="仿宋" w:cs="Times New Roman"/>
          <w:kern w:val="0"/>
          <w:sz w:val="28"/>
          <w:szCs w:val="28"/>
        </w:rPr>
        <w:t>年</w:t>
      </w:r>
      <w:r>
        <w:rPr>
          <w:rFonts w:hint="eastAsia" w:ascii="仿宋" w:hAnsi="仿宋" w:eastAsia="仿宋" w:cs="Times New Roman"/>
          <w:kern w:val="0"/>
          <w:sz w:val="28"/>
          <w:szCs w:val="28"/>
        </w:rPr>
        <w:t>，</w:t>
      </w:r>
      <w:r>
        <w:rPr>
          <w:rFonts w:hint="eastAsia" w:ascii="Times New Roman" w:hAnsi="Times New Roman" w:eastAsia="仿宋" w:cs="Times New Roman"/>
          <w:sz w:val="28"/>
          <w:szCs w:val="28"/>
        </w:rPr>
        <w:t>如因城镇开发建设规划建设区而设立的砂石土类矿山则可不受服务年限限制</w:t>
      </w:r>
      <w:r>
        <w:rPr>
          <w:rFonts w:ascii="仿宋" w:hAnsi="仿宋" w:eastAsia="仿宋" w:cs="Times New Roman"/>
          <w:kern w:val="0"/>
          <w:sz w:val="28"/>
          <w:szCs w:val="28"/>
        </w:rPr>
        <w:t>。</w:t>
      </w:r>
      <w:r>
        <w:rPr>
          <w:rFonts w:ascii="Times New Roman" w:hAnsi="Times New Roman" w:eastAsia="仿宋" w:cs="Times New Roman"/>
          <w:sz w:val="28"/>
          <w:szCs w:val="28"/>
        </w:rPr>
        <w:t>对建筑用石料和砖瓦用页岩矿山实行最低开采规模准入管理</w:t>
      </w:r>
      <w:r>
        <w:rPr>
          <w:rFonts w:hint="eastAsia" w:ascii="Times New Roman" w:hAnsi="Times New Roman" w:eastAsia="仿宋" w:cs="Times New Roman"/>
          <w:sz w:val="28"/>
          <w:szCs w:val="28"/>
        </w:rPr>
        <w:t>。</w:t>
      </w:r>
      <w:r>
        <w:rPr>
          <w:rFonts w:ascii="仿宋" w:hAnsi="仿宋" w:eastAsia="仿宋" w:cs="Times New Roman"/>
          <w:spacing w:val="-4"/>
          <w:kern w:val="0"/>
          <w:sz w:val="28"/>
          <w:szCs w:val="28"/>
        </w:rPr>
        <w:t>本行政区内各矿种新建矿山</w:t>
      </w:r>
      <w:r>
        <w:rPr>
          <w:rFonts w:hint="eastAsia" w:ascii="仿宋" w:hAnsi="仿宋" w:eastAsia="仿宋" w:cs="Times New Roman"/>
          <w:spacing w:val="-4"/>
          <w:kern w:val="0"/>
          <w:sz w:val="28"/>
          <w:szCs w:val="28"/>
        </w:rPr>
        <w:t>准入条件</w:t>
      </w:r>
      <w:r>
        <w:rPr>
          <w:rFonts w:ascii="仿宋" w:hAnsi="仿宋" w:eastAsia="仿宋" w:cs="Times New Roman"/>
          <w:kern w:val="0"/>
          <w:sz w:val="28"/>
          <w:szCs w:val="28"/>
        </w:rPr>
        <w:t>详见</w:t>
      </w:r>
      <w:r>
        <w:rPr>
          <w:rFonts w:hint="eastAsia" w:ascii="仿宋" w:hAnsi="仿宋" w:eastAsia="仿宋" w:cs="Times New Roman"/>
          <w:kern w:val="0"/>
          <w:sz w:val="28"/>
          <w:szCs w:val="28"/>
        </w:rPr>
        <w:t>专栏</w:t>
      </w:r>
      <w:r>
        <w:rPr>
          <w:rFonts w:ascii="Times New Roman" w:hAnsi="Times New Roman" w:eastAsia="Times New Roman" w:cs="Times New Roman"/>
          <w:kern w:val="0"/>
          <w:sz w:val="28"/>
          <w:szCs w:val="28"/>
        </w:rPr>
        <w:t>5-4</w:t>
      </w:r>
      <w:r>
        <w:rPr>
          <w:rFonts w:ascii="仿宋" w:hAnsi="仿宋" w:eastAsia="仿宋" w:cs="Times New Roman"/>
          <w:kern w:val="0"/>
          <w:sz w:val="28"/>
          <w:szCs w:val="28"/>
        </w:rPr>
        <w:t>。</w:t>
      </w:r>
    </w:p>
    <w:tbl>
      <w:tblPr>
        <w:tblStyle w:val="12"/>
        <w:tblW w:w="8217" w:type="dxa"/>
        <w:jc w:val="center"/>
        <w:tblLayout w:type="fixed"/>
        <w:tblCellMar>
          <w:top w:w="15" w:type="dxa"/>
          <w:left w:w="15" w:type="dxa"/>
          <w:bottom w:w="15" w:type="dxa"/>
          <w:right w:w="15" w:type="dxa"/>
        </w:tblCellMar>
      </w:tblPr>
      <w:tblGrid>
        <w:gridCol w:w="1418"/>
        <w:gridCol w:w="1554"/>
        <w:gridCol w:w="1418"/>
        <w:gridCol w:w="2126"/>
        <w:gridCol w:w="1701"/>
      </w:tblGrid>
      <w:tr>
        <w:tblPrEx>
          <w:tblCellMar>
            <w:top w:w="15" w:type="dxa"/>
            <w:left w:w="15" w:type="dxa"/>
            <w:bottom w:w="15" w:type="dxa"/>
            <w:right w:w="15" w:type="dxa"/>
          </w:tblCellMar>
        </w:tblPrEx>
        <w:trPr>
          <w:trHeight w:val="410" w:hRule="atLeast"/>
          <w:tblHeader/>
          <w:jc w:val="center"/>
        </w:trPr>
        <w:tc>
          <w:tcPr>
            <w:tcW w:w="8217" w:type="dxa"/>
            <w:gridSpan w:val="5"/>
            <w:tcBorders>
              <w:top w:val="single" w:color="000000" w:sz="4" w:space="0"/>
              <w:left w:val="single" w:color="000000" w:sz="4" w:space="0"/>
              <w:right w:val="single" w:color="000000" w:sz="4" w:space="0"/>
            </w:tcBorders>
            <w:shd w:val="clear" w:color="auto" w:fill="99CCFF"/>
            <w:vAlign w:val="center"/>
          </w:tcPr>
          <w:p>
            <w:pPr>
              <w:jc w:val="center"/>
              <w:rPr>
                <w:rFonts w:ascii="Times New Roman" w:hAnsi="Times New Roman" w:eastAsia="仿宋" w:cs="Times New Roman"/>
                <w:b/>
                <w:sz w:val="24"/>
              </w:rPr>
            </w:pPr>
            <w:r>
              <w:rPr>
                <w:rFonts w:hint="eastAsia" w:ascii="Times New Roman" w:hAnsi="Times New Roman" w:eastAsia="仿宋" w:cs="Times New Roman"/>
                <w:b/>
                <w:sz w:val="24"/>
              </w:rPr>
              <w:t>专栏</w:t>
            </w:r>
            <w:r>
              <w:rPr>
                <w:rFonts w:ascii="Times New Roman" w:hAnsi="Times New Roman" w:eastAsia="仿宋" w:cs="Times New Roman"/>
                <w:b/>
                <w:sz w:val="24"/>
              </w:rPr>
              <w:t xml:space="preserve">5-4    </w:t>
            </w:r>
            <w:r>
              <w:rPr>
                <w:rFonts w:hint="eastAsia" w:ascii="Times New Roman" w:hAnsi="Times New Roman" w:eastAsia="仿宋" w:cs="Times New Roman"/>
                <w:b/>
                <w:sz w:val="24"/>
              </w:rPr>
              <w:t>南昌市新建</w:t>
            </w:r>
            <w:r>
              <w:rPr>
                <w:rFonts w:ascii="Times New Roman" w:hAnsi="Times New Roman" w:eastAsia="仿宋" w:cs="Times New Roman"/>
                <w:b/>
                <w:sz w:val="24"/>
              </w:rPr>
              <w:t>矿山最低开采规模</w:t>
            </w:r>
            <w:r>
              <w:rPr>
                <w:rFonts w:hint="eastAsia" w:ascii="Times New Roman" w:hAnsi="Times New Roman" w:eastAsia="仿宋" w:cs="Times New Roman"/>
                <w:b/>
                <w:sz w:val="24"/>
              </w:rPr>
              <w:t>与服务年限</w:t>
            </w:r>
          </w:p>
        </w:tc>
      </w:tr>
      <w:tr>
        <w:tblPrEx>
          <w:tblCellMar>
            <w:top w:w="15" w:type="dxa"/>
            <w:left w:w="15" w:type="dxa"/>
            <w:bottom w:w="15" w:type="dxa"/>
            <w:right w:w="15" w:type="dxa"/>
          </w:tblCellMar>
        </w:tblPrEx>
        <w:trPr>
          <w:trHeight w:val="410" w:hRule="atLeast"/>
          <w:tblHeader/>
          <w:jc w:val="center"/>
        </w:trPr>
        <w:tc>
          <w:tcPr>
            <w:tcW w:w="1418" w:type="dxa"/>
            <w:tcBorders>
              <w:top w:val="single" w:color="000000" w:sz="4" w:space="0"/>
              <w:left w:val="single" w:color="000000" w:sz="4" w:space="0"/>
              <w:right w:val="single" w:color="000000" w:sz="4" w:space="0"/>
            </w:tcBorders>
            <w:shd w:val="clear" w:color="auto" w:fill="CCFFFF"/>
            <w:vAlign w:val="center"/>
          </w:tcPr>
          <w:p>
            <w:pPr>
              <w:jc w:val="center"/>
              <w:rPr>
                <w:rFonts w:ascii="Times New Roman" w:hAnsi="Times New Roman" w:eastAsia="仿宋" w:cs="Times New Roman"/>
                <w:b/>
                <w:bCs/>
              </w:rPr>
            </w:pPr>
            <w:r>
              <w:rPr>
                <w:rFonts w:ascii="Times New Roman" w:hAnsi="Times New Roman" w:eastAsia="仿宋" w:cs="Times New Roman"/>
                <w:b/>
                <w:bCs/>
              </w:rPr>
              <w:t>矿产名称</w:t>
            </w:r>
          </w:p>
        </w:tc>
        <w:tc>
          <w:tcPr>
            <w:tcW w:w="1554" w:type="dxa"/>
            <w:tcBorders>
              <w:top w:val="single" w:color="000000" w:sz="4" w:space="0"/>
              <w:left w:val="single" w:color="000000" w:sz="4" w:space="0"/>
              <w:right w:val="single" w:color="000000" w:sz="4" w:space="0"/>
            </w:tcBorders>
            <w:shd w:val="clear" w:color="auto" w:fill="CCFFFF"/>
            <w:vAlign w:val="center"/>
          </w:tcPr>
          <w:p>
            <w:pPr>
              <w:jc w:val="center"/>
              <w:rPr>
                <w:rFonts w:ascii="Times New Roman" w:hAnsi="Times New Roman" w:eastAsia="仿宋" w:cs="Times New Roman"/>
                <w:b/>
                <w:bCs/>
              </w:rPr>
            </w:pPr>
            <w:r>
              <w:rPr>
                <w:rFonts w:ascii="Times New Roman" w:hAnsi="Times New Roman" w:eastAsia="仿宋" w:cs="Times New Roman"/>
                <w:b/>
                <w:bCs/>
              </w:rPr>
              <w:t>开采规模单位</w:t>
            </w:r>
          </w:p>
        </w:tc>
        <w:tc>
          <w:tcPr>
            <w:tcW w:w="1418" w:type="dxa"/>
            <w:tcBorders>
              <w:top w:val="single" w:color="000000" w:sz="4" w:space="0"/>
              <w:left w:val="single" w:color="000000" w:sz="4" w:space="0"/>
              <w:right w:val="single" w:color="000000" w:sz="4" w:space="0"/>
            </w:tcBorders>
            <w:shd w:val="clear" w:color="auto" w:fill="CCFFFF"/>
            <w:vAlign w:val="center"/>
          </w:tcPr>
          <w:p>
            <w:pPr>
              <w:jc w:val="center"/>
              <w:rPr>
                <w:rFonts w:ascii="Times New Roman" w:hAnsi="Times New Roman" w:eastAsia="仿宋" w:cs="Times New Roman"/>
                <w:b/>
                <w:bCs/>
              </w:rPr>
            </w:pPr>
            <w:r>
              <w:rPr>
                <w:rFonts w:ascii="Times New Roman" w:hAnsi="Times New Roman" w:eastAsia="仿宋" w:cs="Times New Roman"/>
                <w:b/>
                <w:bCs/>
              </w:rPr>
              <w:t>最低开采规模</w:t>
            </w:r>
          </w:p>
        </w:tc>
        <w:tc>
          <w:tcPr>
            <w:tcW w:w="2126" w:type="dxa"/>
            <w:tcBorders>
              <w:top w:val="single" w:color="000000" w:sz="4" w:space="0"/>
              <w:left w:val="single" w:color="000000" w:sz="4" w:space="0"/>
              <w:right w:val="single" w:color="000000" w:sz="4" w:space="0"/>
            </w:tcBorders>
            <w:shd w:val="clear" w:color="auto" w:fill="CCFFFF"/>
            <w:vAlign w:val="center"/>
          </w:tcPr>
          <w:p>
            <w:pPr>
              <w:jc w:val="center"/>
              <w:rPr>
                <w:rFonts w:ascii="Times New Roman" w:hAnsi="Times New Roman" w:eastAsia="仿宋" w:cs="Times New Roman"/>
                <w:b/>
                <w:bCs/>
              </w:rPr>
            </w:pPr>
            <w:r>
              <w:rPr>
                <w:rFonts w:hint="eastAsia" w:ascii="Times New Roman" w:hAnsi="Times New Roman" w:eastAsia="仿宋" w:cs="Times New Roman"/>
                <w:b/>
                <w:bCs/>
              </w:rPr>
              <w:t>最低服务年限（年）</w:t>
            </w:r>
          </w:p>
        </w:tc>
        <w:tc>
          <w:tcPr>
            <w:tcW w:w="1701" w:type="dxa"/>
            <w:tcBorders>
              <w:top w:val="single" w:color="000000" w:sz="4" w:space="0"/>
              <w:left w:val="single" w:color="000000" w:sz="4" w:space="0"/>
              <w:right w:val="single" w:color="000000" w:sz="4" w:space="0"/>
            </w:tcBorders>
            <w:shd w:val="clear" w:color="auto" w:fill="CCFFFF"/>
          </w:tcPr>
          <w:p>
            <w:pPr>
              <w:jc w:val="center"/>
              <w:rPr>
                <w:rFonts w:ascii="Times New Roman" w:hAnsi="Times New Roman" w:eastAsia="仿宋" w:cs="Times New Roman"/>
                <w:b/>
                <w:bCs/>
              </w:rPr>
            </w:pPr>
            <w:r>
              <w:rPr>
                <w:rFonts w:hint="eastAsia" w:ascii="Times New Roman" w:hAnsi="Times New Roman" w:eastAsia="仿宋" w:cs="Times New Roman"/>
                <w:b/>
                <w:bCs/>
              </w:rPr>
              <w:t xml:space="preserve">备 </w:t>
            </w:r>
            <w:r>
              <w:rPr>
                <w:rFonts w:ascii="Times New Roman" w:hAnsi="Times New Roman" w:eastAsia="仿宋" w:cs="Times New Roman"/>
                <w:b/>
                <w:bCs/>
              </w:rPr>
              <w:t xml:space="preserve"> </w:t>
            </w:r>
            <w:r>
              <w:rPr>
                <w:rFonts w:hint="eastAsia" w:ascii="Times New Roman" w:hAnsi="Times New Roman" w:eastAsia="仿宋" w:cs="Times New Roman"/>
                <w:b/>
                <w:bCs/>
              </w:rPr>
              <w:t>注</w:t>
            </w:r>
          </w:p>
        </w:tc>
      </w:tr>
      <w:tr>
        <w:tblPrEx>
          <w:tblCellMar>
            <w:top w:w="15" w:type="dxa"/>
            <w:left w:w="15" w:type="dxa"/>
            <w:bottom w:w="15" w:type="dxa"/>
            <w:right w:w="15" w:type="dxa"/>
          </w:tblCellMar>
        </w:tblPrEx>
        <w:trPr>
          <w:trHeight w:val="340" w:hRule="atLeast"/>
          <w:jc w:val="center"/>
        </w:trPr>
        <w:tc>
          <w:tcPr>
            <w:tcW w:w="1418"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地热水</w:t>
            </w:r>
          </w:p>
        </w:tc>
        <w:tc>
          <w:tcPr>
            <w:tcW w:w="1554"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万立方米/年</w:t>
            </w:r>
          </w:p>
        </w:tc>
        <w:tc>
          <w:tcPr>
            <w:tcW w:w="1418" w:type="dxa"/>
            <w:tcBorders>
              <w:top w:val="single" w:color="000000" w:sz="4" w:space="0"/>
              <w:left w:val="single" w:color="000000" w:sz="4" w:space="0"/>
              <w:bottom w:val="single" w:color="000000" w:sz="4" w:space="0"/>
              <w:right w:val="single" w:color="auto"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w:t>
            </w:r>
          </w:p>
        </w:tc>
        <w:tc>
          <w:tcPr>
            <w:tcW w:w="2126" w:type="dxa"/>
            <w:vMerge w:val="restart"/>
            <w:tcBorders>
              <w:top w:val="single" w:color="000000" w:sz="4" w:space="0"/>
              <w:left w:val="single" w:color="auto" w:sz="4" w:space="0"/>
              <w:right w:val="single" w:color="000000" w:sz="4" w:space="0"/>
            </w:tcBorders>
            <w:shd w:val="clear" w:color="auto" w:fill="CCFFFF"/>
            <w:vAlign w:val="center"/>
          </w:tcPr>
          <w:p>
            <w:pPr>
              <w:jc w:val="center"/>
              <w:rPr>
                <w:rFonts w:ascii="Times New Roman" w:hAnsi="Times New Roman" w:eastAsia="仿宋" w:cs="Times New Roman"/>
              </w:rPr>
            </w:pPr>
            <w:r>
              <w:rPr>
                <w:rFonts w:hint="eastAsia" w:ascii="Times New Roman" w:hAnsi="Times New Roman" w:eastAsia="仿宋" w:cs="Times New Roman"/>
              </w:rPr>
              <w:t>5</w:t>
            </w:r>
          </w:p>
        </w:tc>
        <w:tc>
          <w:tcPr>
            <w:tcW w:w="1701" w:type="dxa"/>
            <w:vMerge w:val="restart"/>
            <w:tcBorders>
              <w:top w:val="single" w:color="000000" w:sz="4" w:space="0"/>
              <w:left w:val="single" w:color="auto" w:sz="4" w:space="0"/>
              <w:right w:val="single" w:color="000000" w:sz="4" w:space="0"/>
            </w:tcBorders>
            <w:shd w:val="clear" w:color="auto" w:fill="CCFFFF"/>
            <w:vAlign w:val="center"/>
          </w:tcPr>
          <w:p>
            <w:pPr>
              <w:jc w:val="center"/>
              <w:rPr>
                <w:rFonts w:ascii="Times New Roman" w:hAnsi="Times New Roman" w:eastAsia="仿宋" w:cs="Times New Roman"/>
              </w:rPr>
            </w:pPr>
            <w:r>
              <w:rPr>
                <w:rFonts w:hint="eastAsia" w:ascii="Times New Roman" w:hAnsi="Times New Roman" w:eastAsia="仿宋" w:cs="Times New Roman"/>
              </w:rPr>
              <w:t>省级发证</w:t>
            </w:r>
          </w:p>
        </w:tc>
      </w:tr>
      <w:tr>
        <w:tblPrEx>
          <w:tblCellMar>
            <w:top w:w="15" w:type="dxa"/>
            <w:left w:w="15" w:type="dxa"/>
            <w:bottom w:w="15" w:type="dxa"/>
            <w:right w:w="15" w:type="dxa"/>
          </w:tblCellMar>
        </w:tblPrEx>
        <w:trPr>
          <w:trHeight w:val="340" w:hRule="atLeast"/>
          <w:jc w:val="center"/>
        </w:trPr>
        <w:tc>
          <w:tcPr>
            <w:tcW w:w="1418"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矿泉水</w:t>
            </w:r>
          </w:p>
        </w:tc>
        <w:tc>
          <w:tcPr>
            <w:tcW w:w="1554"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万吨/年</w:t>
            </w:r>
          </w:p>
        </w:tc>
        <w:tc>
          <w:tcPr>
            <w:tcW w:w="1418" w:type="dxa"/>
            <w:tcBorders>
              <w:top w:val="single" w:color="000000" w:sz="4" w:space="0"/>
              <w:left w:val="single" w:color="000000" w:sz="4" w:space="0"/>
              <w:bottom w:val="single" w:color="000000" w:sz="4" w:space="0"/>
              <w:right w:val="single" w:color="auto"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w:t>
            </w:r>
          </w:p>
        </w:tc>
        <w:tc>
          <w:tcPr>
            <w:tcW w:w="2126" w:type="dxa"/>
            <w:vMerge w:val="continue"/>
            <w:tcBorders>
              <w:left w:val="single" w:color="auto" w:sz="4" w:space="0"/>
              <w:bottom w:val="single" w:color="000000" w:sz="4" w:space="0"/>
              <w:right w:val="single" w:color="000000" w:sz="4" w:space="0"/>
            </w:tcBorders>
            <w:shd w:val="clear" w:color="auto" w:fill="CCFFFF"/>
          </w:tcPr>
          <w:p>
            <w:pPr>
              <w:jc w:val="center"/>
              <w:rPr>
                <w:rFonts w:ascii="Times New Roman" w:hAnsi="Times New Roman" w:eastAsia="仿宋" w:cs="Times New Roman"/>
              </w:rPr>
            </w:pPr>
          </w:p>
        </w:tc>
        <w:tc>
          <w:tcPr>
            <w:tcW w:w="1701" w:type="dxa"/>
            <w:vMerge w:val="continue"/>
            <w:tcBorders>
              <w:left w:val="single" w:color="auto" w:sz="4" w:space="0"/>
              <w:bottom w:val="single" w:color="000000" w:sz="4" w:space="0"/>
              <w:right w:val="single" w:color="000000" w:sz="4" w:space="0"/>
            </w:tcBorders>
            <w:shd w:val="clear" w:color="auto" w:fill="CCFFFF"/>
          </w:tcPr>
          <w:p>
            <w:pPr>
              <w:jc w:val="center"/>
              <w:rPr>
                <w:rFonts w:ascii="Times New Roman" w:hAnsi="Times New Roman" w:eastAsia="仿宋" w:cs="Times New Roman"/>
              </w:rPr>
            </w:pPr>
          </w:p>
        </w:tc>
      </w:tr>
      <w:tr>
        <w:tblPrEx>
          <w:tblCellMar>
            <w:top w:w="15" w:type="dxa"/>
            <w:left w:w="15" w:type="dxa"/>
            <w:bottom w:w="15" w:type="dxa"/>
            <w:right w:w="15" w:type="dxa"/>
          </w:tblCellMar>
        </w:tblPrEx>
        <w:trPr>
          <w:trHeight w:val="340" w:hRule="atLeast"/>
          <w:jc w:val="center"/>
        </w:trPr>
        <w:tc>
          <w:tcPr>
            <w:tcW w:w="1418"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建筑用石料</w:t>
            </w:r>
          </w:p>
        </w:tc>
        <w:tc>
          <w:tcPr>
            <w:tcW w:w="1554"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矿石万</w:t>
            </w:r>
            <w:r>
              <w:rPr>
                <w:rFonts w:hint="eastAsia" w:ascii="Times New Roman" w:hAnsi="Times New Roman" w:eastAsia="仿宋" w:cs="Times New Roman"/>
              </w:rPr>
              <w:t>吨</w:t>
            </w:r>
            <w:r>
              <w:rPr>
                <w:rFonts w:ascii="Times New Roman" w:hAnsi="Times New Roman" w:eastAsia="仿宋" w:cs="Times New Roman"/>
              </w:rPr>
              <w:t>/年</w:t>
            </w:r>
          </w:p>
        </w:tc>
        <w:tc>
          <w:tcPr>
            <w:tcW w:w="1418" w:type="dxa"/>
            <w:tcBorders>
              <w:top w:val="single" w:color="000000" w:sz="4" w:space="0"/>
              <w:left w:val="single" w:color="000000" w:sz="4" w:space="0"/>
              <w:bottom w:val="single" w:color="000000" w:sz="4" w:space="0"/>
              <w:right w:val="single" w:color="auto"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50</w:t>
            </w:r>
          </w:p>
        </w:tc>
        <w:tc>
          <w:tcPr>
            <w:tcW w:w="2126" w:type="dxa"/>
            <w:vMerge w:val="restart"/>
            <w:tcBorders>
              <w:top w:val="single" w:color="000000" w:sz="4" w:space="0"/>
              <w:left w:val="single" w:color="auto" w:sz="4" w:space="0"/>
              <w:right w:val="single" w:color="000000" w:sz="4" w:space="0"/>
            </w:tcBorders>
            <w:shd w:val="clear" w:color="auto" w:fill="CCFFFF"/>
            <w:vAlign w:val="center"/>
          </w:tcPr>
          <w:p>
            <w:pPr>
              <w:jc w:val="center"/>
              <w:rPr>
                <w:rFonts w:ascii="Times New Roman" w:hAnsi="Times New Roman" w:eastAsia="仿宋" w:cs="Times New Roman"/>
              </w:rPr>
            </w:pPr>
            <w:r>
              <w:rPr>
                <w:rFonts w:hint="eastAsia" w:ascii="Times New Roman" w:hAnsi="Times New Roman" w:eastAsia="仿宋" w:cs="Times New Roman"/>
              </w:rPr>
              <w:t>1</w:t>
            </w:r>
            <w:r>
              <w:rPr>
                <w:rFonts w:ascii="Times New Roman" w:hAnsi="Times New Roman" w:eastAsia="仿宋" w:cs="Times New Roman"/>
              </w:rPr>
              <w:t>0</w:t>
            </w:r>
          </w:p>
        </w:tc>
        <w:tc>
          <w:tcPr>
            <w:tcW w:w="1701" w:type="dxa"/>
            <w:vMerge w:val="restart"/>
            <w:tcBorders>
              <w:top w:val="single" w:color="000000" w:sz="4" w:space="0"/>
              <w:left w:val="single" w:color="auto" w:sz="4" w:space="0"/>
              <w:right w:val="single" w:color="000000" w:sz="4" w:space="0"/>
            </w:tcBorders>
            <w:shd w:val="clear" w:color="auto" w:fill="CCFFFF"/>
            <w:vAlign w:val="center"/>
          </w:tcPr>
          <w:p>
            <w:pPr>
              <w:jc w:val="center"/>
              <w:rPr>
                <w:rFonts w:ascii="Times New Roman" w:hAnsi="Times New Roman" w:eastAsia="仿宋" w:cs="Times New Roman"/>
              </w:rPr>
            </w:pPr>
            <w:r>
              <w:rPr>
                <w:rFonts w:hint="eastAsia" w:ascii="Times New Roman" w:hAnsi="Times New Roman" w:eastAsia="仿宋" w:cs="Times New Roman"/>
              </w:rPr>
              <w:t>县级发证</w:t>
            </w:r>
          </w:p>
        </w:tc>
      </w:tr>
      <w:tr>
        <w:tblPrEx>
          <w:tblCellMar>
            <w:top w:w="15" w:type="dxa"/>
            <w:left w:w="15" w:type="dxa"/>
            <w:bottom w:w="15" w:type="dxa"/>
            <w:right w:w="15" w:type="dxa"/>
          </w:tblCellMar>
        </w:tblPrEx>
        <w:trPr>
          <w:trHeight w:val="340" w:hRule="atLeast"/>
          <w:jc w:val="center"/>
        </w:trPr>
        <w:tc>
          <w:tcPr>
            <w:tcW w:w="1418"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砖瓦用</w:t>
            </w:r>
            <w:r>
              <w:rPr>
                <w:rFonts w:hint="eastAsia" w:ascii="Times New Roman" w:hAnsi="Times New Roman" w:eastAsia="仿宋" w:cs="Times New Roman"/>
              </w:rPr>
              <w:t>页岩</w:t>
            </w:r>
          </w:p>
        </w:tc>
        <w:tc>
          <w:tcPr>
            <w:tcW w:w="1554" w:type="dxa"/>
            <w:tcBorders>
              <w:top w:val="single" w:color="000000" w:sz="4" w:space="0"/>
              <w:left w:val="single" w:color="000000" w:sz="4" w:space="0"/>
              <w:bottom w:val="single" w:color="000000" w:sz="4" w:space="0"/>
              <w:right w:val="single" w:color="000000"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矿石万吨/年</w:t>
            </w:r>
          </w:p>
        </w:tc>
        <w:tc>
          <w:tcPr>
            <w:tcW w:w="1418" w:type="dxa"/>
            <w:tcBorders>
              <w:top w:val="single" w:color="000000" w:sz="4" w:space="0"/>
              <w:left w:val="single" w:color="000000" w:sz="4" w:space="0"/>
              <w:bottom w:val="single" w:color="000000" w:sz="4" w:space="0"/>
              <w:right w:val="single" w:color="auto" w:sz="4" w:space="0"/>
            </w:tcBorders>
            <w:shd w:val="clear" w:color="auto" w:fill="CCFFFF"/>
            <w:vAlign w:val="center"/>
          </w:tcPr>
          <w:p>
            <w:pPr>
              <w:jc w:val="center"/>
              <w:rPr>
                <w:rFonts w:ascii="Times New Roman" w:hAnsi="Times New Roman" w:eastAsia="仿宋" w:cs="Times New Roman"/>
              </w:rPr>
            </w:pPr>
            <w:r>
              <w:rPr>
                <w:rFonts w:ascii="Times New Roman" w:hAnsi="Times New Roman" w:eastAsia="仿宋" w:cs="Times New Roman"/>
              </w:rPr>
              <w:t>6</w:t>
            </w:r>
          </w:p>
        </w:tc>
        <w:tc>
          <w:tcPr>
            <w:tcW w:w="2126" w:type="dxa"/>
            <w:vMerge w:val="continue"/>
            <w:tcBorders>
              <w:left w:val="single" w:color="auto" w:sz="4" w:space="0"/>
              <w:bottom w:val="single" w:color="000000" w:sz="4" w:space="0"/>
              <w:right w:val="single" w:color="000000" w:sz="4" w:space="0"/>
            </w:tcBorders>
          </w:tcPr>
          <w:p>
            <w:pPr>
              <w:jc w:val="center"/>
              <w:rPr>
                <w:rFonts w:ascii="Times New Roman" w:hAnsi="Times New Roman" w:eastAsia="仿宋" w:cs="Times New Roman"/>
              </w:rPr>
            </w:pPr>
          </w:p>
        </w:tc>
        <w:tc>
          <w:tcPr>
            <w:tcW w:w="1701" w:type="dxa"/>
            <w:vMerge w:val="continue"/>
            <w:tcBorders>
              <w:left w:val="single" w:color="auto" w:sz="4" w:space="0"/>
              <w:bottom w:val="single" w:color="000000" w:sz="4" w:space="0"/>
              <w:right w:val="single" w:color="000000" w:sz="4" w:space="0"/>
            </w:tcBorders>
          </w:tcPr>
          <w:p>
            <w:pPr>
              <w:jc w:val="center"/>
              <w:rPr>
                <w:rFonts w:ascii="Times New Roman" w:hAnsi="Times New Roman" w:eastAsia="仿宋" w:cs="Times New Roman"/>
              </w:rPr>
            </w:pPr>
          </w:p>
        </w:tc>
      </w:tr>
    </w:tbl>
    <w:p>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地热水</w:t>
      </w:r>
      <w:r>
        <w:rPr>
          <w:rFonts w:ascii="Times New Roman" w:hAnsi="Times New Roman" w:eastAsia="仿宋" w:cs="Times New Roman"/>
          <w:sz w:val="28"/>
          <w:szCs w:val="28"/>
        </w:rPr>
        <w:t>：</w:t>
      </w:r>
      <w:r>
        <w:rPr>
          <w:rFonts w:hint="eastAsia" w:ascii="Times New Roman" w:hAnsi="Times New Roman" w:eastAsia="仿宋" w:cs="Times New Roman"/>
          <w:sz w:val="28"/>
          <w:szCs w:val="28"/>
        </w:rPr>
        <w:t>本地区为沉积地层型，</w:t>
      </w:r>
      <w:r>
        <w:rPr>
          <w:rFonts w:ascii="Times New Roman" w:hAnsi="Times New Roman" w:eastAsia="仿宋" w:cs="Times New Roman"/>
          <w:sz w:val="28"/>
          <w:szCs w:val="28"/>
        </w:rPr>
        <w:t>属第</w:t>
      </w:r>
      <w:r>
        <w:rPr>
          <w:rFonts w:hint="eastAsia" w:ascii="Times New Roman" w:hAnsi="Times New Roman" w:eastAsia="仿宋" w:cs="Times New Roman"/>
          <w:sz w:val="28"/>
          <w:szCs w:val="28"/>
        </w:rPr>
        <w:t>二</w:t>
      </w:r>
      <w:r>
        <w:rPr>
          <w:rFonts w:ascii="Times New Roman" w:hAnsi="Times New Roman" w:eastAsia="仿宋" w:cs="Times New Roman"/>
          <w:sz w:val="28"/>
          <w:szCs w:val="28"/>
        </w:rPr>
        <w:t>类</w:t>
      </w:r>
      <w:r>
        <w:rPr>
          <w:rFonts w:hint="eastAsia" w:ascii="Times New Roman" w:hAnsi="Times New Roman" w:eastAsia="仿宋" w:cs="Times New Roman"/>
          <w:sz w:val="28"/>
          <w:szCs w:val="28"/>
        </w:rPr>
        <w:t>低</w:t>
      </w:r>
      <w:r>
        <w:rPr>
          <w:rFonts w:ascii="Times New Roman" w:hAnsi="Times New Roman" w:eastAsia="仿宋" w:cs="Times New Roman"/>
          <w:sz w:val="28"/>
          <w:szCs w:val="28"/>
        </w:rPr>
        <w:t>风险矿产，规划期内</w:t>
      </w:r>
      <w:r>
        <w:rPr>
          <w:rFonts w:hint="eastAsia" w:ascii="Times New Roman" w:hAnsi="Times New Roman" w:eastAsia="仿宋" w:cs="Times New Roman"/>
          <w:sz w:val="28"/>
          <w:szCs w:val="28"/>
        </w:rPr>
        <w:t>不设置最低开采规模</w:t>
      </w:r>
      <w:r>
        <w:rPr>
          <w:rFonts w:ascii="Times New Roman" w:hAnsi="Times New Roman" w:eastAsia="仿宋" w:cs="Times New Roman"/>
          <w:sz w:val="28"/>
          <w:szCs w:val="28"/>
        </w:rPr>
        <w:t>。</w:t>
      </w:r>
    </w:p>
    <w:p>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矿泉水</w:t>
      </w:r>
      <w:r>
        <w:rPr>
          <w:rFonts w:ascii="Times New Roman" w:hAnsi="Times New Roman" w:eastAsia="仿宋" w:cs="Times New Roman"/>
          <w:sz w:val="28"/>
          <w:szCs w:val="28"/>
        </w:rPr>
        <w:t>：属第</w:t>
      </w:r>
      <w:r>
        <w:rPr>
          <w:rFonts w:hint="eastAsia" w:ascii="Times New Roman" w:hAnsi="Times New Roman" w:eastAsia="仿宋" w:cs="Times New Roman"/>
          <w:sz w:val="28"/>
          <w:szCs w:val="28"/>
        </w:rPr>
        <w:t>二</w:t>
      </w:r>
      <w:r>
        <w:rPr>
          <w:rFonts w:ascii="Times New Roman" w:hAnsi="Times New Roman" w:eastAsia="仿宋" w:cs="Times New Roman"/>
          <w:sz w:val="28"/>
          <w:szCs w:val="28"/>
        </w:rPr>
        <w:t>类</w:t>
      </w:r>
      <w:r>
        <w:rPr>
          <w:rFonts w:hint="eastAsia" w:ascii="Times New Roman" w:hAnsi="Times New Roman" w:eastAsia="仿宋" w:cs="Times New Roman"/>
          <w:sz w:val="28"/>
          <w:szCs w:val="28"/>
        </w:rPr>
        <w:t>低</w:t>
      </w:r>
      <w:r>
        <w:rPr>
          <w:rFonts w:ascii="Times New Roman" w:hAnsi="Times New Roman" w:eastAsia="仿宋" w:cs="Times New Roman"/>
          <w:sz w:val="28"/>
          <w:szCs w:val="28"/>
        </w:rPr>
        <w:t>风险矿产，规划期内</w:t>
      </w:r>
      <w:r>
        <w:rPr>
          <w:rFonts w:hint="eastAsia" w:ascii="Times New Roman" w:hAnsi="Times New Roman" w:eastAsia="仿宋" w:cs="Times New Roman"/>
          <w:sz w:val="28"/>
          <w:szCs w:val="28"/>
        </w:rPr>
        <w:t>不设置最低开采规模</w:t>
      </w:r>
      <w:r>
        <w:rPr>
          <w:rFonts w:ascii="Times New Roman" w:hAnsi="Times New Roman" w:eastAsia="仿宋" w:cs="Times New Roman"/>
          <w:sz w:val="28"/>
          <w:szCs w:val="28"/>
        </w:rPr>
        <w:t>。</w:t>
      </w:r>
    </w:p>
    <w:p>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建筑用石料：属第三类无风险矿产，规划期内</w:t>
      </w:r>
      <w:r>
        <w:rPr>
          <w:rFonts w:hint="eastAsia" w:ascii="Times New Roman" w:hAnsi="Times New Roman" w:eastAsia="仿宋" w:cs="Times New Roman"/>
          <w:sz w:val="28"/>
          <w:szCs w:val="28"/>
        </w:rPr>
        <w:t>原则上</w:t>
      </w:r>
      <w:r>
        <w:rPr>
          <w:rFonts w:ascii="Times New Roman" w:hAnsi="Times New Roman" w:eastAsia="仿宋" w:cs="Times New Roman"/>
          <w:sz w:val="28"/>
          <w:szCs w:val="28"/>
        </w:rPr>
        <w:t>不再新建开采规模小于50万</w:t>
      </w:r>
      <w:r>
        <w:rPr>
          <w:rFonts w:hint="eastAsia" w:ascii="Times New Roman" w:hAnsi="Times New Roman" w:eastAsia="仿宋" w:cs="Times New Roman"/>
          <w:sz w:val="28"/>
          <w:szCs w:val="28"/>
        </w:rPr>
        <w:t>吨/年</w:t>
      </w:r>
      <w:r>
        <w:rPr>
          <w:rFonts w:ascii="Times New Roman" w:hAnsi="Times New Roman" w:eastAsia="仿宋" w:cs="Times New Roman"/>
          <w:sz w:val="28"/>
          <w:szCs w:val="28"/>
        </w:rPr>
        <w:t>的采石场。</w:t>
      </w:r>
    </w:p>
    <w:p>
      <w:pPr>
        <w:spacing w:line="360" w:lineRule="auto"/>
        <w:ind w:firstLine="560" w:firstLineChars="200"/>
        <w:rPr>
          <w:rFonts w:ascii="仿宋" w:hAnsi="仿宋" w:eastAsia="仿宋" w:cs="Times New Roman"/>
          <w:kern w:val="0"/>
          <w:sz w:val="28"/>
          <w:szCs w:val="28"/>
        </w:rPr>
      </w:pPr>
      <w:r>
        <w:rPr>
          <w:rFonts w:ascii="Times New Roman" w:hAnsi="Times New Roman" w:eastAsia="仿宋" w:cs="Times New Roman"/>
          <w:sz w:val="28"/>
          <w:szCs w:val="28"/>
        </w:rPr>
        <w:t>砖瓦用</w:t>
      </w:r>
      <w:r>
        <w:rPr>
          <w:rFonts w:hint="eastAsia" w:ascii="Times New Roman" w:hAnsi="Times New Roman" w:eastAsia="仿宋" w:cs="Times New Roman"/>
          <w:sz w:val="28"/>
          <w:szCs w:val="28"/>
        </w:rPr>
        <w:t>页岩</w:t>
      </w:r>
      <w:r>
        <w:rPr>
          <w:rFonts w:ascii="Times New Roman" w:hAnsi="Times New Roman" w:eastAsia="仿宋" w:cs="Times New Roman"/>
          <w:sz w:val="28"/>
          <w:szCs w:val="28"/>
        </w:rPr>
        <w:t>：属第三类无风险矿产，规划期内</w:t>
      </w:r>
      <w:r>
        <w:rPr>
          <w:rFonts w:hint="eastAsia" w:ascii="Times New Roman" w:hAnsi="Times New Roman" w:eastAsia="仿宋" w:cs="Times New Roman"/>
          <w:sz w:val="28"/>
          <w:szCs w:val="28"/>
        </w:rPr>
        <w:t>原则上</w:t>
      </w:r>
      <w:r>
        <w:rPr>
          <w:rFonts w:ascii="Times New Roman" w:hAnsi="Times New Roman" w:eastAsia="仿宋" w:cs="Times New Roman"/>
          <w:sz w:val="28"/>
          <w:szCs w:val="28"/>
        </w:rPr>
        <w:t>不再新建开采规模小于6万吨</w:t>
      </w:r>
      <w:r>
        <w:rPr>
          <w:rFonts w:hint="eastAsia" w:ascii="Times New Roman" w:hAnsi="Times New Roman" w:eastAsia="仿宋" w:cs="Times New Roman"/>
          <w:sz w:val="28"/>
          <w:szCs w:val="28"/>
        </w:rPr>
        <w:t>/年</w:t>
      </w:r>
      <w:r>
        <w:rPr>
          <w:rFonts w:ascii="Times New Roman" w:hAnsi="Times New Roman" w:eastAsia="仿宋" w:cs="Times New Roman"/>
          <w:sz w:val="28"/>
          <w:szCs w:val="28"/>
        </w:rPr>
        <w:t>的矿山。</w:t>
      </w:r>
    </w:p>
    <w:p>
      <w:pPr>
        <w:spacing w:line="360" w:lineRule="auto"/>
        <w:ind w:firstLine="560" w:firstLineChars="200"/>
        <w:rPr>
          <w:rFonts w:ascii="仿宋_GB2312" w:hAnsi="仿宋" w:eastAsia="仿宋_GB2312" w:cs="Times New Roman"/>
          <w:b/>
          <w:kern w:val="0"/>
          <w:sz w:val="30"/>
          <w:szCs w:val="30"/>
        </w:rPr>
      </w:pPr>
      <w:r>
        <w:rPr>
          <w:rFonts w:ascii="Times New Roman" w:hAnsi="Times New Roman" w:eastAsia="仿宋" w:cs="Times New Roman"/>
          <w:sz w:val="28"/>
          <w:szCs w:val="28"/>
        </w:rPr>
        <w:t>其它准入条件</w:t>
      </w:r>
      <w:r>
        <w:rPr>
          <w:rFonts w:hint="eastAsia" w:ascii="Times New Roman" w:hAnsi="Times New Roman" w:eastAsia="仿宋" w:cs="Times New Roman"/>
          <w:sz w:val="28"/>
          <w:szCs w:val="28"/>
        </w:rPr>
        <w:t>：</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1</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新建矿山应与国土空间总体规划等相衔接，矿山与生态红线、基本农田、城镇开发边界、各类保护地、高速、国省道等空间关系要符合相关规定。严格控制新建固体矿产露天开采项目，大气污染防治重点区域原则上禁止新建露天开采建设项目。</w:t>
      </w:r>
    </w:p>
    <w:p>
      <w:pPr>
        <w:spacing w:line="360" w:lineRule="auto"/>
        <w:ind w:firstLine="544" w:firstLineChars="200"/>
        <w:rPr>
          <w:rFonts w:ascii="仿宋" w:hAnsi="仿宋" w:eastAsia="仿宋" w:cs="Times New Roman"/>
          <w:spacing w:val="-4"/>
          <w:kern w:val="0"/>
          <w:sz w:val="28"/>
          <w:szCs w:val="28"/>
        </w:rPr>
      </w:pPr>
      <w:r>
        <w:rPr>
          <w:rFonts w:ascii="仿宋" w:hAnsi="仿宋" w:eastAsia="仿宋" w:cs="Times New Roman"/>
          <w:spacing w:val="-4"/>
          <w:kern w:val="0"/>
          <w:sz w:val="28"/>
          <w:szCs w:val="28"/>
        </w:rPr>
        <w:t>2</w:t>
      </w:r>
      <w:r>
        <w:rPr>
          <w:rFonts w:hint="eastAsia" w:ascii="仿宋" w:hAnsi="仿宋" w:eastAsia="仿宋" w:cs="Times New Roman"/>
          <w:spacing w:val="-4"/>
          <w:kern w:val="0"/>
          <w:sz w:val="28"/>
          <w:szCs w:val="28"/>
        </w:rPr>
        <w:t>.不得新设以自然山脊为采矿边界和不能满足修路上顶、超前剥离要求的露天采石场矿权。露天矿山同一山头不得设立两个矿山开采主体。</w:t>
      </w:r>
    </w:p>
    <w:p>
      <w:pPr>
        <w:spacing w:line="360" w:lineRule="auto"/>
        <w:ind w:firstLine="602" w:firstLineChars="200"/>
        <w:jc w:val="left"/>
        <w:outlineLvl w:val="2"/>
        <w:rPr>
          <w:rFonts w:ascii="仿宋" w:hAnsi="仿宋" w:eastAsia="仿宋" w:cs="Times New Roman"/>
          <w:spacing w:val="-4"/>
          <w:kern w:val="0"/>
          <w:sz w:val="28"/>
          <w:szCs w:val="28"/>
        </w:rPr>
      </w:pPr>
      <w:bookmarkStart w:id="47" w:name="_Toc104389961"/>
      <w:r>
        <w:rPr>
          <w:rFonts w:hint="eastAsia" w:ascii="仿宋_GB2312" w:hAnsi="仿宋" w:eastAsia="仿宋_GB2312" w:cs="Times New Roman"/>
          <w:b/>
          <w:kern w:val="0"/>
          <w:sz w:val="30"/>
          <w:szCs w:val="30"/>
        </w:rPr>
        <w:t>五、重点开发工作部署</w:t>
      </w:r>
      <w:bookmarkEnd w:id="47"/>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为实现绿色矿业发展，为“碳达峰”、“碳中和”目标作出贡献</w:t>
      </w:r>
      <w:r>
        <w:rPr>
          <w:rFonts w:ascii="仿宋" w:hAnsi="仿宋" w:eastAsia="仿宋" w:cs="Times New Roman"/>
          <w:kern w:val="0"/>
          <w:sz w:val="28"/>
          <w:szCs w:val="28"/>
        </w:rPr>
        <w:t>。</w:t>
      </w:r>
      <w:r>
        <w:rPr>
          <w:rFonts w:hint="eastAsia" w:ascii="仿宋" w:hAnsi="仿宋" w:eastAsia="仿宋" w:cs="Times New Roman"/>
          <w:kern w:val="0"/>
          <w:sz w:val="28"/>
          <w:szCs w:val="28"/>
        </w:rPr>
        <w:t>地热为南昌市优势矿产，规划期内应积极推进地热资源的开发利用工作，引导资金实力雄厚的大型企业进行规模开发利用。</w:t>
      </w:r>
    </w:p>
    <w:p>
      <w:pPr>
        <w:spacing w:line="360" w:lineRule="auto"/>
        <w:ind w:firstLine="560" w:firstLineChars="200"/>
        <w:rPr>
          <w:rFonts w:ascii="仿宋_GB2312" w:hAnsi="仿宋" w:eastAsia="仿宋_GB2312" w:cs="Times New Roman"/>
          <w:b/>
          <w:kern w:val="0"/>
          <w:sz w:val="30"/>
          <w:szCs w:val="30"/>
        </w:rPr>
      </w:pPr>
      <w:r>
        <w:rPr>
          <w:rFonts w:hint="eastAsia" w:ascii="仿宋" w:hAnsi="仿宋" w:eastAsia="仿宋" w:cs="Times New Roman"/>
          <w:kern w:val="0"/>
          <w:sz w:val="28"/>
          <w:szCs w:val="28"/>
        </w:rPr>
        <w:t>（一）地热水开发利用工程</w:t>
      </w:r>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南昌金燕国际温泉度假有限公司已完成的东岗桥地热水勘查项目，提交资源量约6236.23立方米/日，</w:t>
      </w:r>
      <w:r>
        <w:rPr>
          <w:rFonts w:ascii="仿宋" w:hAnsi="仿宋" w:eastAsia="仿宋" w:cs="Times New Roman"/>
          <w:kern w:val="0"/>
          <w:sz w:val="28"/>
          <w:szCs w:val="28"/>
        </w:rPr>
        <w:t>水温48-56℃</w:t>
      </w:r>
      <w:r>
        <w:rPr>
          <w:rFonts w:hint="eastAsia" w:ascii="仿宋" w:hAnsi="仿宋" w:eastAsia="仿宋" w:cs="Times New Roman"/>
          <w:kern w:val="0"/>
          <w:sz w:val="28"/>
          <w:szCs w:val="28"/>
        </w:rPr>
        <w:t>；已由金燕国际温泉度假有限公司投入资金30亿元对其进行综合开发利用，建设金燕国际温泉城项目。</w:t>
      </w:r>
      <w:r>
        <w:rPr>
          <w:rFonts w:ascii="仿宋" w:hAnsi="仿宋" w:eastAsia="仿宋" w:cs="Times New Roman"/>
          <w:kern w:val="0"/>
          <w:sz w:val="28"/>
          <w:szCs w:val="28"/>
        </w:rPr>
        <w:t>江西省南昌市红谷滩新区厚田地热水资源开发项目</w:t>
      </w:r>
      <w:r>
        <w:rPr>
          <w:rFonts w:hint="eastAsia" w:ascii="仿宋" w:hAnsi="仿宋" w:eastAsia="仿宋" w:cs="Times New Roman"/>
          <w:kern w:val="0"/>
          <w:sz w:val="28"/>
          <w:szCs w:val="28"/>
        </w:rPr>
        <w:t>经勘查，提交资源量约</w:t>
      </w:r>
      <w:r>
        <w:rPr>
          <w:rFonts w:ascii="仿宋" w:hAnsi="仿宋" w:eastAsia="仿宋" w:cs="Times New Roman"/>
          <w:kern w:val="0"/>
          <w:sz w:val="28"/>
          <w:szCs w:val="28"/>
        </w:rPr>
        <w:t>2490</w:t>
      </w:r>
      <w:r>
        <w:rPr>
          <w:rFonts w:hint="eastAsia" w:ascii="仿宋" w:hAnsi="仿宋" w:eastAsia="仿宋" w:cs="Times New Roman"/>
          <w:kern w:val="0"/>
          <w:sz w:val="28"/>
          <w:szCs w:val="28"/>
        </w:rPr>
        <w:t>.</w:t>
      </w:r>
      <w:r>
        <w:rPr>
          <w:rFonts w:ascii="仿宋" w:hAnsi="仿宋" w:eastAsia="仿宋" w:cs="Times New Roman"/>
          <w:kern w:val="0"/>
          <w:sz w:val="28"/>
          <w:szCs w:val="28"/>
        </w:rPr>
        <w:t>14</w:t>
      </w:r>
      <w:r>
        <w:rPr>
          <w:rFonts w:hint="eastAsia" w:ascii="仿宋" w:hAnsi="仿宋" w:eastAsia="仿宋" w:cs="Times New Roman"/>
          <w:kern w:val="0"/>
          <w:sz w:val="28"/>
          <w:szCs w:val="28"/>
        </w:rPr>
        <w:t>立方米/日</w:t>
      </w:r>
      <w:r>
        <w:rPr>
          <w:rFonts w:ascii="仿宋" w:hAnsi="仿宋" w:eastAsia="仿宋" w:cs="Times New Roman"/>
          <w:kern w:val="0"/>
          <w:sz w:val="28"/>
          <w:szCs w:val="28"/>
        </w:rPr>
        <w:t>，水温50-60℃</w:t>
      </w:r>
      <w:r>
        <w:rPr>
          <w:rFonts w:hint="eastAsia" w:ascii="仿宋" w:hAnsi="仿宋" w:eastAsia="仿宋" w:cs="Times New Roman"/>
          <w:kern w:val="0"/>
          <w:sz w:val="28"/>
          <w:szCs w:val="28"/>
        </w:rPr>
        <w:t>；现已由</w:t>
      </w:r>
      <w:r>
        <w:rPr>
          <w:rFonts w:ascii="仿宋" w:hAnsi="仿宋" w:eastAsia="仿宋" w:cs="Times New Roman"/>
          <w:kern w:val="0"/>
          <w:sz w:val="28"/>
          <w:szCs w:val="28"/>
        </w:rPr>
        <w:t>江西嘉元投资发展有限公司</w:t>
      </w:r>
      <w:r>
        <w:rPr>
          <w:rFonts w:hint="eastAsia" w:ascii="仿宋" w:hAnsi="仿宋" w:eastAsia="仿宋" w:cs="Times New Roman"/>
          <w:kern w:val="0"/>
          <w:sz w:val="28"/>
          <w:szCs w:val="28"/>
        </w:rPr>
        <w:t>投资2</w:t>
      </w:r>
      <w:r>
        <w:rPr>
          <w:rFonts w:ascii="仿宋" w:hAnsi="仿宋" w:eastAsia="仿宋" w:cs="Times New Roman"/>
          <w:kern w:val="0"/>
          <w:sz w:val="28"/>
          <w:szCs w:val="28"/>
        </w:rPr>
        <w:t>384.1</w:t>
      </w:r>
      <w:r>
        <w:rPr>
          <w:rFonts w:hint="eastAsia" w:ascii="仿宋" w:hAnsi="仿宋" w:eastAsia="仿宋" w:cs="Times New Roman"/>
          <w:kern w:val="0"/>
          <w:sz w:val="28"/>
          <w:szCs w:val="28"/>
        </w:rPr>
        <w:t>万元开发建设江南温泉城项目。</w:t>
      </w:r>
    </w:p>
    <w:p>
      <w:pPr>
        <w:spacing w:line="360" w:lineRule="auto"/>
        <w:ind w:firstLine="560" w:firstLineChars="200"/>
        <w:rPr>
          <w:rFonts w:ascii="仿宋_GB2312" w:hAnsi="仿宋" w:eastAsia="仿宋_GB2312" w:cs="Times New Roman"/>
          <w:b/>
          <w:kern w:val="0"/>
          <w:sz w:val="30"/>
          <w:szCs w:val="30"/>
        </w:rPr>
      </w:pPr>
      <w:r>
        <w:rPr>
          <w:rFonts w:hint="eastAsia" w:ascii="仿宋" w:hAnsi="仿宋" w:eastAsia="仿宋" w:cs="Times New Roman"/>
          <w:kern w:val="0"/>
          <w:sz w:val="28"/>
          <w:szCs w:val="28"/>
        </w:rPr>
        <w:t>（二）</w:t>
      </w:r>
      <w:r>
        <w:rPr>
          <w:rFonts w:ascii="仿宋" w:hAnsi="仿宋" w:eastAsia="仿宋" w:cs="Times New Roman"/>
          <w:kern w:val="0"/>
          <w:sz w:val="28"/>
          <w:szCs w:val="28"/>
        </w:rPr>
        <w:t>浅层地温能</w:t>
      </w:r>
      <w:r>
        <w:rPr>
          <w:rFonts w:hint="eastAsia" w:ascii="仿宋" w:hAnsi="仿宋" w:eastAsia="仿宋" w:cs="Times New Roman"/>
          <w:kern w:val="0"/>
          <w:sz w:val="28"/>
          <w:szCs w:val="28"/>
        </w:rPr>
        <w:t>推广开发利用工程</w:t>
      </w:r>
    </w:p>
    <w:p>
      <w:pPr>
        <w:spacing w:line="360" w:lineRule="auto"/>
        <w:ind w:firstLine="560" w:firstLineChars="200"/>
        <w:rPr>
          <w:rFonts w:ascii="仿宋" w:hAnsi="仿宋" w:eastAsia="仿宋" w:cs="Times New Roman"/>
          <w:kern w:val="0"/>
          <w:sz w:val="28"/>
          <w:szCs w:val="28"/>
        </w:rPr>
      </w:pPr>
      <w:r>
        <w:rPr>
          <w:rFonts w:ascii="仿宋" w:hAnsi="仿宋" w:eastAsia="仿宋" w:cs="Times New Roman"/>
          <w:kern w:val="0"/>
          <w:sz w:val="28"/>
          <w:szCs w:val="28"/>
        </w:rPr>
        <w:t>浅层地温能是一种广泛存在于地下浅层（200米以内）土壤和地下水里的低品位可再生能源，温度相对恒定，储量巨大，在建筑供暖领域前途广阔，其开发对保护环境、优化能源结构和建设绿色环保城市具有特殊意义。</w:t>
      </w:r>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2</w:t>
      </w:r>
      <w:r>
        <w:rPr>
          <w:rFonts w:ascii="仿宋" w:hAnsi="仿宋" w:eastAsia="仿宋" w:cs="Times New Roman"/>
          <w:kern w:val="0"/>
          <w:sz w:val="28"/>
          <w:szCs w:val="28"/>
        </w:rPr>
        <w:t>011-2012</w:t>
      </w:r>
      <w:r>
        <w:rPr>
          <w:rFonts w:hint="eastAsia" w:ascii="仿宋" w:hAnsi="仿宋" w:eastAsia="仿宋" w:cs="Times New Roman"/>
          <w:kern w:val="0"/>
          <w:sz w:val="28"/>
          <w:szCs w:val="28"/>
        </w:rPr>
        <w:t>年在南昌主城区实施的“南昌市浅层地温能调查评价项目”显示：在</w:t>
      </w:r>
      <w:r>
        <w:rPr>
          <w:rFonts w:ascii="仿宋" w:hAnsi="仿宋" w:eastAsia="仿宋" w:cs="Times New Roman"/>
          <w:kern w:val="0"/>
          <w:sz w:val="28"/>
          <w:szCs w:val="28"/>
        </w:rPr>
        <w:t>考虑土地利用系数情况下，南昌市工作区浅层地温能开发利用的总能量为2.05×10</w:t>
      </w:r>
      <w:r>
        <w:rPr>
          <w:rFonts w:ascii="仿宋" w:hAnsi="仿宋" w:eastAsia="仿宋" w:cs="Times New Roman"/>
          <w:kern w:val="0"/>
          <w:sz w:val="28"/>
          <w:szCs w:val="28"/>
          <w:vertAlign w:val="superscript"/>
        </w:rPr>
        <w:t>7</w:t>
      </w:r>
      <w:r>
        <w:rPr>
          <w:rFonts w:ascii="仿宋" w:hAnsi="仿宋" w:eastAsia="仿宋" w:cs="Times New Roman"/>
          <w:kern w:val="0"/>
          <w:sz w:val="28"/>
          <w:szCs w:val="28"/>
        </w:rPr>
        <w:t>GJ，相当于7亿</w:t>
      </w:r>
      <w:r>
        <w:rPr>
          <w:rFonts w:hint="eastAsia" w:ascii="仿宋" w:hAnsi="仿宋" w:eastAsia="仿宋" w:cs="Times New Roman"/>
          <w:kern w:val="0"/>
          <w:sz w:val="28"/>
          <w:szCs w:val="28"/>
        </w:rPr>
        <w:t>吨</w:t>
      </w:r>
      <w:r>
        <w:rPr>
          <w:rFonts w:ascii="仿宋" w:hAnsi="仿宋" w:eastAsia="仿宋" w:cs="Times New Roman"/>
          <w:kern w:val="0"/>
          <w:sz w:val="28"/>
          <w:szCs w:val="28"/>
        </w:rPr>
        <w:t>的标准煤；</w:t>
      </w:r>
      <w:r>
        <w:rPr>
          <w:rFonts w:hint="eastAsia" w:ascii="仿宋" w:hAnsi="仿宋" w:eastAsia="仿宋" w:cs="Times New Roman"/>
          <w:kern w:val="0"/>
          <w:sz w:val="28"/>
          <w:szCs w:val="28"/>
        </w:rPr>
        <w:t>开发利用后相当于</w:t>
      </w:r>
      <w:r>
        <w:rPr>
          <w:rFonts w:ascii="仿宋" w:hAnsi="仿宋" w:eastAsia="仿宋" w:cs="Times New Roman"/>
          <w:kern w:val="0"/>
          <w:sz w:val="28"/>
          <w:szCs w:val="28"/>
        </w:rPr>
        <w:t>每年减少向大气和环境中排放二氧化碳、二氧化硫、氮氧化物、悬浮质粉尘等气体及灰尘共计61.76万吨。</w:t>
      </w:r>
      <w:r>
        <w:rPr>
          <w:rFonts w:hint="eastAsia" w:ascii="仿宋" w:hAnsi="仿宋" w:eastAsia="仿宋" w:cs="Times New Roman"/>
          <w:kern w:val="0"/>
          <w:sz w:val="28"/>
          <w:szCs w:val="28"/>
        </w:rPr>
        <w:t>项目成果初步确定赣江及抚河沿岸和瑶湖地区为地下水地源热泵适宜或较适宜区。</w:t>
      </w:r>
    </w:p>
    <w:p>
      <w:pPr>
        <w:spacing w:line="360" w:lineRule="auto"/>
        <w:ind w:firstLine="560" w:firstLineChars="200"/>
        <w:rPr>
          <w:rFonts w:ascii="仿宋" w:hAnsi="仿宋" w:eastAsia="仿宋" w:cs="Times New Roman"/>
          <w:kern w:val="0"/>
          <w:sz w:val="28"/>
          <w:szCs w:val="28"/>
        </w:rPr>
      </w:pPr>
      <w:r>
        <w:rPr>
          <w:rFonts w:ascii="仿宋" w:hAnsi="仿宋" w:eastAsia="仿宋" w:cs="Times New Roman"/>
          <w:kern w:val="0"/>
          <w:sz w:val="28"/>
          <w:szCs w:val="28"/>
        </w:rPr>
        <w:t>目前，南昌市地源热泵工程建成供给面积超过25万平方米</w:t>
      </w:r>
      <w:r>
        <w:rPr>
          <w:rFonts w:hint="eastAsia" w:ascii="仿宋" w:hAnsi="仿宋" w:eastAsia="仿宋" w:cs="Times New Roman"/>
          <w:kern w:val="0"/>
          <w:sz w:val="28"/>
          <w:szCs w:val="28"/>
        </w:rPr>
        <w:t>，南昌市浅层地温能尚有较大的开发利用空间。为加快浅层地温能的推广使用，创新政府节能减排成效，应加强南昌市辖区范围内公益性投资项目、2万平方米以上大型公共建筑、20万平方米以上住宅小区以及保障性住房等项目的推广应用。</w:t>
      </w:r>
    </w:p>
    <w:p>
      <w:pPr>
        <w:widowControl/>
        <w:jc w:val="left"/>
        <w:rPr>
          <w:rFonts w:ascii="仿宋_GB2312" w:hAnsi="Calibri" w:eastAsia="仿宋_GB2312" w:cs="Times New Roman"/>
          <w:b/>
          <w:kern w:val="0"/>
          <w:sz w:val="44"/>
        </w:rPr>
      </w:pPr>
      <w:r>
        <w:rPr>
          <w:rFonts w:ascii="仿宋_GB2312" w:hAnsi="Calibri" w:eastAsia="仿宋_GB2312" w:cs="Times New Roman"/>
          <w:b/>
          <w:kern w:val="0"/>
          <w:sz w:val="44"/>
        </w:rPr>
        <w:br w:type="page"/>
      </w:r>
    </w:p>
    <w:p>
      <w:pPr>
        <w:spacing w:before="156" w:beforeLines="50" w:after="156" w:afterLines="50" w:line="360" w:lineRule="auto"/>
        <w:jc w:val="center"/>
        <w:outlineLvl w:val="0"/>
        <w:rPr>
          <w:rFonts w:ascii="仿宋" w:hAnsi="仿宋" w:eastAsia="仿宋" w:cs="Times New Roman"/>
          <w:kern w:val="0"/>
          <w:sz w:val="28"/>
          <w:szCs w:val="28"/>
        </w:rPr>
      </w:pPr>
      <w:bookmarkStart w:id="48" w:name="_Toc104389962"/>
      <w:r>
        <w:rPr>
          <w:rFonts w:hint="eastAsia" w:ascii="仿宋_GB2312" w:hAnsi="Calibri" w:eastAsia="仿宋_GB2312" w:cs="Times New Roman"/>
          <w:b/>
          <w:kern w:val="0"/>
          <w:sz w:val="44"/>
        </w:rPr>
        <w:t xml:space="preserve">第六章 </w:t>
      </w:r>
      <w:r>
        <w:rPr>
          <w:rFonts w:ascii="仿宋_GB2312" w:hAnsi="Calibri" w:eastAsia="仿宋_GB2312" w:cs="Times New Roman"/>
          <w:b/>
          <w:kern w:val="0"/>
          <w:sz w:val="44"/>
        </w:rPr>
        <w:t xml:space="preserve"> </w:t>
      </w:r>
      <w:r>
        <w:rPr>
          <w:rFonts w:hint="eastAsia" w:ascii="仿宋_GB2312" w:hAnsi="Calibri" w:eastAsia="仿宋_GB2312" w:cs="Times New Roman"/>
          <w:b/>
          <w:kern w:val="0"/>
          <w:sz w:val="44"/>
        </w:rPr>
        <w:t>矿业高质量发展</w:t>
      </w:r>
      <w:bookmarkEnd w:id="48"/>
    </w:p>
    <w:p>
      <w:pPr>
        <w:spacing w:before="156" w:beforeLines="50" w:after="156" w:afterLines="50" w:line="360" w:lineRule="auto"/>
        <w:jc w:val="center"/>
        <w:outlineLvl w:val="1"/>
        <w:rPr>
          <w:rFonts w:ascii="仿宋_GB2312" w:hAnsi="Calibri" w:eastAsia="仿宋_GB2312" w:cs="Times New Roman"/>
          <w:b/>
          <w:kern w:val="0"/>
          <w:sz w:val="32"/>
        </w:rPr>
      </w:pPr>
      <w:bookmarkStart w:id="49" w:name="_Toc104389963"/>
      <w:r>
        <w:rPr>
          <w:rFonts w:ascii="仿宋_GB2312" w:hAnsi="Calibri" w:eastAsia="仿宋_GB2312" w:cs="Times New Roman"/>
          <w:b/>
          <w:kern w:val="0"/>
          <w:sz w:val="32"/>
        </w:rPr>
        <w:t>第</w:t>
      </w:r>
      <w:r>
        <w:rPr>
          <w:rFonts w:hint="eastAsia" w:ascii="仿宋_GB2312" w:hAnsi="Calibri" w:eastAsia="仿宋_GB2312" w:cs="Times New Roman"/>
          <w:b/>
          <w:kern w:val="0"/>
          <w:sz w:val="32"/>
        </w:rPr>
        <w:t>一</w:t>
      </w:r>
      <w:r>
        <w:rPr>
          <w:rFonts w:ascii="仿宋_GB2312" w:hAnsi="Calibri" w:eastAsia="仿宋_GB2312" w:cs="Times New Roman"/>
          <w:b/>
          <w:kern w:val="0"/>
          <w:sz w:val="32"/>
        </w:rPr>
        <w:t>节</w:t>
      </w:r>
      <w:r>
        <w:rPr>
          <w:rFonts w:hint="eastAsia" w:ascii="仿宋_GB2312" w:hAnsi="Calibri" w:eastAsia="仿宋_GB2312" w:cs="Times New Roman"/>
          <w:b/>
          <w:kern w:val="0"/>
          <w:sz w:val="32"/>
        </w:rPr>
        <w:t xml:space="preserve"> </w:t>
      </w:r>
      <w:r>
        <w:rPr>
          <w:rFonts w:ascii="仿宋_GB2312" w:hAnsi="Calibri" w:eastAsia="仿宋_GB2312" w:cs="Times New Roman"/>
          <w:b/>
          <w:kern w:val="0"/>
          <w:sz w:val="32"/>
        </w:rPr>
        <w:t xml:space="preserve"> 矿产资源高效利用</w:t>
      </w:r>
      <w:bookmarkEnd w:id="49"/>
    </w:p>
    <w:p>
      <w:pPr>
        <w:spacing w:line="360" w:lineRule="auto"/>
        <w:ind w:firstLine="602" w:firstLineChars="200"/>
        <w:jc w:val="left"/>
        <w:outlineLvl w:val="2"/>
        <w:rPr>
          <w:rFonts w:ascii="仿宋" w:hAnsi="仿宋" w:eastAsia="仿宋" w:cs="Times New Roman"/>
          <w:kern w:val="0"/>
          <w:sz w:val="28"/>
          <w:szCs w:val="28"/>
        </w:rPr>
      </w:pPr>
      <w:bookmarkStart w:id="50" w:name="_Toc104389964"/>
      <w:r>
        <w:rPr>
          <w:rFonts w:hint="eastAsia" w:ascii="仿宋_GB2312" w:hAnsi="仿宋" w:eastAsia="仿宋_GB2312" w:cs="Times New Roman"/>
          <w:b/>
          <w:kern w:val="0"/>
          <w:sz w:val="30"/>
          <w:szCs w:val="30"/>
        </w:rPr>
        <w:t>一、高效利用矿产资源</w:t>
      </w:r>
      <w:bookmarkEnd w:id="50"/>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由于南昌城市开发建设对成品砖（含新型墙体材料）的需求一直以来都比较大。以往制砖主要采用粘土，随着各类保护区、开发区的设立，新环境保护法律法规的实施，对生态环境保护的要求越来越高，砖瓦用粘土矿必须逐年关闭。经调研发现，南昌市部分地区出露有三叠纪安源组、石炭纪梓山组地层，这两个层位含煤层、含煤泥岩、含炭页岩、夹煤页岩等岩性。此类含煤、含炭的泥页岩由于含有煤（炭）成分，如果用来烧制建筑用砖，可减少烧制燃料的投入，达到高效利用、节能环保的目的。可考虑在该层位勘查开发利用此类含煤、含炭的泥页岩来制作新型墙体砖。</w:t>
      </w:r>
    </w:p>
    <w:p>
      <w:pPr>
        <w:spacing w:line="360" w:lineRule="auto"/>
        <w:ind w:firstLine="602" w:firstLineChars="200"/>
        <w:jc w:val="left"/>
        <w:outlineLvl w:val="2"/>
        <w:rPr>
          <w:rFonts w:ascii="仿宋_GB2312" w:hAnsi="仿宋" w:eastAsia="仿宋_GB2312" w:cs="Times New Roman"/>
          <w:b/>
          <w:kern w:val="0"/>
          <w:sz w:val="30"/>
          <w:szCs w:val="30"/>
        </w:rPr>
      </w:pPr>
      <w:bookmarkStart w:id="51" w:name="_Toc104389965"/>
      <w:r>
        <w:rPr>
          <w:rFonts w:hint="eastAsia" w:ascii="仿宋_GB2312" w:hAnsi="仿宋" w:eastAsia="仿宋_GB2312" w:cs="Times New Roman"/>
          <w:b/>
          <w:kern w:val="0"/>
          <w:sz w:val="30"/>
          <w:szCs w:val="30"/>
        </w:rPr>
        <w:t>二、提升</w:t>
      </w:r>
      <w:r>
        <w:rPr>
          <w:rFonts w:ascii="仿宋_GB2312" w:hAnsi="仿宋" w:eastAsia="仿宋_GB2312" w:cs="Times New Roman"/>
          <w:b/>
          <w:kern w:val="0"/>
          <w:sz w:val="30"/>
          <w:szCs w:val="30"/>
        </w:rPr>
        <w:t>矿山“三率”管理</w:t>
      </w:r>
      <w:bookmarkEnd w:id="51"/>
    </w:p>
    <w:p>
      <w:pPr>
        <w:tabs>
          <w:tab w:val="left" w:pos="1063"/>
        </w:tabs>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2025年，全市矿山开采回采率</w:t>
      </w:r>
      <w:r>
        <w:rPr>
          <w:rFonts w:hint="eastAsia" w:ascii="Times New Roman" w:hAnsi="Times New Roman" w:eastAsia="仿宋" w:cs="Times New Roman"/>
          <w:sz w:val="28"/>
          <w:szCs w:val="28"/>
        </w:rPr>
        <w:t>达标率</w:t>
      </w:r>
      <w:r>
        <w:rPr>
          <w:rFonts w:ascii="Times New Roman" w:hAnsi="Times New Roman" w:eastAsia="仿宋" w:cs="Times New Roman"/>
          <w:sz w:val="28"/>
          <w:szCs w:val="28"/>
        </w:rPr>
        <w:t>达到90%以上，主要为建筑用石料、砖瓦用</w:t>
      </w:r>
      <w:r>
        <w:rPr>
          <w:rFonts w:hint="eastAsia" w:ascii="Times New Roman" w:hAnsi="Times New Roman" w:eastAsia="仿宋" w:cs="Times New Roman"/>
          <w:sz w:val="28"/>
          <w:szCs w:val="28"/>
        </w:rPr>
        <w:t>页岩</w:t>
      </w:r>
      <w:r>
        <w:rPr>
          <w:rFonts w:ascii="Times New Roman" w:hAnsi="Times New Roman" w:eastAsia="仿宋" w:cs="Times New Roman"/>
          <w:sz w:val="28"/>
          <w:szCs w:val="28"/>
        </w:rPr>
        <w:t>矿</w:t>
      </w:r>
      <w:r>
        <w:rPr>
          <w:rFonts w:hint="eastAsia" w:ascii="Times New Roman" w:hAnsi="Times New Roman" w:eastAsia="仿宋" w:cs="Times New Roman"/>
          <w:sz w:val="28"/>
          <w:szCs w:val="28"/>
        </w:rPr>
        <w:t>、地热水</w:t>
      </w:r>
      <w:r>
        <w:rPr>
          <w:rFonts w:ascii="Times New Roman" w:hAnsi="Times New Roman" w:eastAsia="仿宋" w:cs="Times New Roman"/>
          <w:sz w:val="28"/>
          <w:szCs w:val="28"/>
        </w:rPr>
        <w:t>等</w:t>
      </w:r>
      <w:r>
        <w:rPr>
          <w:rFonts w:hint="eastAsia" w:ascii="Times New Roman" w:hAnsi="Times New Roman" w:eastAsia="仿宋" w:cs="Times New Roman"/>
          <w:sz w:val="28"/>
          <w:szCs w:val="28"/>
        </w:rPr>
        <w:t>。</w:t>
      </w:r>
      <w:r>
        <w:rPr>
          <w:rFonts w:ascii="Times New Roman" w:hAnsi="Times New Roman" w:eastAsia="仿宋" w:cs="Times New Roman"/>
          <w:sz w:val="28"/>
          <w:szCs w:val="28"/>
        </w:rPr>
        <w:t>规划期内</w:t>
      </w:r>
      <w:r>
        <w:rPr>
          <w:rFonts w:hint="eastAsia" w:ascii="Times New Roman" w:hAnsi="Times New Roman" w:eastAsia="仿宋" w:cs="Times New Roman"/>
          <w:sz w:val="28"/>
          <w:szCs w:val="28"/>
        </w:rPr>
        <w:t>预期无金属或非金属矿山，如有，需注意</w:t>
      </w:r>
      <w:r>
        <w:rPr>
          <w:rFonts w:ascii="Times New Roman" w:hAnsi="Times New Roman" w:eastAsia="仿宋" w:cs="Times New Roman"/>
          <w:sz w:val="28"/>
          <w:szCs w:val="28"/>
        </w:rPr>
        <w:t>选矿及综合利用</w:t>
      </w:r>
      <w:r>
        <w:rPr>
          <w:rFonts w:hint="eastAsia" w:ascii="Times New Roman" w:hAnsi="Times New Roman" w:eastAsia="仿宋" w:cs="Times New Roman"/>
          <w:sz w:val="28"/>
          <w:szCs w:val="28"/>
        </w:rPr>
        <w:t>，鼓励利用矿山尾矿，节约资源，提高矿山固体废物综合利用水平。</w:t>
      </w:r>
    </w:p>
    <w:p>
      <w:pPr>
        <w:spacing w:line="360" w:lineRule="auto"/>
        <w:ind w:firstLine="562" w:firstLineChars="200"/>
        <w:rPr>
          <w:rFonts w:ascii="Times New Roman" w:hAnsi="Times New Roman" w:eastAsia="仿宋" w:cs="Times New Roman"/>
          <w:sz w:val="28"/>
          <w:szCs w:val="28"/>
        </w:rPr>
      </w:pPr>
      <w:r>
        <w:rPr>
          <w:rFonts w:ascii="Times New Roman" w:hAnsi="Times New Roman" w:eastAsia="仿宋" w:cs="Times New Roman"/>
          <w:b/>
          <w:bCs/>
          <w:sz w:val="28"/>
          <w:szCs w:val="28"/>
        </w:rPr>
        <w:t>管理措施：</w:t>
      </w:r>
      <w:r>
        <w:rPr>
          <w:rFonts w:hint="eastAsia" w:ascii="宋体" w:hAnsi="宋体" w:eastAsia="宋体" w:cs="宋体"/>
          <w:sz w:val="28"/>
          <w:szCs w:val="28"/>
        </w:rPr>
        <w:t>1</w:t>
      </w:r>
      <w:r>
        <w:rPr>
          <w:rFonts w:ascii="宋体" w:hAnsi="宋体" w:eastAsia="宋体" w:cs="宋体"/>
          <w:sz w:val="28"/>
          <w:szCs w:val="28"/>
        </w:rPr>
        <w:t>.</w:t>
      </w:r>
      <w:r>
        <w:rPr>
          <w:rFonts w:hint="eastAsia" w:ascii="Times New Roman" w:hAnsi="Times New Roman" w:eastAsia="仿宋" w:cs="Times New Roman"/>
          <w:sz w:val="28"/>
          <w:szCs w:val="28"/>
        </w:rPr>
        <w:t>对</w:t>
      </w:r>
      <w:r>
        <w:rPr>
          <w:rFonts w:ascii="Times New Roman" w:hAnsi="Times New Roman" w:eastAsia="仿宋" w:cs="Times New Roman"/>
          <w:sz w:val="28"/>
          <w:szCs w:val="28"/>
        </w:rPr>
        <w:t>“</w:t>
      </w:r>
      <w:r>
        <w:rPr>
          <w:rFonts w:hint="eastAsia" w:ascii="Times New Roman" w:hAnsi="Times New Roman" w:eastAsia="仿宋" w:cs="Times New Roman"/>
          <w:sz w:val="28"/>
          <w:szCs w:val="28"/>
        </w:rPr>
        <w:t>三率</w:t>
      </w:r>
      <w:r>
        <w:rPr>
          <w:rFonts w:ascii="Times New Roman" w:hAnsi="Times New Roman" w:eastAsia="仿宋" w:cs="Times New Roman"/>
          <w:sz w:val="28"/>
          <w:szCs w:val="28"/>
        </w:rPr>
        <w:t>”</w:t>
      </w:r>
      <w:r>
        <w:rPr>
          <w:rFonts w:hint="eastAsia" w:ascii="Times New Roman" w:hAnsi="Times New Roman" w:eastAsia="仿宋" w:cs="Times New Roman"/>
          <w:sz w:val="28"/>
          <w:szCs w:val="28"/>
        </w:rPr>
        <w:t>已达标的矿山，需加强对</w:t>
      </w:r>
      <w:r>
        <w:rPr>
          <w:rFonts w:ascii="Times New Roman" w:hAnsi="Times New Roman" w:eastAsia="仿宋" w:cs="Times New Roman"/>
          <w:sz w:val="28"/>
          <w:szCs w:val="28"/>
        </w:rPr>
        <w:t>“</w:t>
      </w:r>
      <w:r>
        <w:rPr>
          <w:rFonts w:hint="eastAsia" w:ascii="Times New Roman" w:hAnsi="Times New Roman" w:eastAsia="仿宋" w:cs="Times New Roman"/>
          <w:sz w:val="28"/>
          <w:szCs w:val="28"/>
        </w:rPr>
        <w:t>三率</w:t>
      </w:r>
      <w:r>
        <w:rPr>
          <w:rFonts w:ascii="Times New Roman" w:hAnsi="Times New Roman" w:eastAsia="仿宋" w:cs="Times New Roman"/>
          <w:sz w:val="28"/>
          <w:szCs w:val="28"/>
        </w:rPr>
        <w:t>”</w:t>
      </w:r>
      <w:r>
        <w:rPr>
          <w:rFonts w:hint="eastAsia" w:ascii="Times New Roman" w:hAnsi="Times New Roman" w:eastAsia="仿宋" w:cs="Times New Roman"/>
          <w:sz w:val="28"/>
          <w:szCs w:val="28"/>
        </w:rPr>
        <w:t>的监督检查，鼓励科技创新、采用先进的生产技术和设备，稳定或提高其矿山</w:t>
      </w:r>
      <w:r>
        <w:rPr>
          <w:rFonts w:ascii="Times New Roman" w:hAnsi="Times New Roman" w:eastAsia="仿宋" w:cs="Times New Roman"/>
          <w:sz w:val="28"/>
          <w:szCs w:val="28"/>
        </w:rPr>
        <w:t>“</w:t>
      </w:r>
      <w:r>
        <w:rPr>
          <w:rFonts w:hint="eastAsia" w:ascii="Times New Roman" w:hAnsi="Times New Roman" w:eastAsia="仿宋" w:cs="Times New Roman"/>
          <w:sz w:val="28"/>
          <w:szCs w:val="28"/>
        </w:rPr>
        <w:t>三率</w:t>
      </w:r>
      <w:r>
        <w:rPr>
          <w:rFonts w:ascii="Times New Roman" w:hAnsi="Times New Roman" w:eastAsia="仿宋" w:cs="Times New Roman"/>
          <w:sz w:val="28"/>
          <w:szCs w:val="28"/>
        </w:rPr>
        <w:t>”</w:t>
      </w:r>
      <w:r>
        <w:rPr>
          <w:rFonts w:hint="eastAsia" w:ascii="Times New Roman" w:hAnsi="Times New Roman" w:eastAsia="仿宋" w:cs="Times New Roman"/>
          <w:sz w:val="28"/>
          <w:szCs w:val="28"/>
        </w:rPr>
        <w:t>水平，使之不滑坡，不退步。</w:t>
      </w:r>
      <w:r>
        <w:rPr>
          <w:rFonts w:hint="eastAsia" w:ascii="宋体" w:hAnsi="宋体" w:eastAsia="宋体" w:cs="宋体"/>
          <w:sz w:val="28"/>
          <w:szCs w:val="28"/>
        </w:rPr>
        <w:t>2</w:t>
      </w:r>
      <w:r>
        <w:rPr>
          <w:rFonts w:ascii="宋体" w:hAnsi="宋体" w:eastAsia="宋体" w:cs="宋体"/>
          <w:sz w:val="28"/>
          <w:szCs w:val="28"/>
        </w:rPr>
        <w:t>.</w:t>
      </w:r>
      <w:r>
        <w:rPr>
          <w:rFonts w:hint="eastAsia" w:ascii="Times New Roman" w:hAnsi="Times New Roman" w:eastAsia="仿宋" w:cs="Times New Roman"/>
          <w:sz w:val="28"/>
          <w:szCs w:val="28"/>
        </w:rPr>
        <w:t>对</w:t>
      </w:r>
      <w:r>
        <w:rPr>
          <w:rFonts w:ascii="Times New Roman" w:hAnsi="Times New Roman" w:eastAsia="仿宋" w:cs="Times New Roman"/>
          <w:sz w:val="28"/>
          <w:szCs w:val="28"/>
        </w:rPr>
        <w:t>“</w:t>
      </w:r>
      <w:r>
        <w:rPr>
          <w:rFonts w:hint="eastAsia" w:ascii="Times New Roman" w:hAnsi="Times New Roman" w:eastAsia="仿宋" w:cs="Times New Roman"/>
          <w:sz w:val="28"/>
          <w:szCs w:val="28"/>
        </w:rPr>
        <w:t>三率</w:t>
      </w:r>
      <w:r>
        <w:rPr>
          <w:rFonts w:ascii="Times New Roman" w:hAnsi="Times New Roman" w:eastAsia="仿宋" w:cs="Times New Roman"/>
          <w:sz w:val="28"/>
          <w:szCs w:val="28"/>
        </w:rPr>
        <w:t>”</w:t>
      </w:r>
      <w:r>
        <w:rPr>
          <w:rFonts w:hint="eastAsia" w:ascii="Times New Roman" w:hAnsi="Times New Roman" w:eastAsia="仿宋" w:cs="Times New Roman"/>
          <w:sz w:val="28"/>
          <w:szCs w:val="28"/>
        </w:rPr>
        <w:t>未达标的矿山，需按国家颁布</w:t>
      </w:r>
      <w:r>
        <w:rPr>
          <w:rFonts w:ascii="Times New Roman" w:hAnsi="Times New Roman" w:eastAsia="仿宋" w:cs="Times New Roman"/>
          <w:sz w:val="28"/>
          <w:szCs w:val="28"/>
        </w:rPr>
        <w:t>“</w:t>
      </w:r>
      <w:r>
        <w:rPr>
          <w:rFonts w:hint="eastAsia" w:ascii="Times New Roman" w:hAnsi="Times New Roman" w:eastAsia="仿宋" w:cs="Times New Roman"/>
          <w:sz w:val="28"/>
          <w:szCs w:val="28"/>
        </w:rPr>
        <w:t>三率</w:t>
      </w:r>
      <w:r>
        <w:rPr>
          <w:rFonts w:ascii="Times New Roman" w:hAnsi="Times New Roman" w:eastAsia="仿宋" w:cs="Times New Roman"/>
          <w:sz w:val="28"/>
          <w:szCs w:val="28"/>
        </w:rPr>
        <w:t>”</w:t>
      </w:r>
      <w:r>
        <w:rPr>
          <w:rFonts w:hint="eastAsia" w:ascii="Times New Roman" w:hAnsi="Times New Roman" w:eastAsia="仿宋" w:cs="Times New Roman"/>
          <w:sz w:val="28"/>
          <w:szCs w:val="28"/>
        </w:rPr>
        <w:t>标准或经批准的开发利用方案设计的</w:t>
      </w:r>
      <w:r>
        <w:rPr>
          <w:rFonts w:ascii="Times New Roman" w:hAnsi="Times New Roman" w:eastAsia="仿宋" w:cs="Times New Roman"/>
          <w:sz w:val="28"/>
          <w:szCs w:val="28"/>
        </w:rPr>
        <w:t>“</w:t>
      </w:r>
      <w:r>
        <w:rPr>
          <w:rFonts w:hint="eastAsia" w:ascii="Times New Roman" w:hAnsi="Times New Roman" w:eastAsia="仿宋" w:cs="Times New Roman"/>
          <w:sz w:val="28"/>
          <w:szCs w:val="28"/>
        </w:rPr>
        <w:t>三率</w:t>
      </w:r>
      <w:r>
        <w:rPr>
          <w:rFonts w:ascii="Times New Roman" w:hAnsi="Times New Roman" w:eastAsia="仿宋" w:cs="Times New Roman"/>
          <w:sz w:val="28"/>
          <w:szCs w:val="28"/>
        </w:rPr>
        <w:t>”</w:t>
      </w:r>
      <w:r>
        <w:rPr>
          <w:rFonts w:hint="eastAsia" w:ascii="Times New Roman" w:hAnsi="Times New Roman" w:eastAsia="仿宋" w:cs="Times New Roman"/>
          <w:sz w:val="28"/>
          <w:szCs w:val="28"/>
        </w:rPr>
        <w:t>要求，来查找和排查未达标的因素和原因，针对性的进行整改或调整工艺流程，并通过定期的考核以及监督检查，使矿山</w:t>
      </w:r>
      <w:r>
        <w:rPr>
          <w:rFonts w:ascii="Times New Roman" w:hAnsi="Times New Roman" w:eastAsia="仿宋" w:cs="Times New Roman"/>
          <w:sz w:val="28"/>
          <w:szCs w:val="28"/>
        </w:rPr>
        <w:t>“</w:t>
      </w:r>
      <w:r>
        <w:rPr>
          <w:rFonts w:hint="eastAsia" w:ascii="Times New Roman" w:hAnsi="Times New Roman" w:eastAsia="仿宋" w:cs="Times New Roman"/>
          <w:sz w:val="28"/>
          <w:szCs w:val="28"/>
        </w:rPr>
        <w:t>三率</w:t>
      </w:r>
      <w:r>
        <w:rPr>
          <w:rFonts w:ascii="Times New Roman" w:hAnsi="Times New Roman" w:eastAsia="仿宋" w:cs="Times New Roman"/>
          <w:sz w:val="28"/>
          <w:szCs w:val="28"/>
        </w:rPr>
        <w:t>”</w:t>
      </w:r>
      <w:r>
        <w:rPr>
          <w:rFonts w:hint="eastAsia" w:ascii="Times New Roman" w:hAnsi="Times New Roman" w:eastAsia="仿宋" w:cs="Times New Roman"/>
          <w:sz w:val="28"/>
          <w:szCs w:val="28"/>
        </w:rPr>
        <w:t>水平不断提高，尽快达到或超过国家或设计的</w:t>
      </w:r>
      <w:r>
        <w:rPr>
          <w:rFonts w:ascii="Times New Roman" w:hAnsi="Times New Roman" w:eastAsia="仿宋" w:cs="Times New Roman"/>
          <w:sz w:val="28"/>
          <w:szCs w:val="28"/>
        </w:rPr>
        <w:t>“</w:t>
      </w:r>
      <w:r>
        <w:rPr>
          <w:rFonts w:hint="eastAsia" w:ascii="Times New Roman" w:hAnsi="Times New Roman" w:eastAsia="仿宋" w:cs="Times New Roman"/>
          <w:sz w:val="28"/>
          <w:szCs w:val="28"/>
        </w:rPr>
        <w:t>三率</w:t>
      </w:r>
      <w:r>
        <w:rPr>
          <w:rFonts w:ascii="Times New Roman" w:hAnsi="Times New Roman" w:eastAsia="仿宋" w:cs="Times New Roman"/>
          <w:sz w:val="28"/>
          <w:szCs w:val="28"/>
        </w:rPr>
        <w:t>”</w:t>
      </w:r>
      <w:r>
        <w:rPr>
          <w:rFonts w:hint="eastAsia" w:ascii="Times New Roman" w:hAnsi="Times New Roman" w:eastAsia="仿宋" w:cs="Times New Roman"/>
          <w:sz w:val="28"/>
          <w:szCs w:val="28"/>
        </w:rPr>
        <w:t>标准，成为达标矿山。</w:t>
      </w:r>
      <w:r>
        <w:rPr>
          <w:rFonts w:ascii="Times New Roman" w:hAnsi="Times New Roman" w:eastAsia="仿宋" w:cs="Times New Roman"/>
          <w:sz w:val="28"/>
          <w:szCs w:val="28"/>
        </w:rPr>
        <w:t>3.</w:t>
      </w:r>
      <w:r>
        <w:rPr>
          <w:rFonts w:hint="eastAsia" w:ascii="Times New Roman" w:hAnsi="Times New Roman" w:eastAsia="仿宋" w:cs="Times New Roman"/>
          <w:sz w:val="28"/>
          <w:szCs w:val="28"/>
        </w:rPr>
        <w:t>对新建矿山，需严格按照国家</w:t>
      </w:r>
      <w:r>
        <w:rPr>
          <w:rFonts w:ascii="Times New Roman" w:hAnsi="Times New Roman" w:eastAsia="仿宋" w:cs="Times New Roman"/>
          <w:sz w:val="28"/>
          <w:szCs w:val="28"/>
        </w:rPr>
        <w:t>“</w:t>
      </w:r>
      <w:r>
        <w:rPr>
          <w:rFonts w:hint="eastAsia" w:ascii="Times New Roman" w:hAnsi="Times New Roman" w:eastAsia="仿宋" w:cs="Times New Roman"/>
          <w:sz w:val="28"/>
          <w:szCs w:val="28"/>
        </w:rPr>
        <w:t>三率</w:t>
      </w:r>
      <w:r>
        <w:rPr>
          <w:rFonts w:ascii="Times New Roman" w:hAnsi="Times New Roman" w:eastAsia="仿宋" w:cs="Times New Roman"/>
          <w:sz w:val="28"/>
          <w:szCs w:val="28"/>
        </w:rPr>
        <w:t>”</w:t>
      </w:r>
      <w:r>
        <w:rPr>
          <w:rFonts w:hint="eastAsia" w:ascii="Times New Roman" w:hAnsi="Times New Roman" w:eastAsia="仿宋" w:cs="Times New Roman"/>
          <w:sz w:val="28"/>
          <w:szCs w:val="28"/>
        </w:rPr>
        <w:t>标准或经批准的开发利用方案</w:t>
      </w:r>
      <w:r>
        <w:rPr>
          <w:rFonts w:ascii="Times New Roman" w:hAnsi="Times New Roman" w:eastAsia="仿宋" w:cs="Times New Roman"/>
          <w:sz w:val="28"/>
          <w:szCs w:val="28"/>
        </w:rPr>
        <w:t>“</w:t>
      </w:r>
      <w:r>
        <w:rPr>
          <w:rFonts w:hint="eastAsia" w:ascii="Times New Roman" w:hAnsi="Times New Roman" w:eastAsia="仿宋" w:cs="Times New Roman"/>
          <w:sz w:val="28"/>
          <w:szCs w:val="28"/>
        </w:rPr>
        <w:t>三率</w:t>
      </w:r>
      <w:r>
        <w:rPr>
          <w:rFonts w:ascii="Times New Roman" w:hAnsi="Times New Roman" w:eastAsia="仿宋" w:cs="Times New Roman"/>
          <w:sz w:val="28"/>
          <w:szCs w:val="28"/>
        </w:rPr>
        <w:t>”</w:t>
      </w:r>
      <w:r>
        <w:rPr>
          <w:rFonts w:hint="eastAsia" w:ascii="Times New Roman" w:hAnsi="Times New Roman" w:eastAsia="仿宋" w:cs="Times New Roman"/>
          <w:sz w:val="28"/>
          <w:szCs w:val="28"/>
        </w:rPr>
        <w:t>要求进行建设，使之一生产就是</w:t>
      </w:r>
      <w:r>
        <w:rPr>
          <w:rFonts w:ascii="Times New Roman" w:hAnsi="Times New Roman" w:eastAsia="仿宋" w:cs="Times New Roman"/>
          <w:sz w:val="28"/>
          <w:szCs w:val="28"/>
        </w:rPr>
        <w:t>“</w:t>
      </w:r>
      <w:r>
        <w:rPr>
          <w:rFonts w:hint="eastAsia" w:ascii="Times New Roman" w:hAnsi="Times New Roman" w:eastAsia="仿宋" w:cs="Times New Roman"/>
          <w:sz w:val="28"/>
          <w:szCs w:val="28"/>
        </w:rPr>
        <w:t>三率</w:t>
      </w:r>
      <w:r>
        <w:rPr>
          <w:rFonts w:ascii="Times New Roman" w:hAnsi="Times New Roman" w:eastAsia="仿宋" w:cs="Times New Roman"/>
          <w:sz w:val="28"/>
          <w:szCs w:val="28"/>
        </w:rPr>
        <w:t>”</w:t>
      </w:r>
      <w:r>
        <w:rPr>
          <w:rFonts w:hint="eastAsia" w:ascii="Times New Roman" w:hAnsi="Times New Roman" w:eastAsia="仿宋" w:cs="Times New Roman"/>
          <w:sz w:val="28"/>
          <w:szCs w:val="28"/>
        </w:rPr>
        <w:t>达标矿山。</w:t>
      </w:r>
    </w:p>
    <w:p>
      <w:pPr>
        <w:spacing w:line="360" w:lineRule="auto"/>
        <w:ind w:firstLine="602" w:firstLineChars="200"/>
        <w:jc w:val="left"/>
        <w:outlineLvl w:val="2"/>
        <w:rPr>
          <w:rFonts w:ascii="仿宋_GB2312" w:hAnsi="Calibri" w:eastAsia="仿宋_GB2312" w:cs="Times New Roman"/>
          <w:b/>
          <w:kern w:val="0"/>
          <w:sz w:val="32"/>
        </w:rPr>
      </w:pPr>
      <w:bookmarkStart w:id="52" w:name="_Toc104389966"/>
      <w:r>
        <w:rPr>
          <w:rFonts w:hint="eastAsia" w:ascii="仿宋_GB2312" w:hAnsi="仿宋" w:eastAsia="仿宋_GB2312" w:cs="Times New Roman"/>
          <w:b/>
          <w:kern w:val="0"/>
          <w:sz w:val="30"/>
          <w:szCs w:val="30"/>
        </w:rPr>
        <w:t>三、发展矿业循环经济</w:t>
      </w:r>
      <w:bookmarkEnd w:id="52"/>
    </w:p>
    <w:p>
      <w:pPr>
        <w:spacing w:line="360" w:lineRule="auto"/>
        <w:ind w:firstLine="544" w:firstLineChars="200"/>
        <w:rPr>
          <w:rFonts w:ascii="仿宋" w:hAnsi="仿宋" w:eastAsia="仿宋" w:cs="Times New Roman"/>
          <w:kern w:val="0"/>
          <w:sz w:val="28"/>
          <w:szCs w:val="28"/>
        </w:rPr>
      </w:pPr>
      <w:r>
        <w:rPr>
          <w:rFonts w:ascii="仿宋" w:hAnsi="仿宋" w:eastAsia="仿宋" w:cs="Times New Roman"/>
          <w:spacing w:val="-4"/>
          <w:kern w:val="0"/>
          <w:sz w:val="28"/>
          <w:szCs w:val="28"/>
        </w:rPr>
        <w:t>按照“减量化、再利用、资源化”的原则，加大矿山企业发展矿产资源循环经济的支持力度。</w:t>
      </w:r>
      <w:r>
        <w:rPr>
          <w:rFonts w:hint="eastAsia" w:ascii="仿宋" w:hAnsi="仿宋" w:eastAsia="仿宋" w:cs="Times New Roman"/>
          <w:spacing w:val="-4"/>
          <w:kern w:val="0"/>
          <w:sz w:val="28"/>
          <w:szCs w:val="28"/>
        </w:rPr>
        <w:t>一是</w:t>
      </w:r>
      <w:r>
        <w:rPr>
          <w:rFonts w:ascii="仿宋" w:hAnsi="仿宋" w:eastAsia="仿宋" w:cs="Times New Roman"/>
          <w:spacing w:val="-4"/>
          <w:kern w:val="0"/>
          <w:sz w:val="28"/>
          <w:szCs w:val="28"/>
        </w:rPr>
        <w:t>鼓励矿山企业开展节能减排，引进先进技术和装备，淘汰落后设备和采选工艺，降低水、电和介质消耗，减少废物排放</w:t>
      </w:r>
      <w:r>
        <w:rPr>
          <w:rFonts w:hint="eastAsia" w:ascii="仿宋" w:hAnsi="仿宋" w:eastAsia="仿宋" w:cs="Times New Roman"/>
          <w:spacing w:val="-4"/>
          <w:kern w:val="0"/>
          <w:sz w:val="28"/>
          <w:szCs w:val="28"/>
        </w:rPr>
        <w:t>；二是鼓励矿山企业加强对废水、余热、余压的循环利用；三是</w:t>
      </w:r>
      <w:r>
        <w:rPr>
          <w:rFonts w:ascii="仿宋" w:hAnsi="仿宋" w:eastAsia="仿宋" w:cs="Times New Roman"/>
          <w:spacing w:val="-4"/>
          <w:kern w:val="0"/>
          <w:sz w:val="28"/>
          <w:szCs w:val="28"/>
        </w:rPr>
        <w:t>加强有色金属、稀贵金属等城市矿产二次资源的循环利用；</w:t>
      </w:r>
      <w:r>
        <w:rPr>
          <w:rFonts w:hint="eastAsia" w:ascii="仿宋" w:hAnsi="仿宋" w:eastAsia="仿宋" w:cs="Times New Roman"/>
          <w:spacing w:val="-4"/>
          <w:kern w:val="0"/>
          <w:sz w:val="28"/>
          <w:szCs w:val="28"/>
        </w:rPr>
        <w:t>四是</w:t>
      </w:r>
      <w:r>
        <w:rPr>
          <w:rFonts w:ascii="仿宋" w:hAnsi="仿宋" w:eastAsia="仿宋" w:cs="Times New Roman"/>
          <w:spacing w:val="-4"/>
          <w:kern w:val="0"/>
          <w:sz w:val="28"/>
          <w:szCs w:val="28"/>
        </w:rPr>
        <w:t>鼓励</w:t>
      </w:r>
      <w:r>
        <w:rPr>
          <w:rFonts w:hint="eastAsia" w:ascii="仿宋" w:hAnsi="仿宋" w:eastAsia="仿宋" w:cs="Times New Roman"/>
          <w:spacing w:val="-4"/>
          <w:kern w:val="0"/>
          <w:sz w:val="28"/>
          <w:szCs w:val="28"/>
        </w:rPr>
        <w:t>矿产品加工</w:t>
      </w:r>
      <w:r>
        <w:rPr>
          <w:rFonts w:ascii="仿宋" w:hAnsi="仿宋" w:eastAsia="仿宋" w:cs="Times New Roman"/>
          <w:spacing w:val="-4"/>
          <w:kern w:val="0"/>
          <w:sz w:val="28"/>
          <w:szCs w:val="28"/>
        </w:rPr>
        <w:t>企业开展</w:t>
      </w:r>
      <w:r>
        <w:rPr>
          <w:rFonts w:hint="eastAsia" w:ascii="仿宋" w:hAnsi="仿宋" w:eastAsia="仿宋" w:cs="Times New Roman"/>
          <w:spacing w:val="-4"/>
          <w:kern w:val="0"/>
          <w:sz w:val="28"/>
          <w:szCs w:val="28"/>
        </w:rPr>
        <w:t>建筑余土的</w:t>
      </w:r>
      <w:r>
        <w:rPr>
          <w:rFonts w:ascii="仿宋" w:hAnsi="仿宋" w:eastAsia="仿宋" w:cs="Times New Roman"/>
          <w:spacing w:val="-4"/>
          <w:kern w:val="0"/>
          <w:sz w:val="28"/>
          <w:szCs w:val="28"/>
        </w:rPr>
        <w:t>城市矿产二次资源的回收利用。</w:t>
      </w:r>
    </w:p>
    <w:p>
      <w:pPr>
        <w:spacing w:line="360" w:lineRule="auto"/>
        <w:ind w:firstLine="602" w:firstLineChars="200"/>
        <w:jc w:val="left"/>
        <w:outlineLvl w:val="2"/>
        <w:rPr>
          <w:rFonts w:ascii="仿宋_GB2312" w:hAnsi="仿宋" w:eastAsia="仿宋_GB2312" w:cs="Times New Roman"/>
          <w:b/>
          <w:kern w:val="0"/>
          <w:sz w:val="30"/>
          <w:szCs w:val="30"/>
        </w:rPr>
      </w:pPr>
      <w:bookmarkStart w:id="53" w:name="_Toc104389967"/>
      <w:r>
        <w:rPr>
          <w:rFonts w:hint="eastAsia" w:ascii="仿宋_GB2312" w:hAnsi="仿宋" w:eastAsia="仿宋_GB2312" w:cs="Times New Roman"/>
          <w:b/>
          <w:kern w:val="0"/>
          <w:sz w:val="30"/>
          <w:szCs w:val="30"/>
        </w:rPr>
        <w:t>四、</w:t>
      </w:r>
      <w:r>
        <w:rPr>
          <w:rFonts w:ascii="仿宋_GB2312" w:hAnsi="仿宋" w:eastAsia="仿宋_GB2312" w:cs="Times New Roman"/>
          <w:b/>
          <w:kern w:val="0"/>
          <w:sz w:val="30"/>
          <w:szCs w:val="30"/>
        </w:rPr>
        <w:t>发展矿业延伸产业</w:t>
      </w:r>
      <w:bookmarkEnd w:id="53"/>
    </w:p>
    <w:p>
      <w:pPr>
        <w:tabs>
          <w:tab w:val="left" w:pos="1063"/>
        </w:tabs>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充分利用南昌市特色的地热、矿泉水等矿产资源，发挥南昌市作为唯一与长三角、珠三角和闽东南三角区相毗邻的省会城市，具有承东启西、沟通南北的独特区位优势；同时作为“一带一路”的重要节点城市、带动全省发展的核心增长极、江西绿色崛起的“龙头”的中心城市地位优势。加大全市地热和浅层地温能的开发利用，发展医疗养生温泉产业和地源热泵供暖产业，推进地热水的综合利用，</w:t>
      </w:r>
      <w:r>
        <w:rPr>
          <w:rFonts w:hint="eastAsia" w:ascii="Times New Roman" w:hAnsi="Times New Roman" w:eastAsia="仿宋" w:cs="Times New Roman"/>
          <w:sz w:val="28"/>
          <w:szCs w:val="28"/>
        </w:rPr>
        <w:t>优选合适项目实施“示范工程”，通过热泵技术实现浅层地温能的开发利用。</w:t>
      </w:r>
      <w:r>
        <w:rPr>
          <w:rFonts w:ascii="Times New Roman" w:hAnsi="Times New Roman" w:eastAsia="仿宋" w:cs="Times New Roman"/>
          <w:sz w:val="28"/>
          <w:szCs w:val="28"/>
        </w:rPr>
        <w:t>鼓励矿泉水专业化、规模化开发，加强水源地取水-澄清除菌-洗瓶装瓶等工艺研究，大力促进品牌经营。</w:t>
      </w:r>
    </w:p>
    <w:p>
      <w:pPr>
        <w:tabs>
          <w:tab w:val="left" w:pos="1063"/>
        </w:tabs>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（一）</w:t>
      </w:r>
      <w:r>
        <w:rPr>
          <w:rFonts w:ascii="Times New Roman" w:hAnsi="Times New Roman" w:eastAsia="仿宋" w:cs="Times New Roman"/>
          <w:sz w:val="28"/>
          <w:szCs w:val="28"/>
        </w:rPr>
        <w:t>依托我省丰富的有色金属资源优势，着力提升钢铁、铜、铝等精深加工水平，建设全国重要的特优钢材、有色金属和铝型材生产基地。</w:t>
      </w:r>
    </w:p>
    <w:p>
      <w:pPr>
        <w:tabs>
          <w:tab w:val="left" w:pos="1063"/>
        </w:tabs>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（二）</w:t>
      </w:r>
      <w:r>
        <w:rPr>
          <w:rFonts w:ascii="Times New Roman" w:hAnsi="Times New Roman" w:eastAsia="仿宋" w:cs="Times New Roman"/>
          <w:sz w:val="28"/>
          <w:szCs w:val="28"/>
        </w:rPr>
        <w:t>鼓励发展新型墙体材料等建筑材料；加快供给侧改革，淘汰落后生产线，提高产品质量；加强区域合作，提高资源保障程度。</w:t>
      </w:r>
    </w:p>
    <w:p>
      <w:pPr>
        <w:tabs>
          <w:tab w:val="left" w:pos="1063"/>
        </w:tabs>
        <w:spacing w:line="360" w:lineRule="auto"/>
        <w:ind w:firstLine="560" w:firstLineChars="200"/>
        <w:rPr>
          <w:rFonts w:ascii="仿宋" w:hAnsi="仿宋" w:eastAsia="仿宋" w:cs="Times New Roman"/>
          <w:kern w:val="0"/>
          <w:sz w:val="28"/>
          <w:szCs w:val="28"/>
        </w:rPr>
      </w:pPr>
      <w:r>
        <w:rPr>
          <w:rFonts w:hint="eastAsia" w:ascii="Times New Roman" w:hAnsi="Times New Roman" w:eastAsia="仿宋" w:cs="Times New Roman"/>
          <w:sz w:val="28"/>
          <w:szCs w:val="28"/>
        </w:rPr>
        <w:t>（三）依托南昌科研创新平台，产学研相结合，促进我省矿业产业链延伸，提高矿产品技术含量、附加值和竞争力。一是</w:t>
      </w:r>
      <w:r>
        <w:rPr>
          <w:rFonts w:hint="eastAsia" w:ascii="仿宋" w:hAnsi="仿宋" w:eastAsia="仿宋" w:cs="Times New Roman"/>
          <w:spacing w:val="-4"/>
          <w:kern w:val="0"/>
          <w:sz w:val="28"/>
          <w:szCs w:val="28"/>
        </w:rPr>
        <w:t>依托南昌高新技术产业开发区的江铜产业园区</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以新产品研发为主导</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建成铜精深加工及引领全国铜产业科技进步的研发基地及科技成果发布中心。二是重点发展钨精深加工产业和产学研相结合的科技创新研发平台。三是</w:t>
      </w:r>
      <w:r>
        <w:rPr>
          <w:rFonts w:hint="eastAsia" w:ascii="Times New Roman" w:hAnsi="Times New Roman" w:eastAsia="仿宋" w:cs="Times New Roman"/>
          <w:sz w:val="28"/>
          <w:szCs w:val="28"/>
        </w:rPr>
        <w:t>支持南昌建成全省机制砂产业研发中心。</w:t>
      </w:r>
    </w:p>
    <w:p>
      <w:pPr>
        <w:spacing w:before="156" w:beforeLines="50" w:after="156" w:afterLines="50" w:line="360" w:lineRule="auto"/>
        <w:jc w:val="center"/>
        <w:outlineLvl w:val="1"/>
        <w:rPr>
          <w:rFonts w:ascii="Calibri" w:hAnsi="Calibri" w:eastAsia="宋体" w:cs="Times New Roman"/>
          <w:kern w:val="0"/>
          <w:sz w:val="22"/>
        </w:rPr>
      </w:pPr>
      <w:bookmarkStart w:id="54" w:name="_Toc104389968"/>
      <w:r>
        <w:rPr>
          <w:rFonts w:ascii="仿宋_GB2312" w:hAnsi="Calibri" w:eastAsia="仿宋_GB2312" w:cs="Times New Roman"/>
          <w:b/>
          <w:kern w:val="0"/>
          <w:sz w:val="32"/>
        </w:rPr>
        <w:t>第</w:t>
      </w:r>
      <w:r>
        <w:rPr>
          <w:rFonts w:hint="eastAsia" w:ascii="仿宋_GB2312" w:hAnsi="Calibri" w:eastAsia="仿宋_GB2312" w:cs="Times New Roman"/>
          <w:b/>
          <w:kern w:val="0"/>
          <w:sz w:val="32"/>
        </w:rPr>
        <w:t>二</w:t>
      </w:r>
      <w:r>
        <w:rPr>
          <w:rFonts w:ascii="仿宋_GB2312" w:hAnsi="Calibri" w:eastAsia="仿宋_GB2312" w:cs="Times New Roman"/>
          <w:b/>
          <w:kern w:val="0"/>
          <w:sz w:val="32"/>
        </w:rPr>
        <w:t>节</w:t>
      </w:r>
      <w:r>
        <w:rPr>
          <w:rFonts w:hint="eastAsia" w:ascii="仿宋_GB2312" w:hAnsi="Calibri" w:eastAsia="仿宋_GB2312" w:cs="Times New Roman"/>
          <w:b/>
          <w:kern w:val="0"/>
          <w:sz w:val="32"/>
        </w:rPr>
        <w:t xml:space="preserve"> </w:t>
      </w:r>
      <w:r>
        <w:rPr>
          <w:rFonts w:ascii="仿宋_GB2312" w:hAnsi="Calibri" w:eastAsia="仿宋_GB2312" w:cs="Times New Roman"/>
          <w:b/>
          <w:kern w:val="0"/>
          <w:sz w:val="32"/>
        </w:rPr>
        <w:t xml:space="preserve"> 绿色矿</w:t>
      </w:r>
      <w:r>
        <w:rPr>
          <w:rFonts w:hint="eastAsia" w:ascii="仿宋_GB2312" w:hAnsi="Calibri" w:eastAsia="仿宋_GB2312" w:cs="Times New Roman"/>
          <w:b/>
          <w:kern w:val="0"/>
          <w:sz w:val="32"/>
        </w:rPr>
        <w:t>业发展</w:t>
      </w:r>
      <w:bookmarkEnd w:id="54"/>
    </w:p>
    <w:p>
      <w:pPr>
        <w:spacing w:line="360" w:lineRule="auto"/>
        <w:ind w:firstLine="602" w:firstLineChars="200"/>
        <w:jc w:val="left"/>
        <w:outlineLvl w:val="2"/>
        <w:rPr>
          <w:rFonts w:ascii="仿宋" w:hAnsi="仿宋" w:eastAsia="仿宋" w:cs="Times New Roman"/>
          <w:spacing w:val="-6"/>
          <w:w w:val="99"/>
          <w:kern w:val="0"/>
          <w:sz w:val="28"/>
          <w:szCs w:val="28"/>
        </w:rPr>
      </w:pPr>
      <w:bookmarkStart w:id="55" w:name="_Toc104389969"/>
      <w:r>
        <w:rPr>
          <w:rFonts w:ascii="仿宋_GB2312" w:hAnsi="仿宋" w:eastAsia="仿宋_GB2312" w:cs="Times New Roman"/>
          <w:b/>
          <w:kern w:val="0"/>
          <w:sz w:val="30"/>
          <w:szCs w:val="30"/>
        </w:rPr>
        <w:t>一、加快绿色矿业发展</w:t>
      </w:r>
      <w:bookmarkEnd w:id="55"/>
    </w:p>
    <w:p>
      <w:pPr>
        <w:spacing w:line="360" w:lineRule="auto"/>
        <w:ind w:firstLine="544" w:firstLineChars="200"/>
        <w:rPr>
          <w:rFonts w:ascii="仿宋" w:hAnsi="仿宋" w:eastAsia="仿宋" w:cs="Times New Roman"/>
          <w:kern w:val="0"/>
          <w:sz w:val="28"/>
          <w:szCs w:val="28"/>
        </w:rPr>
      </w:pPr>
      <w:r>
        <w:rPr>
          <w:rFonts w:ascii="仿宋" w:hAnsi="仿宋" w:eastAsia="仿宋" w:cs="Times New Roman"/>
          <w:spacing w:val="-4"/>
          <w:kern w:val="0"/>
          <w:sz w:val="28"/>
          <w:szCs w:val="28"/>
        </w:rPr>
        <w:t>围绕本</w:t>
      </w:r>
      <w:r>
        <w:rPr>
          <w:rFonts w:hint="eastAsia" w:ascii="仿宋" w:hAnsi="仿宋" w:eastAsia="仿宋" w:cs="Times New Roman"/>
          <w:spacing w:val="-4"/>
          <w:kern w:val="0"/>
          <w:sz w:val="28"/>
          <w:szCs w:val="28"/>
        </w:rPr>
        <w:t>市</w:t>
      </w:r>
      <w:r>
        <w:rPr>
          <w:rFonts w:ascii="仿宋" w:hAnsi="仿宋" w:eastAsia="仿宋" w:cs="Times New Roman"/>
          <w:spacing w:val="-4"/>
          <w:kern w:val="0"/>
          <w:sz w:val="28"/>
          <w:szCs w:val="28"/>
        </w:rPr>
        <w:t>绿色矿业发展目标，依据区内矿山开发利用实际情况，从矿区环境、资源开发方式、资源综合利用、节能减排、科技</w:t>
      </w:r>
      <w:r>
        <w:rPr>
          <w:rFonts w:ascii="仿宋" w:hAnsi="仿宋" w:eastAsia="仿宋" w:cs="Times New Roman"/>
          <w:spacing w:val="-6"/>
          <w:kern w:val="0"/>
          <w:sz w:val="28"/>
          <w:szCs w:val="28"/>
        </w:rPr>
        <w:t>创新与智能矿山、企业管理与企业形象等方面，加快绿色矿业发展。</w:t>
      </w:r>
    </w:p>
    <w:p>
      <w:pPr>
        <w:spacing w:line="360" w:lineRule="auto"/>
        <w:ind w:firstLine="544" w:firstLineChars="200"/>
        <w:outlineLvl w:val="3"/>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（一）</w:t>
      </w:r>
      <w:r>
        <w:rPr>
          <w:rFonts w:ascii="仿宋" w:hAnsi="仿宋" w:eastAsia="仿宋" w:cs="Times New Roman"/>
          <w:spacing w:val="-4"/>
          <w:kern w:val="0"/>
          <w:sz w:val="28"/>
          <w:szCs w:val="28"/>
        </w:rPr>
        <w:t>生产矿山</w:t>
      </w:r>
    </w:p>
    <w:p>
      <w:pPr>
        <w:spacing w:line="360" w:lineRule="auto"/>
        <w:ind w:firstLine="544" w:firstLineChars="200"/>
        <w:rPr>
          <w:rFonts w:ascii="仿宋" w:hAnsi="仿宋" w:eastAsia="仿宋" w:cs="Times New Roman"/>
          <w:kern w:val="0"/>
          <w:sz w:val="28"/>
          <w:szCs w:val="28"/>
        </w:rPr>
      </w:pPr>
      <w:r>
        <w:rPr>
          <w:rFonts w:hint="eastAsia" w:ascii="仿宋" w:hAnsi="仿宋" w:eastAsia="仿宋" w:cs="Times New Roman"/>
          <w:spacing w:val="-4"/>
          <w:kern w:val="0"/>
          <w:sz w:val="28"/>
          <w:szCs w:val="28"/>
        </w:rPr>
        <w:t>2</w:t>
      </w:r>
      <w:r>
        <w:rPr>
          <w:rFonts w:ascii="仿宋" w:hAnsi="仿宋" w:eastAsia="仿宋" w:cs="Times New Roman"/>
          <w:spacing w:val="-4"/>
          <w:kern w:val="0"/>
          <w:sz w:val="28"/>
          <w:szCs w:val="28"/>
        </w:rPr>
        <w:t>020</w:t>
      </w:r>
      <w:r>
        <w:rPr>
          <w:rFonts w:hint="eastAsia" w:ascii="仿宋" w:hAnsi="仿宋" w:eastAsia="仿宋" w:cs="Times New Roman"/>
          <w:spacing w:val="-4"/>
          <w:kern w:val="0"/>
          <w:sz w:val="28"/>
          <w:szCs w:val="28"/>
        </w:rPr>
        <w:t>年，南昌市仅</w:t>
      </w:r>
      <w:r>
        <w:rPr>
          <w:rFonts w:hint="eastAsia" w:ascii="仿宋" w:hAnsi="仿宋" w:eastAsia="仿宋" w:cs="Times New Roman"/>
          <w:spacing w:val="-8"/>
          <w:kern w:val="0"/>
          <w:sz w:val="28"/>
          <w:szCs w:val="28"/>
        </w:rPr>
        <w:t>有</w:t>
      </w:r>
      <w:r>
        <w:rPr>
          <w:rFonts w:ascii="仿宋" w:hAnsi="仿宋" w:eastAsia="仿宋" w:cs="Times New Roman"/>
          <w:spacing w:val="-8"/>
          <w:kern w:val="0"/>
          <w:sz w:val="28"/>
          <w:szCs w:val="28"/>
        </w:rPr>
        <w:t>县级发证的砂石土类矿山</w:t>
      </w:r>
      <w:r>
        <w:rPr>
          <w:rFonts w:hint="eastAsia" w:ascii="仿宋" w:hAnsi="仿宋" w:eastAsia="仿宋" w:cs="Times New Roman"/>
          <w:spacing w:val="-8"/>
          <w:kern w:val="0"/>
          <w:sz w:val="28"/>
          <w:szCs w:val="28"/>
        </w:rPr>
        <w:t>。原则上中型规模以上生产矿山要按绿色矿山建设标准进行建设改造；小型矿山能建则建；绿色矿山创建条件不足的矿山应按</w:t>
      </w:r>
      <w:r>
        <w:rPr>
          <w:rFonts w:ascii="仿宋" w:hAnsi="仿宋" w:eastAsia="仿宋" w:cs="Times New Roman"/>
          <w:spacing w:val="-8"/>
          <w:kern w:val="0"/>
          <w:sz w:val="28"/>
          <w:szCs w:val="28"/>
        </w:rPr>
        <w:t>照</w:t>
      </w:r>
      <w:r>
        <w:rPr>
          <w:rFonts w:ascii="Times New Roman" w:hAnsi="Times New Roman" w:eastAsia="Times New Roman" w:cs="Times New Roman"/>
          <w:spacing w:val="-8"/>
          <w:kern w:val="0"/>
          <w:sz w:val="28"/>
          <w:szCs w:val="28"/>
        </w:rPr>
        <w:t>“</w:t>
      </w:r>
      <w:r>
        <w:rPr>
          <w:rFonts w:ascii="仿宋" w:hAnsi="仿宋" w:eastAsia="仿宋" w:cs="Times New Roman"/>
          <w:spacing w:val="-8"/>
          <w:kern w:val="0"/>
          <w:sz w:val="28"/>
          <w:szCs w:val="28"/>
        </w:rPr>
        <w:t>开</w:t>
      </w:r>
      <w:r>
        <w:rPr>
          <w:rFonts w:ascii="仿宋" w:hAnsi="仿宋" w:eastAsia="仿宋" w:cs="Times New Roman"/>
          <w:spacing w:val="-6"/>
          <w:kern w:val="0"/>
          <w:sz w:val="28"/>
          <w:szCs w:val="28"/>
        </w:rPr>
        <w:t>采一片、复绿一片</w:t>
      </w:r>
      <w:r>
        <w:rPr>
          <w:rFonts w:ascii="Times New Roman" w:hAnsi="Times New Roman" w:eastAsia="Times New Roman" w:cs="Times New Roman"/>
          <w:spacing w:val="-6"/>
          <w:kern w:val="0"/>
          <w:sz w:val="28"/>
          <w:szCs w:val="28"/>
        </w:rPr>
        <w:t>”</w:t>
      </w:r>
      <w:r>
        <w:rPr>
          <w:rFonts w:ascii="仿宋" w:hAnsi="仿宋" w:eastAsia="仿宋" w:cs="Times New Roman"/>
          <w:spacing w:val="-6"/>
          <w:kern w:val="0"/>
          <w:sz w:val="28"/>
          <w:szCs w:val="28"/>
        </w:rPr>
        <w:t>的原则，实施分块集中开采，</w:t>
      </w:r>
      <w:r>
        <w:rPr>
          <w:rFonts w:ascii="仿宋" w:hAnsi="仿宋" w:eastAsia="仿宋" w:cs="Times New Roman"/>
          <w:spacing w:val="-4"/>
          <w:kern w:val="0"/>
          <w:sz w:val="28"/>
          <w:szCs w:val="28"/>
        </w:rPr>
        <w:t>努力</w:t>
      </w:r>
      <w:r>
        <w:rPr>
          <w:rFonts w:hint="eastAsia" w:ascii="仿宋" w:hAnsi="仿宋" w:eastAsia="仿宋" w:cs="Times New Roman"/>
          <w:spacing w:val="-8"/>
          <w:kern w:val="0"/>
          <w:sz w:val="28"/>
          <w:szCs w:val="28"/>
        </w:rPr>
        <w:t>按绿色开采要求进行开采</w:t>
      </w:r>
      <w:r>
        <w:rPr>
          <w:rFonts w:ascii="仿宋" w:hAnsi="仿宋" w:eastAsia="仿宋" w:cs="Times New Roman"/>
          <w:spacing w:val="-6"/>
          <w:kern w:val="0"/>
          <w:sz w:val="28"/>
          <w:szCs w:val="28"/>
        </w:rPr>
        <w:t>。</w:t>
      </w:r>
    </w:p>
    <w:p>
      <w:pPr>
        <w:spacing w:line="360" w:lineRule="auto"/>
        <w:ind w:firstLine="544" w:firstLineChars="200"/>
        <w:outlineLvl w:val="3"/>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（二）</w:t>
      </w:r>
      <w:r>
        <w:rPr>
          <w:rFonts w:ascii="仿宋" w:hAnsi="仿宋" w:eastAsia="仿宋" w:cs="Times New Roman"/>
          <w:spacing w:val="-4"/>
          <w:kern w:val="0"/>
          <w:sz w:val="28"/>
          <w:szCs w:val="28"/>
        </w:rPr>
        <w:t>新建矿山</w:t>
      </w:r>
    </w:p>
    <w:p>
      <w:pPr>
        <w:spacing w:line="360" w:lineRule="auto"/>
        <w:ind w:firstLine="552" w:firstLineChars="200"/>
        <w:rPr>
          <w:rFonts w:ascii="仿宋" w:hAnsi="仿宋" w:eastAsia="仿宋" w:cs="Times New Roman"/>
          <w:spacing w:val="-6"/>
          <w:kern w:val="0"/>
          <w:sz w:val="28"/>
          <w:szCs w:val="28"/>
        </w:rPr>
      </w:pPr>
      <w:r>
        <w:rPr>
          <w:rFonts w:ascii="仿宋" w:hAnsi="仿宋" w:eastAsia="仿宋" w:cs="Times New Roman"/>
          <w:spacing w:val="-2"/>
          <w:kern w:val="0"/>
          <w:sz w:val="28"/>
          <w:szCs w:val="28"/>
        </w:rPr>
        <w:t>按照</w:t>
      </w:r>
      <w:r>
        <w:rPr>
          <w:rFonts w:hint="eastAsia" w:ascii="仿宋" w:hAnsi="仿宋" w:eastAsia="仿宋" w:cs="Times New Roman"/>
          <w:spacing w:val="-2"/>
          <w:kern w:val="0"/>
          <w:sz w:val="28"/>
          <w:szCs w:val="28"/>
        </w:rPr>
        <w:t>省厅</w:t>
      </w:r>
      <w:r>
        <w:rPr>
          <w:rFonts w:ascii="仿宋" w:hAnsi="仿宋" w:eastAsia="仿宋" w:cs="Times New Roman"/>
          <w:spacing w:val="-2"/>
          <w:kern w:val="0"/>
          <w:sz w:val="28"/>
          <w:szCs w:val="28"/>
        </w:rPr>
        <w:t>统一部署</w:t>
      </w:r>
      <w:r>
        <w:rPr>
          <w:rFonts w:ascii="仿宋" w:hAnsi="仿宋" w:eastAsia="仿宋" w:cs="Times New Roman"/>
          <w:spacing w:val="-6"/>
          <w:kern w:val="0"/>
          <w:sz w:val="28"/>
          <w:szCs w:val="28"/>
        </w:rPr>
        <w:t>，</w:t>
      </w:r>
      <w:r>
        <w:rPr>
          <w:rFonts w:hint="eastAsia" w:ascii="仿宋" w:hAnsi="仿宋" w:eastAsia="仿宋" w:cs="Times New Roman"/>
          <w:spacing w:val="-6"/>
          <w:kern w:val="0"/>
          <w:sz w:val="28"/>
          <w:szCs w:val="28"/>
        </w:rPr>
        <w:t>全面</w:t>
      </w:r>
      <w:r>
        <w:rPr>
          <w:rFonts w:ascii="仿宋" w:hAnsi="仿宋" w:eastAsia="仿宋" w:cs="Times New Roman"/>
          <w:spacing w:val="-2"/>
          <w:kern w:val="0"/>
          <w:sz w:val="28"/>
          <w:szCs w:val="28"/>
        </w:rPr>
        <w:t>贯彻执行绿色矿山标准体系</w:t>
      </w:r>
      <w:r>
        <w:rPr>
          <w:rFonts w:ascii="仿宋" w:hAnsi="仿宋" w:eastAsia="仿宋" w:cs="Times New Roman"/>
          <w:spacing w:val="-6"/>
          <w:kern w:val="0"/>
          <w:sz w:val="28"/>
          <w:szCs w:val="28"/>
        </w:rPr>
        <w:t>，将建设绿色矿山的要求贯穿于新建矿山规划、设计、建设、运营、闭坑全过程。</w:t>
      </w:r>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原则上新建矿山应在基建期同步按绿色矿山标准建设，正式投产后一年内通过绿色矿山建设第三方评估验收。</w:t>
      </w:r>
    </w:p>
    <w:p>
      <w:pPr>
        <w:spacing w:line="360" w:lineRule="auto"/>
        <w:ind w:firstLine="602" w:firstLineChars="200"/>
        <w:jc w:val="left"/>
        <w:outlineLvl w:val="2"/>
        <w:rPr>
          <w:rFonts w:ascii="仿宋_GB2312" w:hAnsi="仿宋" w:eastAsia="仿宋_GB2312" w:cs="Times New Roman"/>
          <w:b/>
          <w:kern w:val="0"/>
          <w:sz w:val="30"/>
          <w:szCs w:val="30"/>
        </w:rPr>
      </w:pPr>
      <w:bookmarkStart w:id="56" w:name="_Toc104389970"/>
      <w:r>
        <w:rPr>
          <w:rFonts w:hint="eastAsia" w:ascii="仿宋_GB2312" w:hAnsi="仿宋" w:eastAsia="仿宋_GB2312" w:cs="Times New Roman"/>
          <w:b/>
          <w:kern w:val="0"/>
          <w:sz w:val="30"/>
          <w:szCs w:val="30"/>
        </w:rPr>
        <w:t>二、</w:t>
      </w:r>
      <w:bookmarkStart w:id="57" w:name="_Toc79070494"/>
      <w:r>
        <w:rPr>
          <w:rFonts w:hint="eastAsia" w:ascii="仿宋_GB2312" w:hAnsi="仿宋" w:eastAsia="仿宋_GB2312" w:cs="Times New Roman"/>
          <w:b/>
          <w:kern w:val="0"/>
          <w:sz w:val="30"/>
          <w:szCs w:val="30"/>
        </w:rPr>
        <w:t>绿色矿山建设管理</w:t>
      </w:r>
      <w:bookmarkEnd w:id="56"/>
      <w:bookmarkEnd w:id="57"/>
    </w:p>
    <w:p>
      <w:pPr>
        <w:spacing w:line="360" w:lineRule="auto"/>
        <w:ind w:firstLine="538" w:firstLineChars="200"/>
        <w:rPr>
          <w:rFonts w:ascii="仿宋" w:hAnsi="仿宋" w:eastAsia="仿宋" w:cs="Times New Roman"/>
          <w:spacing w:val="-6"/>
          <w:kern w:val="0"/>
          <w:sz w:val="28"/>
          <w:szCs w:val="28"/>
        </w:rPr>
      </w:pPr>
      <w:r>
        <w:rPr>
          <w:rFonts w:hint="eastAsia" w:ascii="仿宋" w:hAnsi="仿宋" w:eastAsia="仿宋" w:cs="Times New Roman"/>
          <w:b/>
          <w:spacing w:val="-6"/>
          <w:kern w:val="0"/>
          <w:sz w:val="28"/>
          <w:szCs w:val="28"/>
        </w:rPr>
        <w:t>全面推进绿色矿山建设。</w:t>
      </w:r>
      <w:r>
        <w:rPr>
          <w:rFonts w:hint="eastAsia" w:ascii="仿宋" w:hAnsi="仿宋" w:eastAsia="仿宋" w:cs="Times New Roman"/>
          <w:bCs/>
          <w:spacing w:val="-6"/>
          <w:kern w:val="0"/>
          <w:sz w:val="28"/>
          <w:szCs w:val="28"/>
        </w:rPr>
        <w:t>市、县（区）自然资源主管部门在出让采矿权时应将绿色矿山建设要求、建成具体时间、未建成违约责任等内容在采矿权出让公告和采矿权出让合同中予以明确；新建矿山正式投产后一年内原则上须通过绿色矿山验收评估；探索建立政府主导、部门联动、齐抓共管的绿色矿山创建机制</w:t>
      </w:r>
      <w:bookmarkStart w:id="58" w:name="_Hlk73088809"/>
      <w:r>
        <w:rPr>
          <w:rFonts w:hint="eastAsia" w:ascii="仿宋" w:hAnsi="仿宋" w:eastAsia="仿宋" w:cs="Times New Roman"/>
          <w:bCs/>
          <w:spacing w:val="-6"/>
          <w:kern w:val="0"/>
          <w:sz w:val="28"/>
          <w:szCs w:val="28"/>
        </w:rPr>
        <w:t>，保障绿色矿山建设用地、用林需求，</w:t>
      </w:r>
      <w:bookmarkStart w:id="59" w:name="_Hlk73089058"/>
      <w:r>
        <w:rPr>
          <w:rFonts w:hint="eastAsia" w:ascii="仿宋" w:hAnsi="仿宋" w:eastAsia="仿宋" w:cs="Times New Roman"/>
          <w:bCs/>
          <w:spacing w:val="-6"/>
          <w:kern w:val="0"/>
          <w:sz w:val="28"/>
          <w:szCs w:val="28"/>
        </w:rPr>
        <w:t>在</w:t>
      </w:r>
      <w:r>
        <w:rPr>
          <w:rFonts w:hint="eastAsia" w:ascii="仿宋" w:hAnsi="仿宋" w:eastAsia="仿宋" w:cs="Times New Roman"/>
          <w:spacing w:val="-6"/>
          <w:kern w:val="0"/>
          <w:sz w:val="28"/>
          <w:szCs w:val="28"/>
        </w:rPr>
        <w:t>资源配置、</w:t>
      </w:r>
      <w:r>
        <w:rPr>
          <w:rFonts w:ascii="仿宋" w:hAnsi="仿宋" w:eastAsia="仿宋" w:cs="Times New Roman"/>
          <w:spacing w:val="-6"/>
          <w:kern w:val="0"/>
          <w:sz w:val="28"/>
          <w:szCs w:val="28"/>
        </w:rPr>
        <w:t>总量调控</w:t>
      </w:r>
      <w:r>
        <w:rPr>
          <w:rFonts w:hint="eastAsia" w:ascii="仿宋" w:hAnsi="仿宋" w:eastAsia="仿宋" w:cs="Times New Roman"/>
          <w:spacing w:val="-6"/>
          <w:kern w:val="0"/>
          <w:sz w:val="28"/>
          <w:szCs w:val="28"/>
        </w:rPr>
        <w:t>、财政优惠等方面出台并落实激励政策，积极落实相关税收优惠政策，制定奖惩制度</w:t>
      </w:r>
      <w:bookmarkEnd w:id="58"/>
      <w:bookmarkEnd w:id="59"/>
      <w:bookmarkStart w:id="60" w:name="_Hlk73089086"/>
      <w:r>
        <w:rPr>
          <w:rFonts w:hint="eastAsia" w:ascii="仿宋" w:hAnsi="仿宋" w:eastAsia="仿宋" w:cs="Times New Roman"/>
          <w:spacing w:val="-6"/>
          <w:kern w:val="0"/>
          <w:sz w:val="28"/>
          <w:szCs w:val="28"/>
        </w:rPr>
        <w:t>；建立绿色矿山动态巡查制度，县级主管部门负责日常监督管理。</w:t>
      </w:r>
      <w:bookmarkEnd w:id="60"/>
    </w:p>
    <w:p>
      <w:pPr>
        <w:spacing w:line="360" w:lineRule="auto"/>
        <w:ind w:firstLine="538" w:firstLineChars="200"/>
        <w:rPr>
          <w:rFonts w:ascii="仿宋" w:hAnsi="仿宋" w:eastAsia="仿宋" w:cs="Times New Roman"/>
          <w:spacing w:val="-6"/>
          <w:kern w:val="0"/>
          <w:sz w:val="28"/>
          <w:szCs w:val="28"/>
        </w:rPr>
      </w:pPr>
      <w:r>
        <w:rPr>
          <w:rFonts w:hint="eastAsia" w:ascii="仿宋" w:hAnsi="仿宋" w:eastAsia="仿宋" w:cs="Times New Roman"/>
          <w:b/>
          <w:bCs/>
          <w:spacing w:val="-6"/>
          <w:kern w:val="0"/>
          <w:sz w:val="28"/>
          <w:szCs w:val="28"/>
        </w:rPr>
        <w:t>持续加强宣传培训力度</w:t>
      </w:r>
      <w:r>
        <w:rPr>
          <w:rFonts w:ascii="仿宋" w:hAnsi="仿宋" w:eastAsia="仿宋" w:cs="Times New Roman"/>
          <w:b/>
          <w:spacing w:val="-6"/>
          <w:kern w:val="0"/>
          <w:sz w:val="28"/>
          <w:szCs w:val="28"/>
        </w:rPr>
        <w:t>。</w:t>
      </w:r>
      <w:r>
        <w:rPr>
          <w:rFonts w:hint="eastAsia" w:ascii="仿宋" w:hAnsi="仿宋" w:eastAsia="仿宋" w:cs="Times New Roman"/>
          <w:spacing w:val="-6"/>
          <w:kern w:val="0"/>
          <w:sz w:val="28"/>
          <w:szCs w:val="28"/>
        </w:rPr>
        <w:t>加强绿色矿山培训，宣传绿色矿山政策法规、建设经验与方法，增强矿山企业绿色发展意识，提高绿色矿山建设水平。</w:t>
      </w:r>
    </w:p>
    <w:p>
      <w:pPr>
        <w:spacing w:line="360" w:lineRule="auto"/>
        <w:ind w:firstLine="538" w:firstLineChars="200"/>
        <w:rPr>
          <w:rFonts w:ascii="仿宋" w:hAnsi="仿宋" w:eastAsia="仿宋" w:cs="Times New Roman"/>
          <w:spacing w:val="-6"/>
          <w:kern w:val="0"/>
          <w:sz w:val="28"/>
          <w:szCs w:val="28"/>
        </w:rPr>
      </w:pPr>
      <w:r>
        <w:rPr>
          <w:rFonts w:hint="eastAsia" w:ascii="仿宋" w:hAnsi="仿宋" w:eastAsia="仿宋" w:cs="Times New Roman"/>
          <w:b/>
          <w:spacing w:val="-6"/>
          <w:kern w:val="0"/>
          <w:sz w:val="28"/>
          <w:szCs w:val="28"/>
        </w:rPr>
        <w:t>提升绿色矿山管理水平</w:t>
      </w:r>
      <w:r>
        <w:rPr>
          <w:rFonts w:ascii="仿宋" w:hAnsi="仿宋" w:eastAsia="仿宋" w:cs="Times New Roman"/>
          <w:b/>
          <w:spacing w:val="-6"/>
          <w:kern w:val="0"/>
          <w:sz w:val="28"/>
          <w:szCs w:val="28"/>
        </w:rPr>
        <w:t>。</w:t>
      </w:r>
      <w:r>
        <w:rPr>
          <w:rFonts w:hint="eastAsia" w:ascii="仿宋" w:hAnsi="仿宋" w:eastAsia="仿宋" w:cs="Times New Roman"/>
          <w:spacing w:val="-6"/>
          <w:kern w:val="0"/>
          <w:sz w:val="28"/>
          <w:szCs w:val="28"/>
        </w:rPr>
        <w:t>建立市级绿色矿山名录动态管理机制，严格执行名录移入移出条件。针对各类矿产资源开发利用特点，结合本地实际：合理制定绿色矿山创建计划，积极引导矿山企业创建绿色矿山；建立协调机制，明确各部门责任，共同推进；建立年度绿色矿山创建进展动态管理制度；严选第三方评估机构，完善绿色矿山第三方评估管理办法，建立规范的第三方评估机制。</w:t>
      </w:r>
    </w:p>
    <w:p>
      <w:pPr>
        <w:spacing w:line="360" w:lineRule="auto"/>
        <w:ind w:firstLine="538" w:firstLineChars="200"/>
        <w:rPr>
          <w:rFonts w:ascii="仿宋" w:hAnsi="仿宋" w:eastAsia="仿宋" w:cs="Times New Roman"/>
          <w:kern w:val="0"/>
          <w:sz w:val="28"/>
          <w:szCs w:val="28"/>
        </w:rPr>
      </w:pPr>
      <w:r>
        <w:rPr>
          <w:rFonts w:hint="eastAsia" w:ascii="仿宋" w:hAnsi="仿宋" w:eastAsia="仿宋" w:cs="Times New Roman"/>
          <w:b/>
          <w:bCs/>
          <w:spacing w:val="-6"/>
          <w:kern w:val="0"/>
          <w:sz w:val="28"/>
          <w:szCs w:val="28"/>
        </w:rPr>
        <w:t>切实强化政策支持力度</w:t>
      </w:r>
      <w:r>
        <w:rPr>
          <w:rFonts w:ascii="仿宋" w:hAnsi="仿宋" w:eastAsia="仿宋" w:cs="Times New Roman"/>
          <w:b/>
          <w:spacing w:val="-6"/>
          <w:kern w:val="0"/>
          <w:sz w:val="28"/>
          <w:szCs w:val="28"/>
        </w:rPr>
        <w:t>。</w:t>
      </w:r>
      <w:r>
        <w:rPr>
          <w:rFonts w:hint="eastAsia" w:ascii="仿宋" w:hAnsi="仿宋" w:eastAsia="仿宋" w:cs="Times New Roman"/>
          <w:spacing w:val="-6"/>
          <w:kern w:val="0"/>
          <w:sz w:val="28"/>
          <w:szCs w:val="28"/>
        </w:rPr>
        <w:t>对实行总量调控矿种的开采指标、矿业权投放，符合产业政策和矿山发展规划的，优先向绿色矿山安排。在土地、林地利用年度计划中优先保障新建、改扩建绿色矿山的合理新增建设用地、用林需求，降低绿色矿山用地、用林成本。积极落实财政税收优惠政策，鼓励银行业金融机构研发绿色矿山特色信贷产品，加大对绿色矿山建设的资金支持力度。支持政府性融资担保机构为绿色矿山企业和项目提供增信服务。</w:t>
      </w:r>
    </w:p>
    <w:p>
      <w:pPr>
        <w:spacing w:before="156" w:beforeLines="50" w:after="156" w:afterLines="50" w:line="360" w:lineRule="auto"/>
        <w:jc w:val="center"/>
        <w:outlineLvl w:val="1"/>
        <w:rPr>
          <w:rFonts w:ascii="仿宋_GB2312" w:hAnsi="Calibri" w:eastAsia="仿宋_GB2312" w:cs="Times New Roman"/>
          <w:b/>
          <w:kern w:val="0"/>
          <w:sz w:val="32"/>
        </w:rPr>
      </w:pPr>
      <w:bookmarkStart w:id="61" w:name="_Toc104389971"/>
      <w:r>
        <w:rPr>
          <w:rFonts w:ascii="仿宋_GB2312" w:hAnsi="Calibri" w:eastAsia="仿宋_GB2312" w:cs="Times New Roman"/>
          <w:b/>
          <w:kern w:val="0"/>
          <w:sz w:val="32"/>
        </w:rPr>
        <w:t>第</w:t>
      </w:r>
      <w:r>
        <w:rPr>
          <w:rFonts w:hint="eastAsia" w:ascii="仿宋_GB2312" w:hAnsi="Calibri" w:eastAsia="仿宋_GB2312" w:cs="Times New Roman"/>
          <w:b/>
          <w:kern w:val="0"/>
          <w:sz w:val="32"/>
        </w:rPr>
        <w:t>三</w:t>
      </w:r>
      <w:r>
        <w:rPr>
          <w:rFonts w:ascii="仿宋_GB2312" w:hAnsi="Calibri" w:eastAsia="仿宋_GB2312" w:cs="Times New Roman"/>
          <w:b/>
          <w:kern w:val="0"/>
          <w:sz w:val="32"/>
        </w:rPr>
        <w:t>节</w:t>
      </w:r>
      <w:r>
        <w:rPr>
          <w:rFonts w:hint="eastAsia" w:ascii="仿宋_GB2312" w:hAnsi="Calibri" w:eastAsia="仿宋_GB2312" w:cs="Times New Roman"/>
          <w:b/>
          <w:kern w:val="0"/>
          <w:sz w:val="32"/>
        </w:rPr>
        <w:t xml:space="preserve"> </w:t>
      </w:r>
      <w:r>
        <w:rPr>
          <w:rFonts w:ascii="仿宋_GB2312" w:hAnsi="Calibri" w:eastAsia="仿宋_GB2312" w:cs="Times New Roman"/>
          <w:b/>
          <w:kern w:val="0"/>
          <w:sz w:val="32"/>
        </w:rPr>
        <w:t xml:space="preserve"> 矿</w:t>
      </w:r>
      <w:r>
        <w:rPr>
          <w:rFonts w:hint="eastAsia" w:ascii="仿宋_GB2312" w:hAnsi="Calibri" w:eastAsia="仿宋_GB2312" w:cs="Times New Roman"/>
          <w:b/>
          <w:kern w:val="0"/>
          <w:sz w:val="32"/>
        </w:rPr>
        <w:t>山</w:t>
      </w:r>
      <w:r>
        <w:rPr>
          <w:rFonts w:ascii="仿宋_GB2312" w:hAnsi="Calibri" w:eastAsia="仿宋_GB2312" w:cs="Times New Roman"/>
          <w:b/>
          <w:kern w:val="0"/>
          <w:sz w:val="32"/>
        </w:rPr>
        <w:t>生态修复</w:t>
      </w:r>
      <w:bookmarkEnd w:id="61"/>
    </w:p>
    <w:p>
      <w:pPr>
        <w:spacing w:line="360" w:lineRule="auto"/>
        <w:ind w:firstLine="602" w:firstLineChars="200"/>
        <w:jc w:val="left"/>
        <w:outlineLvl w:val="2"/>
        <w:rPr>
          <w:rFonts w:ascii="仿宋" w:hAnsi="仿宋" w:eastAsia="仿宋" w:cs="仿宋"/>
          <w:kern w:val="0"/>
          <w:sz w:val="28"/>
          <w:szCs w:val="28"/>
        </w:rPr>
      </w:pPr>
      <w:bookmarkStart w:id="62" w:name="_TOC_250011"/>
      <w:bookmarkEnd w:id="62"/>
      <w:bookmarkStart w:id="63" w:name="_Toc104389972"/>
      <w:r>
        <w:rPr>
          <w:rFonts w:hint="eastAsia" w:ascii="仿宋_GB2312" w:hAnsi="仿宋" w:eastAsia="仿宋_GB2312" w:cs="Times New Roman"/>
          <w:b/>
          <w:kern w:val="0"/>
          <w:sz w:val="30"/>
          <w:szCs w:val="30"/>
        </w:rPr>
        <w:t>一、生态修复总体目标</w:t>
      </w:r>
      <w:bookmarkEnd w:id="63"/>
    </w:p>
    <w:p>
      <w:pPr>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为促进全市矿产资源开发与环境保护协调发展，最大限度地减少或避免因矿产开发而引起的环境问题，开展实施矿山地质环境治理恢复工程的年度计划，逐步建立与经济社会发展相适应的矿山生态环境。根据全市矿山地质环境现状，保护与治理工作取得的阶段成果，制订矿山地质环境保护与治理恢复的总目标：</w:t>
      </w:r>
    </w:p>
    <w:p>
      <w:pPr>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（一）建立健全矿山</w:t>
      </w:r>
      <w:r>
        <w:rPr>
          <w:rFonts w:hint="eastAsia" w:ascii="仿宋" w:hAnsi="仿宋" w:eastAsia="仿宋" w:cs="Times New Roman"/>
          <w:spacing w:val="-4"/>
          <w:kern w:val="0"/>
          <w:sz w:val="28"/>
          <w:szCs w:val="28"/>
        </w:rPr>
        <w:t>地质环境</w:t>
      </w:r>
      <w:r>
        <w:rPr>
          <w:rFonts w:hint="eastAsia" w:ascii="仿宋" w:hAnsi="仿宋" w:eastAsia="仿宋" w:cs="仿宋"/>
          <w:kern w:val="0"/>
          <w:sz w:val="28"/>
          <w:szCs w:val="28"/>
        </w:rPr>
        <w:t>管理体系和管理制度。坚持矿产资源开发利用与矿山生态环境保护并重，预防为主，防治结合的方针，认真贯彻“谁开发谁保护、谁污染谁治理、谁破坏谁恢复”的原则。</w:t>
      </w:r>
    </w:p>
    <w:p>
      <w:pPr>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（二）加强矿山生态环境现状调查评价与整改工作，将矿山生态环境保护工作纳入县级生态环境保护总体目标范围。</w:t>
      </w:r>
    </w:p>
    <w:p>
      <w:pPr>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（三）积极推进</w:t>
      </w:r>
      <w:r>
        <w:rPr>
          <w:rFonts w:hint="eastAsia" w:ascii="仿宋" w:hAnsi="仿宋" w:eastAsia="仿宋" w:cs="Times New Roman"/>
          <w:spacing w:val="-4"/>
          <w:kern w:val="0"/>
          <w:sz w:val="28"/>
          <w:szCs w:val="28"/>
        </w:rPr>
        <w:t>绿色</w:t>
      </w:r>
      <w:r>
        <w:rPr>
          <w:rFonts w:hint="eastAsia" w:ascii="仿宋" w:hAnsi="仿宋" w:eastAsia="仿宋" w:cs="仿宋"/>
          <w:kern w:val="0"/>
          <w:sz w:val="28"/>
          <w:szCs w:val="28"/>
        </w:rPr>
        <w:t>矿山建设，执行新建矿山建成绿色矿山的准入条件；加强在生产矿山地质环境保护与恢复治理，保证矿山生产过程中所生产的污染物达标排放和矿山生态环境治理率要求达标。加强新技术、新方法的研究和应用，鼓励采用先进的采、选工艺，推广低废、无污染的矿山清洁生产技术，努力实现矿山废弃物的减量化和资源化再利用，减少“碳排放”，为实现</w:t>
      </w:r>
      <w:r>
        <w:rPr>
          <w:rFonts w:ascii="仿宋" w:hAnsi="仿宋" w:eastAsia="仿宋" w:cs="仿宋"/>
          <w:kern w:val="0"/>
          <w:sz w:val="28"/>
          <w:szCs w:val="28"/>
        </w:rPr>
        <w:t>“</w:t>
      </w:r>
      <w:r>
        <w:rPr>
          <w:rFonts w:hint="eastAsia" w:ascii="仿宋" w:hAnsi="仿宋" w:eastAsia="仿宋" w:cs="仿宋"/>
          <w:kern w:val="0"/>
          <w:sz w:val="28"/>
          <w:szCs w:val="28"/>
        </w:rPr>
        <w:t>碳达峰、碳中和</w:t>
      </w:r>
      <w:r>
        <w:rPr>
          <w:rFonts w:ascii="仿宋" w:hAnsi="仿宋" w:eastAsia="仿宋" w:cs="仿宋"/>
          <w:kern w:val="0"/>
          <w:sz w:val="28"/>
          <w:szCs w:val="28"/>
        </w:rPr>
        <w:t>”</w:t>
      </w:r>
      <w:r>
        <w:rPr>
          <w:rFonts w:hint="eastAsia" w:ascii="仿宋" w:hAnsi="仿宋" w:eastAsia="仿宋" w:cs="仿宋"/>
          <w:kern w:val="0"/>
          <w:sz w:val="28"/>
          <w:szCs w:val="28"/>
        </w:rPr>
        <w:t>目标服务。</w:t>
      </w:r>
    </w:p>
    <w:p>
      <w:pPr>
        <w:spacing w:line="360" w:lineRule="auto"/>
        <w:ind w:firstLine="560" w:firstLineChars="200"/>
        <w:rPr>
          <w:rFonts w:ascii="仿宋" w:hAnsi="仿宋" w:eastAsia="仿宋" w:cs="仿宋"/>
          <w:kern w:val="0"/>
          <w:sz w:val="28"/>
          <w:szCs w:val="28"/>
        </w:rPr>
      </w:pPr>
      <w:r>
        <w:rPr>
          <w:rFonts w:hint="eastAsia" w:ascii="仿宋" w:hAnsi="仿宋" w:eastAsia="仿宋" w:cs="仿宋"/>
          <w:kern w:val="0"/>
          <w:sz w:val="28"/>
          <w:szCs w:val="28"/>
        </w:rPr>
        <w:t>（四）废弃矿山</w:t>
      </w:r>
      <w:r>
        <w:rPr>
          <w:rFonts w:hint="eastAsia" w:ascii="仿宋" w:hAnsi="仿宋" w:eastAsia="仿宋" w:cs="Times New Roman"/>
          <w:spacing w:val="-4"/>
          <w:kern w:val="0"/>
          <w:sz w:val="28"/>
          <w:szCs w:val="28"/>
        </w:rPr>
        <w:t>生态</w:t>
      </w:r>
      <w:r>
        <w:rPr>
          <w:rFonts w:hint="eastAsia" w:ascii="仿宋" w:hAnsi="仿宋" w:eastAsia="仿宋" w:cs="仿宋"/>
          <w:kern w:val="0"/>
          <w:sz w:val="28"/>
          <w:szCs w:val="28"/>
        </w:rPr>
        <w:t>修复，以“一湖三脉，两屏多廊”生态整体布局为指导，优先安排沿湖、沿江1-2公里范围内的废弃矿山的生态修复工作。以“宜水则水、宜山则山,宜林则林、宜农则农,宜工则工、宜商则商”为原则，确定生态修复后土地的“耕地、林地、建设用地等属性”，积极引入社会</w:t>
      </w:r>
      <w:r>
        <w:rPr>
          <w:rFonts w:hint="eastAsia" w:ascii="仿宋" w:hAnsi="仿宋" w:eastAsia="仿宋" w:cs="Times New Roman"/>
          <w:spacing w:val="-4"/>
          <w:kern w:val="0"/>
          <w:sz w:val="28"/>
          <w:szCs w:val="28"/>
        </w:rPr>
        <w:t>资金</w:t>
      </w:r>
      <w:r>
        <w:rPr>
          <w:rFonts w:hint="eastAsia" w:ascii="仿宋" w:hAnsi="仿宋" w:eastAsia="仿宋" w:cs="仿宋"/>
          <w:kern w:val="0"/>
          <w:sz w:val="28"/>
          <w:szCs w:val="28"/>
        </w:rPr>
        <w:t>，给予配套优惠政策。</w:t>
      </w:r>
    </w:p>
    <w:p>
      <w:pPr>
        <w:spacing w:line="360" w:lineRule="auto"/>
        <w:ind w:firstLine="602" w:firstLineChars="200"/>
        <w:jc w:val="left"/>
        <w:outlineLvl w:val="2"/>
        <w:rPr>
          <w:rFonts w:ascii="仿宋_GB2312" w:hAnsi="Calibri" w:eastAsia="仿宋_GB2312" w:cs="Times New Roman"/>
          <w:b/>
          <w:kern w:val="0"/>
          <w:sz w:val="32"/>
        </w:rPr>
      </w:pPr>
      <w:bookmarkStart w:id="64" w:name="_Toc104389973"/>
      <w:r>
        <w:rPr>
          <w:rFonts w:hint="eastAsia" w:ascii="仿宋_GB2312" w:hAnsi="仿宋" w:eastAsia="仿宋_GB2312" w:cs="Times New Roman"/>
          <w:b/>
          <w:kern w:val="0"/>
          <w:sz w:val="30"/>
          <w:szCs w:val="30"/>
        </w:rPr>
        <w:t>二、</w:t>
      </w:r>
      <w:r>
        <w:rPr>
          <w:rFonts w:ascii="仿宋_GB2312" w:hAnsi="仿宋" w:eastAsia="仿宋_GB2312" w:cs="Times New Roman"/>
          <w:b/>
          <w:kern w:val="0"/>
          <w:sz w:val="30"/>
          <w:szCs w:val="30"/>
        </w:rPr>
        <w:t>矿区生态</w:t>
      </w:r>
      <w:r>
        <w:rPr>
          <w:rFonts w:hint="eastAsia" w:ascii="仿宋_GB2312" w:hAnsi="仿宋" w:eastAsia="仿宋_GB2312" w:cs="Times New Roman"/>
          <w:b/>
          <w:kern w:val="0"/>
          <w:sz w:val="30"/>
          <w:szCs w:val="30"/>
        </w:rPr>
        <w:t>保护</w:t>
      </w:r>
      <w:r>
        <w:rPr>
          <w:rFonts w:ascii="仿宋_GB2312" w:hAnsi="仿宋" w:eastAsia="仿宋_GB2312" w:cs="Times New Roman"/>
          <w:b/>
          <w:kern w:val="0"/>
          <w:sz w:val="30"/>
          <w:szCs w:val="30"/>
        </w:rPr>
        <w:t>修复</w:t>
      </w:r>
      <w:bookmarkEnd w:id="64"/>
    </w:p>
    <w:p>
      <w:pPr>
        <w:spacing w:line="360" w:lineRule="auto"/>
        <w:ind w:firstLine="536" w:firstLineChars="200"/>
        <w:rPr>
          <w:rFonts w:ascii="仿宋" w:hAnsi="仿宋" w:eastAsia="仿宋" w:cs="Times New Roman"/>
          <w:kern w:val="0"/>
          <w:sz w:val="28"/>
          <w:szCs w:val="28"/>
        </w:rPr>
      </w:pPr>
      <w:r>
        <w:rPr>
          <w:rFonts w:ascii="仿宋" w:hAnsi="仿宋" w:eastAsia="仿宋" w:cs="Times New Roman"/>
          <w:spacing w:val="-6"/>
          <w:kern w:val="0"/>
          <w:sz w:val="28"/>
          <w:szCs w:val="28"/>
        </w:rPr>
        <w:t>坚持</w:t>
      </w:r>
      <w:r>
        <w:rPr>
          <w:rFonts w:hint="eastAsia" w:ascii="仿宋" w:hAnsi="仿宋" w:eastAsia="仿宋" w:cs="Times New Roman"/>
          <w:spacing w:val="-6"/>
          <w:kern w:val="0"/>
          <w:sz w:val="28"/>
          <w:szCs w:val="28"/>
        </w:rPr>
        <w:t>“</w:t>
      </w:r>
      <w:r>
        <w:rPr>
          <w:rFonts w:ascii="仿宋" w:hAnsi="仿宋" w:eastAsia="仿宋" w:cs="Times New Roman"/>
          <w:spacing w:val="-6"/>
          <w:kern w:val="0"/>
          <w:sz w:val="28"/>
          <w:szCs w:val="28"/>
        </w:rPr>
        <w:t>预防为主、防治结合”“谁开发谁保护、谁破坏谁治理、谁投资谁受益”“全面规划、分步实施”的原则，实行矿山地质环境保护</w:t>
      </w:r>
      <w:r>
        <w:rPr>
          <w:rFonts w:ascii="仿宋" w:hAnsi="仿宋" w:eastAsia="仿宋" w:cs="Times New Roman"/>
          <w:spacing w:val="-3"/>
          <w:kern w:val="0"/>
          <w:sz w:val="28"/>
          <w:szCs w:val="28"/>
        </w:rPr>
        <w:t>与治理恢复差别化管理</w:t>
      </w:r>
      <w:r>
        <w:rPr>
          <w:rFonts w:hint="eastAsia" w:ascii="仿宋" w:hAnsi="仿宋" w:eastAsia="仿宋" w:cs="Times New Roman"/>
          <w:kern w:val="0"/>
          <w:sz w:val="28"/>
          <w:szCs w:val="28"/>
        </w:rPr>
        <w:t>。</w:t>
      </w:r>
    </w:p>
    <w:p>
      <w:pPr>
        <w:spacing w:line="360" w:lineRule="auto"/>
        <w:ind w:firstLine="546" w:firstLineChars="200"/>
        <w:rPr>
          <w:rFonts w:ascii="仿宋" w:hAnsi="仿宋" w:eastAsia="仿宋" w:cs="仿宋"/>
          <w:kern w:val="0"/>
          <w:sz w:val="19"/>
          <w:szCs w:val="19"/>
        </w:rPr>
      </w:pPr>
      <w:r>
        <w:rPr>
          <w:rFonts w:ascii="仿宋" w:hAnsi="仿宋" w:eastAsia="仿宋" w:cs="Times New Roman"/>
          <w:b/>
          <w:spacing w:val="-4"/>
          <w:kern w:val="0"/>
          <w:sz w:val="28"/>
          <w:szCs w:val="28"/>
        </w:rPr>
        <w:t>新建矿山</w:t>
      </w:r>
      <w:r>
        <w:rPr>
          <w:rFonts w:hint="eastAsia" w:ascii="仿宋" w:hAnsi="仿宋" w:eastAsia="仿宋" w:cs="Times New Roman"/>
          <w:b/>
          <w:spacing w:val="-4"/>
          <w:kern w:val="0"/>
          <w:sz w:val="28"/>
          <w:szCs w:val="28"/>
        </w:rPr>
        <w:t>：</w:t>
      </w:r>
      <w:r>
        <w:rPr>
          <w:rFonts w:ascii="仿宋" w:hAnsi="仿宋" w:eastAsia="仿宋" w:cs="Times New Roman"/>
          <w:spacing w:val="-4"/>
          <w:kern w:val="0"/>
          <w:sz w:val="28"/>
          <w:szCs w:val="28"/>
        </w:rPr>
        <w:t>按照</w:t>
      </w:r>
      <w:r>
        <w:rPr>
          <w:rFonts w:hint="eastAsia" w:ascii="仿宋" w:hAnsi="仿宋" w:eastAsia="仿宋" w:cs="Times New Roman"/>
          <w:spacing w:val="-4"/>
          <w:kern w:val="0"/>
          <w:sz w:val="28"/>
          <w:szCs w:val="28"/>
        </w:rPr>
        <w:t>省厅</w:t>
      </w:r>
      <w:r>
        <w:rPr>
          <w:rFonts w:ascii="仿宋" w:hAnsi="仿宋" w:eastAsia="仿宋" w:cs="Times New Roman"/>
          <w:spacing w:val="-4"/>
          <w:kern w:val="0"/>
          <w:sz w:val="28"/>
          <w:szCs w:val="28"/>
        </w:rPr>
        <w:t>统一部署，</w:t>
      </w:r>
      <w:r>
        <w:rPr>
          <w:rFonts w:hint="eastAsia" w:ascii="仿宋" w:hAnsi="仿宋" w:eastAsia="仿宋" w:cs="Times New Roman"/>
          <w:spacing w:val="-4"/>
          <w:kern w:val="0"/>
          <w:sz w:val="28"/>
          <w:szCs w:val="28"/>
        </w:rPr>
        <w:t>全面</w:t>
      </w:r>
      <w:r>
        <w:rPr>
          <w:rFonts w:ascii="仿宋" w:hAnsi="仿宋" w:eastAsia="仿宋" w:cs="Times New Roman"/>
          <w:spacing w:val="-4"/>
          <w:kern w:val="0"/>
          <w:sz w:val="28"/>
          <w:szCs w:val="28"/>
        </w:rPr>
        <w:t>贯彻执行矿区生态保护修复相关规范，将矿区生态保护修复的要求贯穿于新建矿山规划、设计、建设、运营、闭坑全</w:t>
      </w:r>
      <w:r>
        <w:rPr>
          <w:rFonts w:ascii="仿宋" w:hAnsi="仿宋" w:eastAsia="仿宋" w:cs="Times New Roman"/>
          <w:spacing w:val="-6"/>
          <w:kern w:val="0"/>
          <w:sz w:val="28"/>
          <w:szCs w:val="28"/>
        </w:rPr>
        <w:t>过程。</w:t>
      </w:r>
      <w:r>
        <w:rPr>
          <w:rFonts w:hint="eastAsia" w:ascii="仿宋" w:hAnsi="仿宋" w:eastAsia="仿宋" w:cs="Times New Roman"/>
          <w:spacing w:val="-6"/>
          <w:kern w:val="0"/>
          <w:sz w:val="28"/>
          <w:szCs w:val="28"/>
        </w:rPr>
        <w:t>严格执行新建矿山需同步建设绿色矿山的准入条件。严格执行环境影响评价与生态修复基金管理制度。</w:t>
      </w:r>
    </w:p>
    <w:p>
      <w:pPr>
        <w:spacing w:line="360" w:lineRule="auto"/>
        <w:ind w:firstLine="546" w:firstLineChars="200"/>
        <w:rPr>
          <w:rFonts w:ascii="仿宋" w:hAnsi="仿宋" w:eastAsia="仿宋" w:cs="Times New Roman"/>
          <w:kern w:val="0"/>
          <w:sz w:val="28"/>
          <w:szCs w:val="28"/>
        </w:rPr>
      </w:pPr>
      <w:r>
        <w:rPr>
          <w:rFonts w:ascii="仿宋" w:hAnsi="仿宋" w:eastAsia="仿宋" w:cs="Times New Roman"/>
          <w:b/>
          <w:spacing w:val="-4"/>
          <w:kern w:val="0"/>
          <w:sz w:val="28"/>
          <w:szCs w:val="28"/>
        </w:rPr>
        <w:t>生产矿山</w:t>
      </w:r>
      <w:r>
        <w:rPr>
          <w:rFonts w:hint="eastAsia" w:ascii="仿宋" w:hAnsi="仿宋" w:eastAsia="仿宋" w:cs="Times New Roman"/>
          <w:b/>
          <w:spacing w:val="-4"/>
          <w:kern w:val="0"/>
          <w:sz w:val="28"/>
          <w:szCs w:val="28"/>
        </w:rPr>
        <w:t>：</w:t>
      </w:r>
      <w:r>
        <w:rPr>
          <w:rFonts w:ascii="仿宋" w:hAnsi="仿宋" w:eastAsia="仿宋" w:cs="Times New Roman"/>
          <w:spacing w:val="-4"/>
          <w:kern w:val="0"/>
          <w:sz w:val="28"/>
          <w:szCs w:val="28"/>
        </w:rPr>
        <w:t>矿山企业按要求履行矿区生态修复主体责任</w:t>
      </w:r>
      <w:r>
        <w:rPr>
          <w:rFonts w:ascii="仿宋" w:hAnsi="仿宋" w:eastAsia="仿宋" w:cs="Times New Roman"/>
          <w:kern w:val="0"/>
          <w:sz w:val="28"/>
          <w:szCs w:val="28"/>
        </w:rPr>
        <w:t>，加强“边开采，边治理”工作，严格按照绿色矿山及生态保护修复相关规范标准执行</w:t>
      </w:r>
      <w:r>
        <w:rPr>
          <w:rFonts w:hint="eastAsia" w:ascii="仿宋" w:hAnsi="仿宋" w:eastAsia="仿宋" w:cs="Times New Roman"/>
          <w:kern w:val="0"/>
          <w:sz w:val="28"/>
          <w:szCs w:val="28"/>
        </w:rPr>
        <w:t>，加强“三合一”方案审查与抽查工作，监督矿山企业生态修复工作</w:t>
      </w:r>
      <w:r>
        <w:rPr>
          <w:rFonts w:ascii="仿宋" w:hAnsi="仿宋" w:eastAsia="仿宋" w:cs="Times New Roman"/>
          <w:kern w:val="0"/>
          <w:sz w:val="28"/>
          <w:szCs w:val="28"/>
        </w:rPr>
        <w:t>。</w:t>
      </w:r>
    </w:p>
    <w:p>
      <w:pPr>
        <w:spacing w:line="360" w:lineRule="auto"/>
        <w:ind w:firstLine="546" w:firstLineChars="200"/>
        <w:rPr>
          <w:rFonts w:ascii="仿宋" w:hAnsi="仿宋" w:eastAsia="仿宋" w:cs="Times New Roman"/>
          <w:w w:val="99"/>
          <w:kern w:val="0"/>
          <w:sz w:val="28"/>
          <w:szCs w:val="28"/>
        </w:rPr>
      </w:pPr>
      <w:r>
        <w:rPr>
          <w:rFonts w:ascii="仿宋" w:hAnsi="仿宋" w:eastAsia="仿宋" w:cs="Times New Roman"/>
          <w:b/>
          <w:spacing w:val="-4"/>
          <w:kern w:val="0"/>
          <w:sz w:val="28"/>
          <w:szCs w:val="28"/>
        </w:rPr>
        <w:t>闭坑矿山</w:t>
      </w:r>
      <w:r>
        <w:rPr>
          <w:rFonts w:hint="eastAsia" w:ascii="仿宋" w:hAnsi="仿宋" w:eastAsia="仿宋" w:cs="Times New Roman"/>
          <w:b/>
          <w:spacing w:val="-4"/>
          <w:kern w:val="0"/>
          <w:sz w:val="28"/>
          <w:szCs w:val="28"/>
        </w:rPr>
        <w:t>：</w:t>
      </w:r>
      <w:r>
        <w:rPr>
          <w:rFonts w:ascii="仿宋" w:hAnsi="仿宋" w:eastAsia="仿宋" w:cs="Times New Roman"/>
          <w:spacing w:val="-4"/>
          <w:kern w:val="0"/>
          <w:sz w:val="28"/>
          <w:szCs w:val="28"/>
        </w:rPr>
        <w:t>矿山企业</w:t>
      </w:r>
      <w:r>
        <w:rPr>
          <w:rFonts w:hint="eastAsia" w:ascii="仿宋" w:hAnsi="仿宋" w:eastAsia="仿宋" w:cs="Times New Roman"/>
          <w:spacing w:val="-4"/>
          <w:kern w:val="0"/>
          <w:sz w:val="28"/>
          <w:szCs w:val="28"/>
        </w:rPr>
        <w:t>闭坑前必须履行生态修复义务，</w:t>
      </w:r>
      <w:r>
        <w:rPr>
          <w:rFonts w:ascii="仿宋" w:hAnsi="仿宋" w:eastAsia="仿宋" w:cs="Times New Roman"/>
          <w:spacing w:val="-4"/>
          <w:kern w:val="0"/>
          <w:sz w:val="28"/>
          <w:szCs w:val="28"/>
        </w:rPr>
        <w:t>及时编制矿山闭坑生态修复计划，</w:t>
      </w:r>
      <w:r>
        <w:rPr>
          <w:rFonts w:hint="eastAsia" w:ascii="仿宋" w:hAnsi="仿宋" w:eastAsia="仿宋" w:cs="Times New Roman"/>
          <w:spacing w:val="-4"/>
          <w:kern w:val="0"/>
          <w:sz w:val="28"/>
          <w:szCs w:val="28"/>
        </w:rPr>
        <w:t>县（区）</w:t>
      </w:r>
      <w:r>
        <w:rPr>
          <w:rFonts w:ascii="仿宋" w:hAnsi="仿宋" w:eastAsia="仿宋" w:cs="Times New Roman"/>
          <w:spacing w:val="-4"/>
          <w:kern w:val="0"/>
          <w:sz w:val="28"/>
          <w:szCs w:val="28"/>
        </w:rPr>
        <w:t>自然资源主管部门督促其在规定时间内完成矿山闭坑生态修复</w:t>
      </w:r>
      <w:r>
        <w:rPr>
          <w:rFonts w:hint="eastAsia" w:ascii="仿宋" w:hAnsi="仿宋" w:eastAsia="仿宋" w:cs="Times New Roman"/>
          <w:spacing w:val="-4"/>
          <w:kern w:val="0"/>
          <w:sz w:val="28"/>
          <w:szCs w:val="28"/>
        </w:rPr>
        <w:t>工作，对拒不履行义务的矿山企业要采取措施进行惩戒</w:t>
      </w:r>
      <w:r>
        <w:rPr>
          <w:rFonts w:ascii="仿宋" w:hAnsi="仿宋" w:eastAsia="仿宋" w:cs="Times New Roman"/>
          <w:kern w:val="0"/>
          <w:sz w:val="28"/>
          <w:szCs w:val="28"/>
        </w:rPr>
        <w:t>。</w:t>
      </w:r>
    </w:p>
    <w:p>
      <w:pPr>
        <w:spacing w:line="360" w:lineRule="auto"/>
        <w:ind w:firstLine="546" w:firstLineChars="200"/>
        <w:rPr>
          <w:rFonts w:ascii="仿宋" w:hAnsi="仿宋" w:eastAsia="仿宋" w:cs="Times New Roman"/>
          <w:kern w:val="0"/>
          <w:sz w:val="28"/>
          <w:szCs w:val="28"/>
        </w:rPr>
      </w:pPr>
      <w:r>
        <w:rPr>
          <w:rFonts w:ascii="仿宋" w:hAnsi="仿宋" w:eastAsia="仿宋" w:cs="Times New Roman"/>
          <w:b/>
          <w:spacing w:val="-4"/>
          <w:kern w:val="0"/>
          <w:sz w:val="28"/>
          <w:szCs w:val="28"/>
        </w:rPr>
        <w:t>废弃矿山</w:t>
      </w:r>
      <w:r>
        <w:rPr>
          <w:rFonts w:hint="eastAsia" w:ascii="仿宋" w:hAnsi="仿宋" w:eastAsia="仿宋" w:cs="Times New Roman"/>
          <w:b/>
          <w:spacing w:val="-4"/>
          <w:kern w:val="0"/>
          <w:sz w:val="28"/>
          <w:szCs w:val="28"/>
        </w:rPr>
        <w:t>：</w:t>
      </w:r>
      <w:r>
        <w:rPr>
          <w:rFonts w:hint="eastAsia" w:ascii="仿宋" w:hAnsi="仿宋" w:eastAsia="仿宋" w:cs="Times New Roman"/>
          <w:spacing w:val="-4"/>
          <w:kern w:val="0"/>
          <w:sz w:val="28"/>
          <w:szCs w:val="28"/>
        </w:rPr>
        <w:t>坚持尊重自然、顺应自然、保护自然，坚持节约优先、保护优先、自然恢复为主，坚持宜林则林、宜耕则耕、宜草则草、宜建则建，分区分级分类推进历史遗留废弃矿山生态修复。同时，</w:t>
      </w:r>
      <w:r>
        <w:rPr>
          <w:rFonts w:ascii="仿宋" w:hAnsi="仿宋" w:eastAsia="仿宋" w:cs="Times New Roman"/>
          <w:kern w:val="0"/>
          <w:sz w:val="28"/>
          <w:szCs w:val="28"/>
        </w:rPr>
        <w:t>按照</w:t>
      </w:r>
      <w:r>
        <w:rPr>
          <w:rFonts w:ascii="Times New Roman" w:hAnsi="Times New Roman" w:eastAsia="Times New Roman" w:cs="Times New Roman"/>
          <w:kern w:val="0"/>
          <w:sz w:val="28"/>
          <w:szCs w:val="28"/>
        </w:rPr>
        <w:t>“</w:t>
      </w:r>
      <w:r>
        <w:rPr>
          <w:rFonts w:ascii="仿宋" w:hAnsi="仿宋" w:eastAsia="仿宋" w:cs="Times New Roman"/>
          <w:spacing w:val="-4"/>
          <w:kern w:val="0"/>
          <w:sz w:val="28"/>
          <w:szCs w:val="28"/>
        </w:rPr>
        <w:t>谁投资</w:t>
      </w:r>
      <w:r>
        <w:rPr>
          <w:rFonts w:ascii="仿宋" w:hAnsi="仿宋" w:eastAsia="仿宋" w:cs="Times New Roman"/>
          <w:kern w:val="0"/>
          <w:sz w:val="28"/>
          <w:szCs w:val="28"/>
        </w:rPr>
        <w:t>，谁受益</w:t>
      </w:r>
      <w:r>
        <w:rPr>
          <w:rFonts w:ascii="Times New Roman" w:hAnsi="Times New Roman" w:eastAsia="Times New Roman" w:cs="Times New Roman"/>
          <w:kern w:val="0"/>
          <w:sz w:val="28"/>
          <w:szCs w:val="28"/>
        </w:rPr>
        <w:t>”</w:t>
      </w:r>
      <w:r>
        <w:rPr>
          <w:rFonts w:ascii="仿宋" w:hAnsi="仿宋" w:eastAsia="仿宋" w:cs="Times New Roman"/>
          <w:kern w:val="0"/>
          <w:sz w:val="28"/>
          <w:szCs w:val="28"/>
        </w:rPr>
        <w:t>的原则</w:t>
      </w:r>
      <w:r>
        <w:rPr>
          <w:rFonts w:hint="eastAsia" w:ascii="仿宋" w:hAnsi="仿宋" w:eastAsia="仿宋" w:cs="Times New Roman"/>
          <w:kern w:val="0"/>
          <w:sz w:val="28"/>
          <w:szCs w:val="28"/>
        </w:rPr>
        <w:t>，</w:t>
      </w:r>
      <w:r>
        <w:rPr>
          <w:rFonts w:ascii="仿宋" w:hAnsi="仿宋" w:eastAsia="仿宋" w:cs="Times New Roman"/>
          <w:kern w:val="0"/>
          <w:sz w:val="28"/>
          <w:szCs w:val="28"/>
        </w:rPr>
        <w:t>鼓励和引导各类</w:t>
      </w:r>
      <w:r>
        <w:rPr>
          <w:rFonts w:hint="eastAsia" w:ascii="仿宋" w:hAnsi="仿宋" w:eastAsia="仿宋" w:cs="Times New Roman"/>
          <w:kern w:val="0"/>
          <w:sz w:val="28"/>
          <w:szCs w:val="28"/>
        </w:rPr>
        <w:t>社会资金参与</w:t>
      </w:r>
      <w:r>
        <w:rPr>
          <w:rFonts w:ascii="仿宋" w:hAnsi="仿宋" w:eastAsia="仿宋" w:cs="Times New Roman"/>
          <w:spacing w:val="-4"/>
          <w:kern w:val="0"/>
          <w:sz w:val="28"/>
          <w:szCs w:val="28"/>
        </w:rPr>
        <w:t>废弃矿山地质环境治理恢复</w:t>
      </w:r>
      <w:r>
        <w:rPr>
          <w:rFonts w:ascii="仿宋" w:hAnsi="仿宋" w:eastAsia="仿宋" w:cs="Times New Roman"/>
          <w:kern w:val="0"/>
          <w:sz w:val="28"/>
          <w:szCs w:val="28"/>
        </w:rPr>
        <w:t>。</w:t>
      </w:r>
    </w:p>
    <w:p>
      <w:pPr>
        <w:spacing w:line="360" w:lineRule="auto"/>
        <w:ind w:firstLine="602" w:firstLineChars="200"/>
        <w:jc w:val="left"/>
        <w:outlineLvl w:val="2"/>
        <w:rPr>
          <w:rFonts w:ascii="仿宋_GB2312" w:hAnsi="仿宋" w:eastAsia="仿宋_GB2312" w:cs="Times New Roman"/>
          <w:b/>
          <w:kern w:val="0"/>
          <w:sz w:val="30"/>
          <w:szCs w:val="30"/>
        </w:rPr>
      </w:pPr>
      <w:bookmarkStart w:id="65" w:name="_Toc104389974"/>
      <w:r>
        <w:rPr>
          <w:rFonts w:hint="eastAsia" w:ascii="仿宋_GB2312" w:hAnsi="仿宋" w:eastAsia="仿宋_GB2312" w:cs="Times New Roman"/>
          <w:b/>
          <w:kern w:val="0"/>
          <w:sz w:val="30"/>
          <w:szCs w:val="30"/>
        </w:rPr>
        <w:t>三、</w:t>
      </w:r>
      <w:r>
        <w:rPr>
          <w:rFonts w:ascii="仿宋_GB2312" w:hAnsi="仿宋" w:eastAsia="仿宋_GB2312" w:cs="Times New Roman"/>
          <w:b/>
          <w:kern w:val="0"/>
          <w:sz w:val="30"/>
          <w:szCs w:val="30"/>
        </w:rPr>
        <w:t>生态修复基金管理</w:t>
      </w:r>
      <w:bookmarkEnd w:id="65"/>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（一）</w:t>
      </w:r>
      <w:r>
        <w:rPr>
          <w:rFonts w:ascii="仿宋" w:hAnsi="仿宋" w:eastAsia="仿宋" w:cs="Times New Roman"/>
          <w:spacing w:val="-4"/>
          <w:kern w:val="0"/>
          <w:sz w:val="28"/>
          <w:szCs w:val="28"/>
        </w:rPr>
        <w:t>矿山生态修复基金计提和使用实行专账管理</w:t>
      </w:r>
      <w:r>
        <w:rPr>
          <w:rFonts w:ascii="仿宋" w:hAnsi="仿宋" w:eastAsia="仿宋" w:cs="Times New Roman"/>
          <w:kern w:val="0"/>
          <w:sz w:val="28"/>
          <w:szCs w:val="28"/>
        </w:rPr>
        <w:t>，矿山企业应当如实记录弃置费用摊销情况，建立基金支出年报制度。</w:t>
      </w:r>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（二）</w:t>
      </w:r>
      <w:r>
        <w:rPr>
          <w:rFonts w:ascii="仿宋" w:hAnsi="仿宋" w:eastAsia="仿宋" w:cs="Times New Roman"/>
          <w:spacing w:val="-4"/>
          <w:kern w:val="0"/>
          <w:sz w:val="28"/>
          <w:szCs w:val="28"/>
        </w:rPr>
        <w:t>各级自然资源主管部门会同财政</w:t>
      </w:r>
      <w:r>
        <w:rPr>
          <w:rFonts w:ascii="仿宋" w:hAnsi="仿宋" w:eastAsia="仿宋" w:cs="Times New Roman"/>
          <w:kern w:val="0"/>
          <w:sz w:val="28"/>
          <w:szCs w:val="28"/>
        </w:rPr>
        <w:t>、生态环境主管部门按职责对基金计提、使用情况进行监督检查。</w:t>
      </w:r>
    </w:p>
    <w:p>
      <w:pPr>
        <w:spacing w:line="360" w:lineRule="auto"/>
        <w:ind w:firstLine="560" w:firstLineChars="200"/>
        <w:rPr>
          <w:rFonts w:ascii="仿宋" w:hAnsi="仿宋" w:eastAsia="仿宋" w:cs="Times New Roman"/>
          <w:kern w:val="0"/>
          <w:sz w:val="28"/>
          <w:szCs w:val="28"/>
        </w:rPr>
      </w:pPr>
      <w:r>
        <w:rPr>
          <w:rFonts w:hint="eastAsia" w:ascii="仿宋" w:hAnsi="仿宋" w:eastAsia="仿宋" w:cs="Times New Roman"/>
          <w:kern w:val="0"/>
          <w:sz w:val="28"/>
          <w:szCs w:val="28"/>
        </w:rPr>
        <w:t>（三）</w:t>
      </w:r>
      <w:r>
        <w:rPr>
          <w:rFonts w:ascii="仿宋" w:hAnsi="仿宋" w:eastAsia="仿宋" w:cs="Times New Roman"/>
          <w:spacing w:val="-4"/>
          <w:kern w:val="0"/>
          <w:sz w:val="28"/>
          <w:szCs w:val="28"/>
        </w:rPr>
        <w:t>对于未按要求履行生态修复义务的企业</w:t>
      </w:r>
      <w:r>
        <w:rPr>
          <w:rFonts w:ascii="仿宋" w:hAnsi="仿宋" w:eastAsia="仿宋" w:cs="Times New Roman"/>
          <w:kern w:val="0"/>
          <w:sz w:val="28"/>
          <w:szCs w:val="28"/>
        </w:rPr>
        <w:t>，责令限期整改，</w:t>
      </w:r>
      <w:r>
        <w:rPr>
          <w:rFonts w:ascii="仿宋" w:hAnsi="仿宋" w:eastAsia="仿宋" w:cs="Times New Roman"/>
          <w:spacing w:val="-4"/>
          <w:kern w:val="0"/>
          <w:sz w:val="28"/>
          <w:szCs w:val="28"/>
        </w:rPr>
        <w:t>对于逾期不整改或整改不到位的，列入矿业权人异常名录或严重</w:t>
      </w:r>
      <w:r>
        <w:rPr>
          <w:rFonts w:ascii="仿宋" w:hAnsi="仿宋" w:eastAsia="仿宋" w:cs="Times New Roman"/>
          <w:kern w:val="0"/>
          <w:sz w:val="28"/>
          <w:szCs w:val="28"/>
        </w:rPr>
        <w:t>失信名单。</w:t>
      </w:r>
      <w:bookmarkStart w:id="66" w:name="_TOC_250012"/>
      <w:bookmarkEnd w:id="66"/>
    </w:p>
    <w:p>
      <w:pPr>
        <w:spacing w:line="360" w:lineRule="auto"/>
        <w:ind w:firstLine="544" w:firstLineChars="200"/>
        <w:rPr>
          <w:rFonts w:ascii="仿宋" w:hAnsi="仿宋" w:eastAsia="仿宋" w:cs="Times New Roman"/>
          <w:spacing w:val="-4"/>
          <w:kern w:val="0"/>
          <w:sz w:val="28"/>
          <w:szCs w:val="28"/>
        </w:rPr>
      </w:pPr>
      <w:bookmarkStart w:id="67" w:name="_Hlk80831669"/>
      <w:r>
        <w:rPr>
          <w:rFonts w:hint="eastAsia" w:ascii="仿宋" w:hAnsi="仿宋" w:eastAsia="仿宋" w:cs="Times New Roman"/>
          <w:spacing w:val="-4"/>
          <w:kern w:val="0"/>
          <w:sz w:val="28"/>
          <w:szCs w:val="28"/>
        </w:rPr>
        <w:t>（四）</w:t>
      </w:r>
      <w:r>
        <w:rPr>
          <w:rFonts w:ascii="仿宋" w:hAnsi="仿宋" w:eastAsia="仿宋" w:cs="Times New Roman"/>
          <w:spacing w:val="-4"/>
          <w:kern w:val="0"/>
          <w:sz w:val="28"/>
          <w:szCs w:val="28"/>
        </w:rPr>
        <w:t>矿山企业完成绿色矿山建设，生态修复通过阶段</w:t>
      </w:r>
      <w:r>
        <w:rPr>
          <w:rFonts w:hint="eastAsia" w:ascii="仿宋" w:hAnsi="仿宋" w:eastAsia="仿宋" w:cs="Times New Roman"/>
          <w:spacing w:val="-4"/>
          <w:kern w:val="0"/>
          <w:sz w:val="28"/>
          <w:szCs w:val="28"/>
        </w:rPr>
        <w:t>性</w:t>
      </w:r>
      <w:r>
        <w:rPr>
          <w:rFonts w:ascii="仿宋" w:hAnsi="仿宋" w:eastAsia="仿宋" w:cs="Times New Roman"/>
          <w:spacing w:val="-4"/>
          <w:kern w:val="0"/>
          <w:sz w:val="28"/>
          <w:szCs w:val="28"/>
        </w:rPr>
        <w:t>验收，允许调出生态修复基金账户结余基金的50%。</w:t>
      </w:r>
      <w:bookmarkEnd w:id="67"/>
    </w:p>
    <w:p>
      <w:pPr>
        <w:spacing w:before="156" w:beforeLines="50" w:after="156" w:afterLines="50" w:line="360" w:lineRule="auto"/>
        <w:jc w:val="center"/>
        <w:outlineLvl w:val="1"/>
        <w:rPr>
          <w:rFonts w:ascii="仿宋_GB2312" w:hAnsi="Calibri" w:eastAsia="仿宋_GB2312" w:cs="Times New Roman"/>
          <w:b/>
          <w:kern w:val="0"/>
          <w:sz w:val="32"/>
        </w:rPr>
      </w:pPr>
      <w:bookmarkStart w:id="68" w:name="_Toc104389975"/>
      <w:r>
        <w:rPr>
          <w:rFonts w:hint="eastAsia" w:ascii="仿宋_GB2312" w:hAnsi="Calibri" w:eastAsia="仿宋_GB2312" w:cs="Times New Roman"/>
          <w:b/>
          <w:kern w:val="0"/>
          <w:sz w:val="32"/>
        </w:rPr>
        <w:t xml:space="preserve">第四节 </w:t>
      </w:r>
      <w:r>
        <w:rPr>
          <w:rFonts w:ascii="仿宋_GB2312" w:hAnsi="Calibri" w:eastAsia="仿宋_GB2312" w:cs="Times New Roman"/>
          <w:b/>
          <w:kern w:val="0"/>
          <w:sz w:val="32"/>
        </w:rPr>
        <w:t xml:space="preserve"> </w:t>
      </w:r>
      <w:r>
        <w:rPr>
          <w:rFonts w:hint="eastAsia" w:ascii="仿宋_GB2312" w:hAnsi="Calibri" w:eastAsia="仿宋_GB2312" w:cs="Times New Roman"/>
          <w:b/>
          <w:kern w:val="0"/>
          <w:sz w:val="32"/>
        </w:rPr>
        <w:t>矿产资源管理</w:t>
      </w:r>
      <w:bookmarkEnd w:id="68"/>
    </w:p>
    <w:p>
      <w:pPr>
        <w:spacing w:line="360" w:lineRule="auto"/>
        <w:ind w:firstLine="602" w:firstLineChars="200"/>
        <w:jc w:val="left"/>
        <w:outlineLvl w:val="2"/>
        <w:rPr>
          <w:rFonts w:ascii="仿宋_GB2312" w:hAnsi="仿宋" w:eastAsia="仿宋_GB2312" w:cs="Times New Roman"/>
          <w:b/>
          <w:kern w:val="0"/>
          <w:sz w:val="30"/>
          <w:szCs w:val="30"/>
        </w:rPr>
      </w:pPr>
      <w:bookmarkStart w:id="69" w:name="_Toc104389976"/>
      <w:r>
        <w:rPr>
          <w:rFonts w:hint="eastAsia" w:ascii="仿宋_GB2312" w:hAnsi="仿宋" w:eastAsia="仿宋_GB2312" w:cs="Times New Roman"/>
          <w:b/>
          <w:kern w:val="0"/>
          <w:sz w:val="30"/>
          <w:szCs w:val="30"/>
        </w:rPr>
        <w:t>一、勘查管理</w:t>
      </w:r>
      <w:bookmarkEnd w:id="69"/>
    </w:p>
    <w:p>
      <w:pPr>
        <w:spacing w:line="360" w:lineRule="auto"/>
        <w:ind w:firstLine="546" w:firstLineChars="200"/>
        <w:rPr>
          <w:rFonts w:ascii="仿宋" w:hAnsi="仿宋" w:eastAsia="仿宋" w:cs="Times New Roman"/>
          <w:spacing w:val="-4"/>
          <w:kern w:val="0"/>
          <w:sz w:val="28"/>
          <w:szCs w:val="28"/>
        </w:rPr>
      </w:pPr>
      <w:r>
        <w:rPr>
          <w:rFonts w:ascii="仿宋" w:hAnsi="仿宋" w:eastAsia="仿宋" w:cs="Times New Roman"/>
          <w:b/>
          <w:spacing w:val="-4"/>
          <w:kern w:val="0"/>
          <w:sz w:val="28"/>
          <w:szCs w:val="28"/>
        </w:rPr>
        <w:t>健全完善</w:t>
      </w:r>
      <w:r>
        <w:rPr>
          <w:rFonts w:hint="eastAsia" w:ascii="仿宋" w:hAnsi="仿宋" w:eastAsia="仿宋" w:cs="Times New Roman"/>
          <w:b/>
          <w:spacing w:val="-4"/>
          <w:kern w:val="0"/>
          <w:sz w:val="28"/>
          <w:szCs w:val="28"/>
        </w:rPr>
        <w:t>公益地质调查</w:t>
      </w:r>
      <w:r>
        <w:rPr>
          <w:rFonts w:ascii="仿宋" w:hAnsi="仿宋" w:eastAsia="仿宋" w:cs="Times New Roman"/>
          <w:b/>
          <w:spacing w:val="-4"/>
          <w:kern w:val="0"/>
          <w:sz w:val="28"/>
          <w:szCs w:val="28"/>
        </w:rPr>
        <w:t>机制。</w:t>
      </w:r>
      <w:r>
        <w:rPr>
          <w:rFonts w:hint="eastAsia" w:ascii="仿宋" w:hAnsi="仿宋" w:eastAsia="仿宋" w:cs="Times New Roman"/>
          <w:spacing w:val="-4"/>
          <w:kern w:val="0"/>
          <w:sz w:val="28"/>
          <w:szCs w:val="28"/>
        </w:rPr>
        <w:t>积极争取中央和省级财政资金，规范财政出资公益地质调查工作，按照科学规划、统一部署的原则，集中人力、财力、物力与技术等要素，有序开展城市地质调查工作。一是开展地下空间资源环境承载能力评价，明确地下空间资源发展底线，各区域的容许开发量，支撑服务地下空间开发重点片区规划；二是开展富硒土地利用规划，建立富硒资源土地开发基地。</w:t>
      </w:r>
    </w:p>
    <w:p>
      <w:pPr>
        <w:autoSpaceDE w:val="0"/>
        <w:autoSpaceDN w:val="0"/>
        <w:spacing w:line="600" w:lineRule="exact"/>
        <w:ind w:firstLine="546" w:firstLineChars="200"/>
        <w:jc w:val="left"/>
        <w:rPr>
          <w:rFonts w:ascii="仿宋" w:hAnsi="仿宋" w:eastAsia="仿宋" w:cs="Times New Roman"/>
          <w:spacing w:val="-4"/>
          <w:kern w:val="0"/>
          <w:sz w:val="28"/>
          <w:szCs w:val="28"/>
        </w:rPr>
      </w:pPr>
      <w:r>
        <w:rPr>
          <w:rFonts w:hint="eastAsia" w:ascii="仿宋" w:hAnsi="仿宋" w:eastAsia="仿宋" w:cs="Times New Roman"/>
          <w:b/>
          <w:spacing w:val="-4"/>
          <w:kern w:val="0"/>
          <w:sz w:val="28"/>
          <w:szCs w:val="28"/>
        </w:rPr>
        <w:t>完善矿产资源勘查监管体系</w:t>
      </w:r>
      <w:r>
        <w:rPr>
          <w:rFonts w:ascii="仿宋" w:hAnsi="仿宋" w:eastAsia="仿宋" w:cs="Times New Roman"/>
          <w:b/>
          <w:spacing w:val="-4"/>
          <w:kern w:val="0"/>
          <w:sz w:val="28"/>
          <w:szCs w:val="28"/>
        </w:rPr>
        <w:t>。</w:t>
      </w:r>
      <w:r>
        <w:rPr>
          <w:rFonts w:ascii="仿宋" w:hAnsi="仿宋" w:eastAsia="仿宋" w:cs="Times New Roman"/>
          <w:spacing w:val="-4"/>
          <w:kern w:val="0"/>
          <w:sz w:val="28"/>
          <w:szCs w:val="28"/>
        </w:rPr>
        <w:t>加强</w:t>
      </w:r>
      <w:r>
        <w:rPr>
          <w:rFonts w:hint="eastAsia" w:ascii="仿宋" w:hAnsi="仿宋" w:eastAsia="仿宋" w:cs="Times New Roman"/>
          <w:spacing w:val="-4"/>
          <w:kern w:val="0"/>
          <w:sz w:val="28"/>
          <w:szCs w:val="28"/>
        </w:rPr>
        <w:t>矿产资源勘查的监督管理力度，研究建立地质勘查活动的事中事后监督管理办法；组织开展探矿权人公示信息抽查，维护矿产资源勘查秩序；</w:t>
      </w:r>
      <w:bookmarkStart w:id="70" w:name="_Hlk76291656"/>
      <w:r>
        <w:rPr>
          <w:rFonts w:hint="eastAsia" w:ascii="仿宋" w:hAnsi="仿宋" w:eastAsia="仿宋" w:cs="Times New Roman"/>
          <w:spacing w:val="-4"/>
          <w:kern w:val="0"/>
          <w:sz w:val="28"/>
          <w:szCs w:val="28"/>
        </w:rPr>
        <w:t>进一步完善和规范本市矿产资源量评审、备案的监督管理，加强矿产资源资源量登记</w:t>
      </w:r>
      <w:bookmarkEnd w:id="70"/>
      <w:r>
        <w:rPr>
          <w:rFonts w:hint="eastAsia" w:ascii="仿宋" w:hAnsi="仿宋" w:eastAsia="仿宋" w:cs="Times New Roman"/>
          <w:spacing w:val="-4"/>
          <w:kern w:val="0"/>
          <w:sz w:val="28"/>
          <w:szCs w:val="28"/>
        </w:rPr>
        <w:t>；推进探矿权人和地勘单位诚信体系建设，研究建立探矿权人和地勘单位共同责任机制，改善和优化矿产资源勘查工作环境。</w:t>
      </w:r>
    </w:p>
    <w:p>
      <w:pPr>
        <w:spacing w:line="360" w:lineRule="auto"/>
        <w:ind w:firstLine="602" w:firstLineChars="200"/>
        <w:jc w:val="left"/>
        <w:outlineLvl w:val="2"/>
        <w:rPr>
          <w:rFonts w:ascii="仿宋_GB2312" w:hAnsi="仿宋" w:eastAsia="仿宋_GB2312" w:cs="Times New Roman"/>
          <w:b/>
          <w:kern w:val="0"/>
          <w:sz w:val="30"/>
          <w:szCs w:val="30"/>
        </w:rPr>
      </w:pPr>
      <w:bookmarkStart w:id="71" w:name="_Toc104389977"/>
      <w:r>
        <w:rPr>
          <w:rFonts w:hint="eastAsia" w:ascii="仿宋_GB2312" w:hAnsi="仿宋" w:eastAsia="仿宋_GB2312" w:cs="Times New Roman"/>
          <w:b/>
          <w:kern w:val="0"/>
          <w:sz w:val="30"/>
          <w:szCs w:val="30"/>
        </w:rPr>
        <w:t>二、开采管理</w:t>
      </w:r>
      <w:bookmarkEnd w:id="71"/>
    </w:p>
    <w:p>
      <w:pPr>
        <w:spacing w:line="360" w:lineRule="auto"/>
        <w:ind w:firstLine="546" w:firstLineChars="200"/>
        <w:rPr>
          <w:rFonts w:ascii="仿宋" w:hAnsi="仿宋" w:eastAsia="仿宋" w:cs="Times New Roman"/>
          <w:b/>
          <w:spacing w:val="-4"/>
          <w:kern w:val="0"/>
          <w:sz w:val="28"/>
          <w:szCs w:val="28"/>
        </w:rPr>
      </w:pPr>
      <w:r>
        <w:rPr>
          <w:rFonts w:ascii="仿宋" w:hAnsi="仿宋" w:eastAsia="仿宋" w:cs="Times New Roman"/>
          <w:b/>
          <w:spacing w:val="-4"/>
          <w:kern w:val="0"/>
          <w:sz w:val="28"/>
          <w:szCs w:val="28"/>
        </w:rPr>
        <w:t>加强总量调控与空间管理。</w:t>
      </w:r>
      <w:r>
        <w:rPr>
          <w:rFonts w:ascii="仿宋" w:hAnsi="仿宋" w:eastAsia="仿宋" w:cs="Times New Roman"/>
          <w:spacing w:val="-4"/>
          <w:kern w:val="0"/>
          <w:sz w:val="28"/>
          <w:szCs w:val="28"/>
        </w:rPr>
        <w:t>加大</w:t>
      </w:r>
      <w:r>
        <w:rPr>
          <w:rFonts w:hint="eastAsia" w:ascii="仿宋" w:hAnsi="仿宋" w:eastAsia="仿宋" w:cs="Times New Roman"/>
          <w:spacing w:val="-4"/>
          <w:kern w:val="0"/>
          <w:sz w:val="28"/>
          <w:szCs w:val="28"/>
        </w:rPr>
        <w:t>矿产资源监管</w:t>
      </w:r>
      <w:r>
        <w:rPr>
          <w:rFonts w:ascii="仿宋" w:hAnsi="仿宋" w:eastAsia="仿宋" w:cs="Times New Roman"/>
          <w:spacing w:val="-4"/>
          <w:kern w:val="0"/>
          <w:sz w:val="28"/>
          <w:szCs w:val="28"/>
        </w:rPr>
        <w:t>力</w:t>
      </w:r>
      <w:r>
        <w:rPr>
          <w:rFonts w:hint="eastAsia" w:ascii="仿宋" w:hAnsi="仿宋" w:eastAsia="仿宋" w:cs="Times New Roman"/>
          <w:spacing w:val="-4"/>
          <w:kern w:val="0"/>
          <w:sz w:val="28"/>
          <w:szCs w:val="28"/>
        </w:rPr>
        <w:t>度，促进</w:t>
      </w:r>
      <w:r>
        <w:rPr>
          <w:rFonts w:ascii="仿宋" w:hAnsi="仿宋" w:eastAsia="仿宋" w:cs="Times New Roman"/>
          <w:spacing w:val="-4"/>
          <w:kern w:val="0"/>
          <w:sz w:val="28"/>
          <w:szCs w:val="28"/>
        </w:rPr>
        <w:t>矿山总量调控、矿山结构调整和空间布局优化</w:t>
      </w:r>
      <w:r>
        <w:rPr>
          <w:rFonts w:hint="eastAsia" w:ascii="仿宋" w:hAnsi="仿宋" w:eastAsia="仿宋" w:cs="Times New Roman"/>
          <w:spacing w:val="-4"/>
          <w:kern w:val="0"/>
          <w:sz w:val="28"/>
          <w:szCs w:val="28"/>
        </w:rPr>
        <w:t>目标的实现；引导各类要素向集中开采区集聚，促进资源规模开采、集约利用和有序开发；严格落实生态保护红线、永久基本农田、城镇开发边界“三条红线”有关规定，规范矿业开发活动。</w:t>
      </w:r>
    </w:p>
    <w:p>
      <w:pPr>
        <w:spacing w:line="360" w:lineRule="auto"/>
        <w:ind w:firstLine="546" w:firstLineChars="200"/>
        <w:rPr>
          <w:rFonts w:ascii="仿宋" w:hAnsi="仿宋" w:eastAsia="仿宋" w:cs="Times New Roman"/>
          <w:bCs/>
          <w:spacing w:val="-4"/>
          <w:kern w:val="0"/>
          <w:sz w:val="28"/>
          <w:szCs w:val="28"/>
        </w:rPr>
      </w:pPr>
      <w:r>
        <w:rPr>
          <w:rFonts w:hint="eastAsia" w:ascii="仿宋" w:hAnsi="仿宋" w:eastAsia="仿宋" w:cs="Times New Roman"/>
          <w:b/>
          <w:spacing w:val="-4"/>
          <w:kern w:val="0"/>
          <w:sz w:val="28"/>
          <w:szCs w:val="28"/>
        </w:rPr>
        <w:t>合理布局砂石土类采矿权。</w:t>
      </w:r>
      <w:r>
        <w:rPr>
          <w:rFonts w:hint="eastAsia" w:ascii="仿宋" w:hAnsi="仿宋" w:eastAsia="仿宋" w:cs="Times New Roman"/>
          <w:spacing w:val="-4"/>
          <w:kern w:val="0"/>
          <w:sz w:val="28"/>
          <w:szCs w:val="28"/>
        </w:rPr>
        <w:t>以市场需求为导向，</w:t>
      </w:r>
      <w:r>
        <w:rPr>
          <w:rFonts w:hint="eastAsia" w:ascii="仿宋" w:hAnsi="仿宋" w:eastAsia="仿宋" w:cs="Times New Roman"/>
          <w:bCs/>
          <w:spacing w:val="-4"/>
          <w:kern w:val="0"/>
          <w:sz w:val="28"/>
          <w:szCs w:val="28"/>
        </w:rPr>
        <w:t>科学确定各县（区）砂石土采矿权投入数量、开采总量、最低开采规模，保障砂石土资源稳定供给。</w:t>
      </w:r>
    </w:p>
    <w:p>
      <w:pPr>
        <w:spacing w:line="360" w:lineRule="auto"/>
        <w:ind w:firstLine="546" w:firstLineChars="200"/>
        <w:rPr>
          <w:rFonts w:ascii="仿宋" w:hAnsi="仿宋" w:eastAsia="仿宋" w:cs="Times New Roman"/>
          <w:spacing w:val="-4"/>
          <w:kern w:val="0"/>
          <w:sz w:val="28"/>
          <w:szCs w:val="28"/>
        </w:rPr>
      </w:pPr>
      <w:r>
        <w:rPr>
          <w:rFonts w:hint="eastAsia" w:ascii="仿宋" w:hAnsi="仿宋" w:eastAsia="仿宋" w:cs="Times New Roman"/>
          <w:b/>
          <w:spacing w:val="-4"/>
          <w:kern w:val="0"/>
          <w:sz w:val="28"/>
          <w:szCs w:val="28"/>
        </w:rPr>
        <w:t>积极推进采矿权净矿出让。</w:t>
      </w:r>
      <w:r>
        <w:rPr>
          <w:rFonts w:hint="eastAsia" w:ascii="仿宋" w:hAnsi="仿宋" w:eastAsia="仿宋" w:cs="Times New Roman"/>
          <w:bCs/>
          <w:spacing w:val="-4"/>
          <w:kern w:val="0"/>
          <w:sz w:val="28"/>
          <w:szCs w:val="28"/>
        </w:rPr>
        <w:t>积极开展砂</w:t>
      </w:r>
      <w:r>
        <w:rPr>
          <w:rFonts w:hint="eastAsia" w:ascii="仿宋" w:hAnsi="仿宋" w:eastAsia="仿宋" w:cs="Times New Roman"/>
          <w:spacing w:val="-4"/>
          <w:kern w:val="0"/>
          <w:sz w:val="28"/>
          <w:szCs w:val="28"/>
        </w:rPr>
        <w:t>石土采矿权“净矿”出让，探索推进其他矿种的“净矿”出让。</w:t>
      </w:r>
      <w:r>
        <w:rPr>
          <w:rFonts w:hint="eastAsia" w:ascii="Times New Roman" w:hAnsi="Times New Roman" w:eastAsia="仿宋" w:cs="Times New Roman"/>
          <w:kern w:val="0"/>
          <w:sz w:val="28"/>
          <w:szCs w:val="28"/>
        </w:rPr>
        <w:t>加强前期准备工作，建立部门会商机制，开展必要联合踏勘，合理确定出让范围，依法依规避让各类保护地、生态保护红线等禁止限制勘查开采区域，做好与用地、用林等审批事项的衔接。</w:t>
      </w:r>
      <w:r>
        <w:rPr>
          <w:rFonts w:hint="eastAsia" w:ascii="仿宋" w:hAnsi="仿宋" w:eastAsia="仿宋" w:cs="Times New Roman"/>
          <w:bCs/>
          <w:spacing w:val="-4"/>
          <w:kern w:val="0"/>
          <w:sz w:val="28"/>
          <w:szCs w:val="28"/>
        </w:rPr>
        <w:t>优化出让流程，提高服务保障水平</w:t>
      </w:r>
      <w:bookmarkStart w:id="72" w:name="_Hlk76292096"/>
      <w:r>
        <w:rPr>
          <w:rFonts w:hint="eastAsia" w:ascii="仿宋" w:hAnsi="仿宋" w:eastAsia="仿宋" w:cs="Times New Roman"/>
          <w:bCs/>
          <w:spacing w:val="-4"/>
          <w:kern w:val="0"/>
          <w:sz w:val="28"/>
          <w:szCs w:val="28"/>
        </w:rPr>
        <w:t>，</w:t>
      </w:r>
      <w:r>
        <w:rPr>
          <w:rFonts w:hint="eastAsia" w:ascii="Times New Roman" w:hAnsi="Times New Roman" w:eastAsia="仿宋" w:cs="Times New Roman"/>
          <w:kern w:val="0"/>
          <w:sz w:val="28"/>
          <w:szCs w:val="28"/>
        </w:rPr>
        <w:t>加强政策支持，提高“净矿”</w:t>
      </w:r>
      <w:r>
        <w:rPr>
          <w:rFonts w:ascii="Times New Roman" w:hAnsi="Times New Roman" w:eastAsia="仿宋" w:cs="Times New Roman"/>
          <w:kern w:val="0"/>
          <w:sz w:val="28"/>
          <w:szCs w:val="28"/>
        </w:rPr>
        <w:t>出让水平。</w:t>
      </w:r>
    </w:p>
    <w:bookmarkEnd w:id="72"/>
    <w:p>
      <w:pPr>
        <w:autoSpaceDE w:val="0"/>
        <w:autoSpaceDN w:val="0"/>
        <w:adjustRightInd w:val="0"/>
        <w:ind w:firstLine="546" w:firstLineChars="200"/>
        <w:rPr>
          <w:rFonts w:ascii="仿宋" w:hAnsi="仿宋" w:eastAsia="仿宋" w:cs="Times New Roman"/>
          <w:spacing w:val="-4"/>
          <w:kern w:val="0"/>
          <w:sz w:val="28"/>
          <w:szCs w:val="28"/>
        </w:rPr>
      </w:pPr>
      <w:r>
        <w:rPr>
          <w:rFonts w:ascii="仿宋" w:hAnsi="仿宋" w:eastAsia="仿宋" w:cs="Times New Roman"/>
          <w:b/>
          <w:spacing w:val="-4"/>
          <w:kern w:val="0"/>
          <w:sz w:val="28"/>
          <w:szCs w:val="28"/>
        </w:rPr>
        <w:t>进一步规范采矿权审批管理。</w:t>
      </w:r>
      <w:r>
        <w:rPr>
          <w:rFonts w:hint="eastAsia" w:ascii="仿宋" w:hAnsi="仿宋" w:eastAsia="仿宋" w:cs="Times New Roman"/>
          <w:bCs/>
          <w:spacing w:val="-4"/>
          <w:kern w:val="0"/>
          <w:sz w:val="28"/>
          <w:szCs w:val="28"/>
        </w:rPr>
        <w:t>严格落实采矿权分级管理，</w:t>
      </w:r>
      <w:r>
        <w:rPr>
          <w:rFonts w:ascii="仿宋" w:hAnsi="仿宋" w:eastAsia="仿宋" w:cs="Times New Roman"/>
          <w:bCs/>
          <w:spacing w:val="-4"/>
          <w:kern w:val="0"/>
          <w:sz w:val="28"/>
          <w:szCs w:val="28"/>
        </w:rPr>
        <w:t>采矿</w:t>
      </w:r>
      <w:r>
        <w:rPr>
          <w:rFonts w:ascii="仿宋" w:hAnsi="仿宋" w:eastAsia="仿宋" w:cs="Times New Roman"/>
          <w:spacing w:val="-4"/>
          <w:kern w:val="0"/>
          <w:sz w:val="28"/>
          <w:szCs w:val="28"/>
        </w:rPr>
        <w:t>权划定矿区范围、新立、延续、变更、保留、转让和注销的审批，严格依照有关规定执行。</w:t>
      </w:r>
      <w:r>
        <w:rPr>
          <w:rFonts w:hint="eastAsia" w:ascii="仿宋" w:hAnsi="仿宋" w:eastAsia="仿宋" w:cs="Times New Roman"/>
          <w:spacing w:val="-4"/>
          <w:kern w:val="0"/>
          <w:sz w:val="28"/>
          <w:szCs w:val="28"/>
        </w:rPr>
        <w:t>1</w:t>
      </w:r>
      <w:r>
        <w:rPr>
          <w:rFonts w:ascii="仿宋" w:hAnsi="仿宋" w:eastAsia="仿宋" w:cs="Times New Roman"/>
          <w:spacing w:val="-4"/>
          <w:kern w:val="0"/>
          <w:sz w:val="28"/>
          <w:szCs w:val="28"/>
        </w:rPr>
        <w:t>.</w:t>
      </w:r>
      <w:r>
        <w:rPr>
          <w:rFonts w:hint="eastAsia" w:ascii="Times New Roman" w:hAnsi="Times New Roman" w:eastAsia="仿宋" w:cs="Times New Roman"/>
          <w:sz w:val="28"/>
          <w:szCs w:val="28"/>
        </w:rPr>
        <w:t>开采规划区块设置分为采矿权新设、已设采矿权调整和采矿权整合三类，部级与省级发证矿种，由省级规划划定开采规划区块。2</w:t>
      </w:r>
      <w:r>
        <w:rPr>
          <w:rFonts w:ascii="Times New Roman" w:hAnsi="Times New Roman" w:eastAsia="仿宋" w:cs="Times New Roman"/>
          <w:sz w:val="28"/>
          <w:szCs w:val="28"/>
        </w:rPr>
        <w:t>.</w:t>
      </w:r>
      <w:r>
        <w:rPr>
          <w:rFonts w:hint="eastAsia" w:ascii="Times New Roman" w:hAnsi="Times New Roman" w:eastAsia="仿宋" w:cs="Times New Roman"/>
          <w:sz w:val="28"/>
          <w:szCs w:val="28"/>
        </w:rPr>
        <w:t>原则上一个开采规划区块只设一个开采主体。3</w:t>
      </w:r>
      <w:r>
        <w:rPr>
          <w:rFonts w:ascii="Times New Roman" w:hAnsi="Times New Roman" w:eastAsia="仿宋" w:cs="Times New Roman"/>
          <w:sz w:val="28"/>
          <w:szCs w:val="28"/>
        </w:rPr>
        <w:t>.</w:t>
      </w:r>
      <w:r>
        <w:rPr>
          <w:rFonts w:hint="eastAsia" w:ascii="Times New Roman" w:hAnsi="Times New Roman" w:eastAsia="仿宋" w:cs="Times New Roman"/>
          <w:sz w:val="28"/>
          <w:szCs w:val="28"/>
        </w:rPr>
        <w:t>已设探矿权转采矿权，且拟设采矿权范围未超出已设探矿权勘查范围的，视同符合开采规划区块。4</w:t>
      </w:r>
      <w:r>
        <w:rPr>
          <w:rFonts w:ascii="Times New Roman" w:hAnsi="Times New Roman" w:eastAsia="仿宋" w:cs="Times New Roman"/>
          <w:sz w:val="28"/>
          <w:szCs w:val="28"/>
        </w:rPr>
        <w:t>.</w:t>
      </w:r>
      <w:r>
        <w:rPr>
          <w:rFonts w:hint="eastAsia" w:ascii="Times New Roman" w:hAnsi="Times New Roman" w:eastAsia="仿宋" w:cs="Times New Roman"/>
          <w:sz w:val="28"/>
          <w:szCs w:val="28"/>
        </w:rPr>
        <w:t>已设采矿权调整和整合，根据规划布局、产业调整的要求或矿业权人提出申请，按发证权限由同级人民政府进行规划调整并审查通过后实施。</w:t>
      </w:r>
    </w:p>
    <w:p>
      <w:pPr>
        <w:autoSpaceDE w:val="0"/>
        <w:autoSpaceDN w:val="0"/>
        <w:spacing w:line="600" w:lineRule="exact"/>
        <w:ind w:firstLine="546" w:firstLineChars="200"/>
        <w:jc w:val="left"/>
        <w:rPr>
          <w:rFonts w:ascii="仿宋" w:hAnsi="仿宋" w:eastAsia="仿宋" w:cs="Times New Roman"/>
          <w:spacing w:val="-4"/>
          <w:kern w:val="0"/>
          <w:sz w:val="28"/>
          <w:szCs w:val="28"/>
        </w:rPr>
      </w:pPr>
      <w:r>
        <w:rPr>
          <w:rFonts w:ascii="仿宋" w:hAnsi="仿宋" w:eastAsia="仿宋" w:cs="Times New Roman"/>
          <w:b/>
          <w:spacing w:val="-4"/>
          <w:kern w:val="0"/>
          <w:sz w:val="28"/>
          <w:szCs w:val="28"/>
        </w:rPr>
        <w:t>健全矿产资源开发</w:t>
      </w:r>
      <w:r>
        <w:rPr>
          <w:rFonts w:hint="eastAsia" w:ascii="仿宋" w:hAnsi="仿宋" w:eastAsia="仿宋" w:cs="Times New Roman"/>
          <w:b/>
          <w:spacing w:val="-4"/>
          <w:kern w:val="0"/>
          <w:sz w:val="28"/>
          <w:szCs w:val="28"/>
        </w:rPr>
        <w:t>利用</w:t>
      </w:r>
      <w:r>
        <w:rPr>
          <w:rFonts w:ascii="仿宋" w:hAnsi="仿宋" w:eastAsia="仿宋" w:cs="Times New Roman"/>
          <w:b/>
          <w:spacing w:val="-4"/>
          <w:kern w:val="0"/>
          <w:sz w:val="28"/>
          <w:szCs w:val="28"/>
        </w:rPr>
        <w:t>监管体系。</w:t>
      </w:r>
      <w:r>
        <w:rPr>
          <w:rFonts w:hint="eastAsia" w:ascii="仿宋" w:hAnsi="仿宋" w:eastAsia="仿宋" w:cs="Times New Roman"/>
          <w:spacing w:val="-4"/>
          <w:kern w:val="0"/>
          <w:sz w:val="28"/>
          <w:szCs w:val="28"/>
        </w:rPr>
        <w:t>严格落实矿产资源开发动态巡查工作制度，探索建立矿业权动态监管信息库；健全完善矿产资源开采信息公示制度；健全完善多部门联动监管机制，形成矿产资源开发利用监管的齐抓共管格局。</w:t>
      </w:r>
    </w:p>
    <w:p>
      <w:pPr>
        <w:widowControl/>
        <w:jc w:val="left"/>
        <w:rPr>
          <w:rFonts w:ascii="仿宋_GB2312" w:hAnsi="Calibri" w:eastAsia="仿宋_GB2312" w:cs="Times New Roman"/>
          <w:b/>
          <w:kern w:val="0"/>
          <w:sz w:val="44"/>
        </w:rPr>
      </w:pPr>
      <w:r>
        <w:rPr>
          <w:rFonts w:ascii="仿宋_GB2312" w:hAnsi="Calibri" w:eastAsia="仿宋_GB2312" w:cs="Times New Roman"/>
          <w:b/>
          <w:kern w:val="0"/>
          <w:sz w:val="44"/>
        </w:rPr>
        <w:br w:type="page"/>
      </w:r>
    </w:p>
    <w:p>
      <w:pPr>
        <w:spacing w:before="156" w:beforeLines="50" w:after="156" w:afterLines="50" w:line="360" w:lineRule="auto"/>
        <w:jc w:val="center"/>
        <w:outlineLvl w:val="0"/>
        <w:rPr>
          <w:rFonts w:ascii="仿宋_GB2312" w:hAnsi="Calibri" w:eastAsia="仿宋_GB2312" w:cs="Times New Roman"/>
          <w:b/>
          <w:kern w:val="0"/>
          <w:sz w:val="44"/>
        </w:rPr>
      </w:pPr>
      <w:bookmarkStart w:id="73" w:name="_Toc104389978"/>
      <w:r>
        <w:rPr>
          <w:rFonts w:ascii="仿宋_GB2312" w:hAnsi="Calibri" w:eastAsia="仿宋_GB2312" w:cs="Times New Roman"/>
          <w:b/>
          <w:kern w:val="0"/>
          <w:sz w:val="44"/>
        </w:rPr>
        <w:t>第</w:t>
      </w:r>
      <w:r>
        <w:rPr>
          <w:rFonts w:hint="eastAsia" w:ascii="仿宋_GB2312" w:hAnsi="Calibri" w:eastAsia="仿宋_GB2312" w:cs="Times New Roman"/>
          <w:b/>
          <w:kern w:val="0"/>
          <w:sz w:val="44"/>
        </w:rPr>
        <w:t>七</w:t>
      </w:r>
      <w:r>
        <w:rPr>
          <w:rFonts w:ascii="仿宋_GB2312" w:hAnsi="Calibri" w:eastAsia="仿宋_GB2312" w:cs="Times New Roman"/>
          <w:b/>
          <w:kern w:val="0"/>
          <w:sz w:val="44"/>
        </w:rPr>
        <w:t>章  规划</w:t>
      </w:r>
      <w:r>
        <w:rPr>
          <w:rFonts w:hint="eastAsia" w:ascii="仿宋_GB2312" w:hAnsi="Calibri" w:eastAsia="仿宋_GB2312" w:cs="Times New Roman"/>
          <w:b/>
          <w:kern w:val="0"/>
          <w:sz w:val="44"/>
        </w:rPr>
        <w:t>实施与</w:t>
      </w:r>
      <w:r>
        <w:rPr>
          <w:rFonts w:ascii="仿宋_GB2312" w:hAnsi="Calibri" w:eastAsia="仿宋_GB2312" w:cs="Times New Roman"/>
          <w:b/>
          <w:kern w:val="0"/>
          <w:sz w:val="44"/>
        </w:rPr>
        <w:t>保障措施</w:t>
      </w:r>
      <w:bookmarkEnd w:id="73"/>
    </w:p>
    <w:p>
      <w:pPr>
        <w:spacing w:line="360" w:lineRule="auto"/>
        <w:ind w:firstLine="602" w:firstLineChars="200"/>
        <w:jc w:val="left"/>
        <w:outlineLvl w:val="2"/>
        <w:rPr>
          <w:rFonts w:ascii="仿宋" w:hAnsi="仿宋" w:eastAsia="仿宋" w:cs="Times New Roman"/>
          <w:spacing w:val="-4"/>
          <w:kern w:val="0"/>
          <w:sz w:val="28"/>
          <w:szCs w:val="28"/>
        </w:rPr>
      </w:pPr>
      <w:bookmarkStart w:id="74" w:name="_Toc104389979"/>
      <w:r>
        <w:rPr>
          <w:rFonts w:hint="eastAsia" w:ascii="仿宋_GB2312" w:hAnsi="仿宋" w:eastAsia="仿宋_GB2312" w:cs="Times New Roman"/>
          <w:b/>
          <w:kern w:val="0"/>
          <w:sz w:val="30"/>
          <w:szCs w:val="30"/>
        </w:rPr>
        <w:t>一、加强部门统筹协调</w:t>
      </w:r>
      <w:bookmarkEnd w:id="74"/>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自然资源主管部门是矿产资源规划实施的主要责任部门，要在同级人民政府领导下，加强与有关部门的协调配合，明确责任分工，做好政策衔接，强化部门协同和上下联动，细化相关政策措施，形成有效合力，及时研究解决规划实施过程中的重大问题，共同推进规划实施。</w:t>
      </w:r>
    </w:p>
    <w:p>
      <w:pPr>
        <w:spacing w:line="360" w:lineRule="auto"/>
        <w:ind w:firstLine="602" w:firstLineChars="200"/>
        <w:jc w:val="left"/>
        <w:outlineLvl w:val="2"/>
        <w:rPr>
          <w:rFonts w:ascii="仿宋" w:hAnsi="仿宋" w:eastAsia="仿宋" w:cs="Times New Roman"/>
          <w:spacing w:val="-4"/>
          <w:kern w:val="0"/>
          <w:sz w:val="28"/>
          <w:szCs w:val="28"/>
        </w:rPr>
      </w:pPr>
      <w:bookmarkStart w:id="75" w:name="_Toc104389980"/>
      <w:r>
        <w:rPr>
          <w:rFonts w:hint="eastAsia" w:ascii="仿宋_GB2312" w:hAnsi="仿宋" w:eastAsia="仿宋_GB2312" w:cs="Times New Roman"/>
          <w:b/>
          <w:kern w:val="0"/>
          <w:sz w:val="30"/>
          <w:szCs w:val="30"/>
        </w:rPr>
        <w:t>二、严格执行审查制度</w:t>
      </w:r>
      <w:bookmarkEnd w:id="75"/>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《规划》一经批准，即具有约束力，必须严格执行。矿产资源勘查、开发利用与保护等工作必须符合《规划》相关要求。矿业权的设置、审批、出让等，必须符合《规划》的准入条件和勘查开采规划区块设置。</w:t>
      </w:r>
    </w:p>
    <w:p>
      <w:pPr>
        <w:spacing w:line="360" w:lineRule="auto"/>
        <w:ind w:firstLine="602" w:firstLineChars="200"/>
        <w:jc w:val="left"/>
        <w:outlineLvl w:val="2"/>
        <w:rPr>
          <w:rFonts w:ascii="仿宋" w:hAnsi="仿宋" w:eastAsia="仿宋" w:cs="Times New Roman"/>
          <w:spacing w:val="-4"/>
          <w:kern w:val="0"/>
          <w:sz w:val="28"/>
          <w:szCs w:val="28"/>
        </w:rPr>
      </w:pPr>
      <w:bookmarkStart w:id="76" w:name="_Toc104389981"/>
      <w:r>
        <w:rPr>
          <w:rFonts w:hint="eastAsia" w:ascii="仿宋_GB2312" w:hAnsi="仿宋" w:eastAsia="仿宋_GB2312" w:cs="Times New Roman"/>
          <w:b/>
          <w:kern w:val="0"/>
          <w:sz w:val="30"/>
          <w:szCs w:val="30"/>
        </w:rPr>
        <w:t>三、强化矿业分析与评估</w:t>
      </w:r>
      <w:bookmarkEnd w:id="76"/>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加强矿业形势分析、产业发展的统计和监测，强化对规划实施情况的跟踪分析和动态评估。因地质找矿新发现、新成果或经济社会发展形势等发生变化，以及国家、省和市人民政府相关要求等，确需对规划内容进行修改的，严格按照有关规定程序办理。</w:t>
      </w:r>
    </w:p>
    <w:p>
      <w:pPr>
        <w:spacing w:line="360" w:lineRule="auto"/>
        <w:ind w:firstLine="602" w:firstLineChars="200"/>
        <w:jc w:val="left"/>
        <w:outlineLvl w:val="2"/>
        <w:rPr>
          <w:rFonts w:ascii="仿宋" w:hAnsi="仿宋" w:eastAsia="仿宋" w:cs="Times New Roman"/>
          <w:spacing w:val="-4"/>
          <w:kern w:val="0"/>
          <w:sz w:val="28"/>
          <w:szCs w:val="28"/>
        </w:rPr>
      </w:pPr>
      <w:bookmarkStart w:id="77" w:name="_Toc104389982"/>
      <w:r>
        <w:rPr>
          <w:rFonts w:hint="eastAsia" w:ascii="仿宋_GB2312" w:hAnsi="仿宋" w:eastAsia="仿宋_GB2312" w:cs="Times New Roman"/>
          <w:b/>
          <w:kern w:val="0"/>
          <w:sz w:val="30"/>
          <w:szCs w:val="30"/>
        </w:rPr>
        <w:t>四、加大矿业资金保障</w:t>
      </w:r>
      <w:bookmarkEnd w:id="77"/>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积极争取中央财政资金，保障基础性、公益性地质调查等基础调查工作。按照财政事权与支出责任划分原则，自然资源主管部门会同财政部门结合地方财政实际，统筹考虑加大对地方基础性、公益性、地质科学研究等工作的支持力度，积极引导各类社会资金投入矿产勘查开发。加强重大项目实施领导和组织协调，优先安排财政资金，切实保障重大项目落地实施。</w:t>
      </w:r>
    </w:p>
    <w:p>
      <w:pPr>
        <w:spacing w:line="360" w:lineRule="auto"/>
        <w:ind w:firstLine="602" w:firstLineChars="200"/>
        <w:jc w:val="left"/>
        <w:outlineLvl w:val="2"/>
        <w:rPr>
          <w:rFonts w:ascii="仿宋" w:hAnsi="仿宋" w:eastAsia="仿宋" w:cs="Times New Roman"/>
          <w:spacing w:val="-4"/>
          <w:kern w:val="0"/>
          <w:sz w:val="28"/>
          <w:szCs w:val="28"/>
        </w:rPr>
      </w:pPr>
      <w:bookmarkStart w:id="78" w:name="_Toc104389983"/>
      <w:r>
        <w:rPr>
          <w:rFonts w:hint="eastAsia" w:ascii="仿宋_GB2312" w:hAnsi="仿宋" w:eastAsia="仿宋_GB2312" w:cs="Times New Roman"/>
          <w:b/>
          <w:kern w:val="0"/>
          <w:sz w:val="30"/>
          <w:szCs w:val="30"/>
        </w:rPr>
        <w:t>五、提高矿业信息化管理</w:t>
      </w:r>
      <w:bookmarkEnd w:id="78"/>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以</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自然资源云</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为统领，加强与</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一张图</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数据库和政务办公、综合监管、公共服务</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三大平台</w:t>
      </w:r>
      <w:r>
        <w:rPr>
          <w:rFonts w:ascii="仿宋" w:hAnsi="仿宋" w:eastAsia="仿宋" w:cs="Times New Roman"/>
          <w:spacing w:val="-4"/>
          <w:kern w:val="0"/>
          <w:sz w:val="28"/>
          <w:szCs w:val="28"/>
        </w:rPr>
        <w:t>”</w:t>
      </w:r>
      <w:r>
        <w:rPr>
          <w:rFonts w:hint="eastAsia" w:ascii="仿宋" w:hAnsi="仿宋" w:eastAsia="仿宋" w:cs="Times New Roman"/>
          <w:spacing w:val="-4"/>
          <w:kern w:val="0"/>
          <w:sz w:val="28"/>
          <w:szCs w:val="28"/>
        </w:rPr>
        <w:t>相衔接，充分利用信息化手段，加强规划管理数据运用，促进规划管理的科学性和现势性。根据自然资源部、省自然资源厅统一安排，实行规划数据库集中动态调整，根据地质找矿新发现和当年矿业权出让计划安排需要，对确需调整的勘查开采规划区块，每年进行集中调整，纳入规划数据库。</w:t>
      </w:r>
    </w:p>
    <w:p>
      <w:pPr>
        <w:spacing w:line="360" w:lineRule="auto"/>
        <w:ind w:firstLine="602" w:firstLineChars="200"/>
        <w:jc w:val="left"/>
        <w:outlineLvl w:val="2"/>
        <w:rPr>
          <w:rFonts w:ascii="仿宋" w:hAnsi="仿宋" w:eastAsia="仿宋" w:cs="Times New Roman"/>
          <w:spacing w:val="-4"/>
          <w:kern w:val="0"/>
          <w:sz w:val="28"/>
          <w:szCs w:val="28"/>
        </w:rPr>
      </w:pPr>
      <w:bookmarkStart w:id="79" w:name="_Toc104389984"/>
      <w:r>
        <w:rPr>
          <w:rFonts w:hint="eastAsia" w:ascii="仿宋_GB2312" w:hAnsi="仿宋" w:eastAsia="仿宋_GB2312" w:cs="Times New Roman"/>
          <w:b/>
          <w:kern w:val="0"/>
          <w:sz w:val="30"/>
          <w:szCs w:val="30"/>
        </w:rPr>
        <w:t>六、建立健全矿业监督机制</w:t>
      </w:r>
      <w:bookmarkEnd w:id="79"/>
    </w:p>
    <w:p>
      <w:pPr>
        <w:spacing w:line="360" w:lineRule="auto"/>
        <w:ind w:firstLine="544" w:firstLineChars="200"/>
        <w:rPr>
          <w:rFonts w:ascii="仿宋" w:hAnsi="仿宋" w:eastAsia="仿宋" w:cs="Times New Roman"/>
          <w:spacing w:val="-4"/>
          <w:kern w:val="0"/>
          <w:sz w:val="28"/>
          <w:szCs w:val="28"/>
        </w:rPr>
      </w:pPr>
      <w:r>
        <w:rPr>
          <w:rFonts w:hint="eastAsia" w:ascii="仿宋" w:hAnsi="仿宋" w:eastAsia="仿宋" w:cs="Times New Roman"/>
          <w:spacing w:val="-4"/>
          <w:kern w:val="0"/>
          <w:sz w:val="28"/>
          <w:szCs w:val="28"/>
        </w:rPr>
        <w:t>矿产资源规划实施情况列入自然资源执法监督的重要内容。建立约束性指标的年度实施检查制度，强化对规划重点区域矿产勘查开发活动的监督管理。完善规划公众参与、规划听证、规划公示、审核报批等制度。加强信息公示，依法对须公开的相关信息及时进行公示，自觉接受社会监督，畅通监督举报渠道。</w:t>
      </w:r>
    </w:p>
    <w:p>
      <w:pPr>
        <w:pStyle w:val="2"/>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姚体">
    <w:altName w:val="Droid Sans Fallback"/>
    <w:panose1 w:val="02010601030101010101"/>
    <w:charset w:val="86"/>
    <w:family w:val="auto"/>
    <w:pitch w:val="default"/>
    <w:sig w:usb0="00000000" w:usb1="00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Droid Sans Fallback">
    <w:panose1 w:val="020B0502000000000001"/>
    <w:charset w:val="86"/>
    <w:family w:val="auto"/>
    <w:pitch w:val="default"/>
    <w:sig w:usb0="910002FF" w:usb1="2BDFFCFB" w:usb2="00000036" w:usb3="00000000" w:csb0="203F01FF" w:csb1="D7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roid Sans Ethiopic">
    <w:panose1 w:val="020B0606030804020204"/>
    <w:charset w:val="00"/>
    <w:family w:val="auto"/>
    <w:pitch w:val="default"/>
    <w:sig w:usb0="00000003" w:usb1="00000000" w:usb2="00000800" w:usb3="00000000" w:csb0="00000001"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913579598"/>
                            <w:docPartObj>
                              <w:docPartGallery w:val="autotext"/>
                            </w:docPartObj>
                          </w:sdtPr>
                          <w:sdtContent>
                            <w:p>
                              <w:pPr>
                                <w:pStyle w:val="6"/>
                                <w:jc w:val="center"/>
                              </w:pPr>
                              <w:r>
                                <w:fldChar w:fldCharType="begin"/>
                              </w:r>
                              <w:r>
                                <w:instrText xml:space="preserve">PAGE   \* MERGEFORMAT</w:instrText>
                              </w:r>
                              <w:r>
                                <w:fldChar w:fldCharType="separate"/>
                              </w:r>
                              <w:r>
                                <w:rPr>
                                  <w:sz w:val="21"/>
                                  <w:lang w:val="zh-CN"/>
                                </w:rPr>
                                <w:t>iii</w:t>
                              </w:r>
                              <w: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&#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WAAAAZHJzL1BLAQIUABQAAAAIAIdO4kCzSVju0AAAAAUBAAAPAAAAAAAAAAEAIAAAADgAAABk&#10;cnMvZG93bnJldi54bWxQSwECFAAUAAAACACHTuJASLb2J9wCAAAkBgAADgAAAAAAAAABACAAAAA1&#10;AQAAZHJzL2Uyb0RvYy54bWxQSwUGAAAAAAYABgBZAQAAgwYAAAAA&#10;">
              <v:fill on="f" focussize="0,0"/>
              <v:stroke on="f" weight="0.5pt"/>
              <v:imagedata o:title=""/>
              <o:lock v:ext="edit" aspectratio="f"/>
              <v:textbox inset="0mm,0mm,0mm,0mm" style="mso-fit-shape-to-text:t;">
                <w:txbxContent>
                  <w:sdt>
                    <w:sdtPr>
                      <w:id w:val="1913579598"/>
                      <w:docPartObj>
                        <w:docPartGallery w:val="autotext"/>
                      </w:docPartObj>
                    </w:sdtPr>
                    <w:sdtContent>
                      <w:p>
                        <w:pPr>
                          <w:pStyle w:val="6"/>
                          <w:jc w:val="center"/>
                        </w:pPr>
                        <w:r>
                          <w:fldChar w:fldCharType="begin"/>
                        </w:r>
                        <w:r>
                          <w:instrText xml:space="preserve">PAGE   \* MERGEFORMAT</w:instrText>
                        </w:r>
                        <w:r>
                          <w:fldChar w:fldCharType="separate"/>
                        </w:r>
                        <w:r>
                          <w:rPr>
                            <w:sz w:val="21"/>
                            <w:lang w:val="zh-CN"/>
                          </w:rPr>
                          <w:t>iii</w:t>
                        </w:r>
                        <w:r>
                          <w:fldChar w:fldCharType="end"/>
                        </w:r>
                      </w:p>
                    </w:sdtContent>
                  </w:sdt>
                  <w:p>
                    <w:pPr>
                      <w:pStyle w:val="2"/>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wNjI0OTk1NGJiZDM4M2QyNDZhNjJiZjhlNzc3NTMifQ=="/>
  </w:docVars>
  <w:rsids>
    <w:rsidRoot w:val="6D7E3792"/>
    <w:rsid w:val="011416EC"/>
    <w:rsid w:val="36B424C7"/>
    <w:rsid w:val="4B374CDF"/>
    <w:rsid w:val="55CFD22A"/>
    <w:rsid w:val="6D7E3792"/>
    <w:rsid w:val="73C94419"/>
    <w:rsid w:val="7D7FBC71"/>
    <w:rsid w:val="DC951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PlainText"/>
    <w:basedOn w:val="1"/>
    <w:qFormat/>
    <w:uiPriority w:val="0"/>
    <w:pPr>
      <w:ind w:firstLine="964" w:firstLineChars="200"/>
      <w:textAlignment w:val="baseline"/>
    </w:pPr>
    <w:rPr>
      <w:rFonts w:ascii="宋体" w:hAnsi="宋体" w:eastAsia="仿宋"/>
    </w:rPr>
  </w:style>
  <w:style w:type="paragraph" w:styleId="3">
    <w:name w:val="Body Text"/>
    <w:basedOn w:val="1"/>
    <w:qFormat/>
    <w:uiPriority w:val="1"/>
    <w:rPr>
      <w:rFonts w:ascii="宋体" w:hAnsi="宋体" w:eastAsia="宋体" w:cs="宋体"/>
      <w:sz w:val="32"/>
      <w:szCs w:val="32"/>
      <w:lang w:val="zh-CN" w:eastAsia="zh-CN" w:bidi="zh-CN"/>
    </w:rPr>
  </w:style>
  <w:style w:type="paragraph" w:styleId="4">
    <w:name w:val="Body Text Indent"/>
    <w:basedOn w:val="1"/>
    <w:qFormat/>
    <w:uiPriority w:val="0"/>
    <w:pPr>
      <w:spacing w:line="580" w:lineRule="exact"/>
      <w:ind w:firstLine="646"/>
    </w:pPr>
    <w:rPr>
      <w:rFonts w:eastAsia="仿宋_GB2312"/>
      <w:sz w:val="32"/>
      <w:szCs w:val="20"/>
    </w:rPr>
  </w:style>
  <w:style w:type="paragraph" w:styleId="5">
    <w:name w:val="toc 3"/>
    <w:basedOn w:val="1"/>
    <w:next w:val="1"/>
    <w:qFormat/>
    <w:uiPriority w:val="39"/>
    <w:pPr>
      <w:ind w:left="420"/>
      <w:jc w:val="left"/>
    </w:pPr>
    <w:rPr>
      <w:rFonts w:cstheme="minorHAnsi"/>
      <w:i/>
      <w:iCs/>
      <w:sz w:val="20"/>
      <w:szCs w:val="20"/>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39"/>
    <w:pPr>
      <w:spacing w:before="120" w:after="120"/>
      <w:jc w:val="left"/>
    </w:pPr>
    <w:rPr>
      <w:rFonts w:cstheme="minorHAnsi"/>
      <w:b/>
      <w:bCs/>
      <w:caps/>
      <w:sz w:val="20"/>
      <w:szCs w:val="20"/>
    </w:rPr>
  </w:style>
  <w:style w:type="paragraph" w:styleId="9">
    <w:name w:val="toc 2"/>
    <w:basedOn w:val="1"/>
    <w:next w:val="1"/>
    <w:qFormat/>
    <w:uiPriority w:val="39"/>
    <w:pPr>
      <w:ind w:left="210"/>
      <w:jc w:val="left"/>
    </w:pPr>
    <w:rPr>
      <w:rFonts w:cstheme="minorHAnsi"/>
      <w:smallCaps/>
      <w:sz w:val="20"/>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4"/>
    <w:qFormat/>
    <w:uiPriority w:val="0"/>
    <w:pPr>
      <w:spacing w:after="120"/>
      <w:ind w:left="200" w:leftChars="200" w:firstLine="420" w:firstLineChars="200"/>
    </w:p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paragraph" w:customStyle="1" w:styleId="15">
    <w:name w:val="Default"/>
    <w:qFormat/>
    <w:uiPriority w:val="0"/>
    <w:pPr>
      <w:widowControl w:val="0"/>
      <w:autoSpaceDE w:val="0"/>
      <w:autoSpaceDN w:val="0"/>
      <w:adjustRightInd w:val="0"/>
    </w:pPr>
    <w:rPr>
      <w:rFonts w:ascii="方正小标宋简体" w:hAnsi="方正小标宋简体" w:eastAsia="宋体" w:cs="方正小标宋简体"/>
      <w:color w:val="000000"/>
      <w:sz w:val="24"/>
      <w:szCs w:val="24"/>
      <w:lang w:val="en-US" w:eastAsia="zh-CN" w:bidi="ar-SA"/>
    </w:rPr>
  </w:style>
  <w:style w:type="table" w:customStyle="1" w:styleId="16">
    <w:name w:val="Table Normal"/>
    <w:semiHidden/>
    <w:unhideWhenUsed/>
    <w:qFormat/>
    <w:uiPriority w:val="2"/>
    <w:pPr>
      <w:widowControl w:val="0"/>
    </w:pPr>
    <w:rPr>
      <w:kern w:val="0"/>
      <w:sz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18351</Words>
  <Characters>19108</Characters>
  <Lines>0</Lines>
  <Paragraphs>0</Paragraphs>
  <TotalTime>1</TotalTime>
  <ScaleCrop>false</ScaleCrop>
  <LinksUpToDate>false</LinksUpToDate>
  <CharactersWithSpaces>19352</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2022-09-27T19:34:00Z</dcterms:created>
  <dc:creator>HDHSHS</dc:creator>
  <cp:lastModifiedBy>kylin</cp:lastModifiedBy>
  <cp:lastPrinted>2022-10-26T00:14:00Z</cp:lastPrinted>
  <dcterms:modified xsi:type="dcterms:W3CDTF">2022-11-02T15:07:56Z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5DC475B5CC6E4E029FEDAE06358371CF</vt:lpwstr>
  </property>
</Properties>
</file>