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CA32C">
      <w:pPr>
        <w:spacing w:line="240" w:lineRule="auto"/>
        <w:ind w:right="-512" w:rightChars="-244"/>
        <w:jc w:val="both"/>
        <w:rPr>
          <w:rFonts w:hint="eastAsia" w:ascii="楷体_GB2312" w:hAnsi="Calibri" w:eastAsia="楷体_GB2312" w:cs="Times New Roman"/>
          <w:sz w:val="32"/>
          <w:szCs w:val="22"/>
        </w:rPr>
      </w:pPr>
      <w:r>
        <w:rPr>
          <w:rFonts w:hint="eastAsia" w:ascii="方正小标宋简体" w:hAnsi="华文中宋" w:eastAsia="方正小标宋简体" w:cs="Times New Roman"/>
          <w:color w:val="FF0000"/>
          <w:w w:val="66"/>
          <w:sz w:val="96"/>
          <w:szCs w:val="96"/>
        </w:rPr>
        <w:t>南昌市西湖区人民政府办公室文件</w:t>
      </w:r>
    </w:p>
    <w:p w14:paraId="6E12FC67">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outlineLvl w:val="9"/>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西府</w:t>
      </w:r>
      <w:r>
        <w:rPr>
          <w:rFonts w:hint="eastAsia" w:ascii="楷体_GB2312" w:hAnsi="仿宋_GB2312" w:eastAsia="楷体_GB2312" w:cs="仿宋_GB2312"/>
          <w:sz w:val="32"/>
          <w:szCs w:val="32"/>
          <w:lang w:val="en-US" w:eastAsia="zh-CN"/>
        </w:rPr>
        <w:t>办</w:t>
      </w:r>
      <w:r>
        <w:rPr>
          <w:rFonts w:hint="eastAsia" w:ascii="楷体_GB2312" w:hAnsi="仿宋_GB2312" w:eastAsia="楷体_GB2312" w:cs="仿宋_GB2312"/>
          <w:sz w:val="32"/>
          <w:szCs w:val="32"/>
        </w:rPr>
        <w:t>发〔20</w:t>
      </w:r>
      <w:r>
        <w:rPr>
          <w:rFonts w:hint="eastAsia" w:ascii="楷体_GB2312" w:hAnsi="仿宋_GB2312" w:eastAsia="楷体_GB2312" w:cs="仿宋_GB2312"/>
          <w:sz w:val="32"/>
          <w:szCs w:val="32"/>
          <w:lang w:val="en-US" w:eastAsia="zh-CN"/>
        </w:rPr>
        <w:t>22</w:t>
      </w:r>
      <w:r>
        <w:rPr>
          <w:rFonts w:hint="eastAsia" w:ascii="楷体_GB2312" w:hAnsi="仿宋_GB2312" w:eastAsia="楷体_GB2312" w:cs="仿宋_GB2312"/>
          <w:sz w:val="32"/>
          <w:szCs w:val="32"/>
        </w:rPr>
        <w:t>〕</w:t>
      </w:r>
      <w:r>
        <w:rPr>
          <w:rFonts w:hint="eastAsia" w:ascii="楷体_GB2312" w:hAnsi="仿宋_GB2312" w:eastAsia="楷体_GB2312" w:cs="仿宋_GB2312"/>
          <w:sz w:val="32"/>
          <w:szCs w:val="32"/>
          <w:lang w:val="en-US" w:eastAsia="zh-CN"/>
        </w:rPr>
        <w:t>11</w:t>
      </w:r>
      <w:r>
        <w:rPr>
          <w:rFonts w:hint="eastAsia" w:ascii="楷体_GB2312" w:hAnsi="仿宋_GB2312" w:eastAsia="楷体_GB2312" w:cs="仿宋_GB2312"/>
          <w:sz w:val="32"/>
          <w:szCs w:val="32"/>
        </w:rPr>
        <w:t>号</w:t>
      </w:r>
    </w:p>
    <w:p w14:paraId="361F6B16">
      <w:pPr>
        <w:spacing w:line="560" w:lineRule="exact"/>
        <w:ind w:firstLine="640" w:firstLineChars="200"/>
        <w:jc w:val="center"/>
        <w:rPr>
          <w:rFonts w:hint="eastAsia" w:ascii="楷体_GB2312" w:hAnsi="仿宋_GB2312" w:eastAsia="楷体_GB2312" w:cs="仿宋_GB2312"/>
          <w:sz w:val="32"/>
          <w:szCs w:val="32"/>
        </w:rPr>
      </w:pPr>
    </w:p>
    <w:p w14:paraId="1B08103B">
      <w:pPr>
        <w:spacing w:line="560" w:lineRule="exact"/>
        <w:jc w:val="center"/>
        <w:rPr>
          <w:rFonts w:hint="eastAsia" w:ascii="方正小标宋简体" w:eastAsia="方正小标宋简体"/>
          <w:b w:val="0"/>
          <w:bCs/>
          <w:sz w:val="44"/>
          <w:szCs w:val="44"/>
        </w:rPr>
      </w:pPr>
      <w:r>
        <w:rPr>
          <w:rFonts w:hint="eastAsia" w:ascii="华文中宋" w:hAnsi="华文中宋" w:eastAsia="华文中宋" w:cs="仿宋_GB2312"/>
          <w:color w:val="FF3300"/>
          <w:sz w:val="72"/>
          <w:szCs w:val="72"/>
        </w:rPr>
        <mc:AlternateContent>
          <mc:Choice Requires="wps">
            <w:drawing>
              <wp:anchor distT="0" distB="0" distL="114300" distR="114300" simplePos="0" relativeHeight="251660288" behindDoc="0" locked="0" layoutInCell="1" allowOverlap="1">
                <wp:simplePos x="0" y="0"/>
                <wp:positionH relativeFrom="column">
                  <wp:posOffset>-163830</wp:posOffset>
                </wp:positionH>
                <wp:positionV relativeFrom="paragraph">
                  <wp:posOffset>7620</wp:posOffset>
                </wp:positionV>
                <wp:extent cx="6086475" cy="0"/>
                <wp:effectExtent l="0" t="13970" r="9525" b="24130"/>
                <wp:wrapNone/>
                <wp:docPr id="3" name="直接连接符 3"/>
                <wp:cNvGraphicFramePr/>
                <a:graphic xmlns:a="http://schemas.openxmlformats.org/drawingml/2006/main">
                  <a:graphicData uri="http://schemas.microsoft.com/office/word/2010/wordprocessingShape">
                    <wps:wsp>
                      <wps:cNvCnPr/>
                      <wps:spPr>
                        <a:xfrm>
                          <a:off x="700405" y="4220845"/>
                          <a:ext cx="6086475" cy="0"/>
                        </a:xfrm>
                        <a:prstGeom prst="line">
                          <a:avLst/>
                        </a:prstGeom>
                        <a:ln w="28575" cap="flat" cmpd="sng">
                          <a:solidFill>
                            <a:srgbClr val="CC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2.9pt;margin-top:0.6pt;height:0pt;width:479.25pt;z-index:251660288;mso-width-relative:page;mso-height-relative:page;" filled="f" stroked="t" coordsize="21600,21600" o:gfxdata="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WZ9Hf1AAAAAcBAAAPAAAAAAAAAAEAIAAAACIAAABk&#10;cnMvZG93bnJldi54bWxQSwECFAAUAAAACACHTuJAm1FqxQoCAAD+AwAADgAAAAAAAAABACAAAAAj&#10;AQAAZHJzL2Uyb0RvYy54bWxQSwUGAAAAAAYABgBZAQAAnwUAAAAA&#10;">
                <v:fill on="f" focussize="0,0"/>
                <v:stroke weight="2.25pt" color="#CC0000" joinstyle="round"/>
                <v:imagedata o:title=""/>
                <o:lock v:ext="edit" aspectratio="f"/>
              </v:line>
            </w:pict>
          </mc:Fallback>
        </mc:AlternateContent>
      </w:r>
    </w:p>
    <w:p w14:paraId="258C997E">
      <w:pPr>
        <w:spacing w:line="560" w:lineRule="exact"/>
        <w:jc w:val="center"/>
        <w:rPr>
          <w:rFonts w:hint="default" w:ascii="方正小标宋简体" w:eastAsia="方正小标宋简体"/>
          <w:sz w:val="44"/>
          <w:szCs w:val="44"/>
          <w:lang w:val="en-US" w:eastAsia="zh-CN"/>
        </w:rPr>
      </w:pPr>
      <w:r>
        <w:rPr>
          <w:rFonts w:hint="eastAsia" w:ascii="方正小标宋简体" w:eastAsia="方正小标宋简体"/>
          <w:sz w:val="44"/>
          <w:szCs w:val="44"/>
          <w:lang w:val="en-US" w:eastAsia="zh-CN"/>
        </w:rPr>
        <w:t>关于印发《南昌市西湖区开展货运车辆超限超载综合治理工作方案</w:t>
      </w:r>
      <w:r>
        <w:rPr>
          <w:rFonts w:hint="eastAsia" w:ascii="方正小标宋简体" w:eastAsia="方正小标宋简体"/>
          <w:sz w:val="44"/>
          <w:szCs w:val="44"/>
          <w:lang w:eastAsia="zh-CN"/>
        </w:rPr>
        <w:t>》</w:t>
      </w:r>
      <w:r>
        <w:rPr>
          <w:rFonts w:hint="eastAsia" w:ascii="方正小标宋简体" w:eastAsia="方正小标宋简体"/>
          <w:sz w:val="44"/>
          <w:szCs w:val="44"/>
          <w:lang w:val="en-US" w:eastAsia="zh-CN"/>
        </w:rPr>
        <w:t>的通知</w:t>
      </w:r>
    </w:p>
    <w:p w14:paraId="331F6869">
      <w:pPr>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ascii="仿宋_GB2312" w:eastAsia="仿宋_GB2312"/>
          <w:sz w:val="32"/>
          <w:szCs w:val="32"/>
          <w:lang w:val="en-US" w:eastAsia="zh-CN"/>
        </w:rPr>
      </w:pPr>
    </w:p>
    <w:p w14:paraId="506B89D5">
      <w:pPr>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ascii="仿宋_GB2312" w:eastAsia="仿宋_GB2312"/>
          <w:sz w:val="32"/>
          <w:szCs w:val="32"/>
          <w:lang w:val="en-US" w:eastAsia="zh-CN"/>
        </w:rPr>
      </w:pPr>
      <w:r>
        <w:rPr>
          <w:rFonts w:hint="eastAsia" w:ascii="仿宋_GB2312" w:eastAsia="仿宋_GB2312"/>
          <w:sz w:val="32"/>
          <w:szCs w:val="32"/>
          <w:lang w:val="en-US" w:eastAsia="zh-CN"/>
        </w:rPr>
        <w:t>桃花镇政府、各街办、区政府各部门、区直各单位：</w:t>
      </w:r>
    </w:p>
    <w:p w14:paraId="06CDCB64">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方正小标宋简体" w:eastAsia="方正小标宋简体"/>
          <w:b w:val="0"/>
          <w:bCs/>
          <w:sz w:val="44"/>
          <w:szCs w:val="44"/>
        </w:rPr>
      </w:pPr>
      <w:r>
        <w:rPr>
          <w:rFonts w:hint="eastAsia" w:ascii="仿宋_GB2312" w:hAnsi="仿宋_GB2312" w:eastAsia="仿宋_GB2312" w:cs="仿宋_GB2312"/>
          <w:sz w:val="32"/>
          <w:szCs w:val="32"/>
          <w:lang w:val="en-US" w:eastAsia="zh-CN"/>
        </w:rPr>
        <w:t>《南昌市西湖区开展货运车辆超限超载综合治理工作方案》已经十七届区政府第10次常务会研究同意，现印发给你们，请结合实际，认真贯彻执行。</w:t>
      </w:r>
    </w:p>
    <w:p w14:paraId="435D17D7">
      <w:pPr>
        <w:keepNext w:val="0"/>
        <w:keepLines w:val="0"/>
        <w:pageBreakBefore w:val="0"/>
        <w:widowControl w:val="0"/>
        <w:kinsoku/>
        <w:wordWrap/>
        <w:overflowPunct/>
        <w:topLinePunct w:val="0"/>
        <w:bidi w:val="0"/>
        <w:snapToGrid/>
        <w:spacing w:line="580" w:lineRule="exact"/>
        <w:ind w:right="0"/>
        <w:jc w:val="center"/>
        <w:textAlignment w:val="auto"/>
        <w:rPr>
          <w:rFonts w:hint="eastAsia" w:ascii="方正小标宋简体" w:eastAsia="方正小标宋简体"/>
          <w:b w:val="0"/>
          <w:bCs/>
          <w:sz w:val="44"/>
          <w:szCs w:val="44"/>
        </w:rPr>
      </w:pPr>
      <w:r>
        <w:rPr>
          <w:rFonts w:hint="eastAsia" w:ascii="仿宋_GB2312" w:hAnsi="仿宋_GB2312" w:eastAsia="仿宋_GB2312" w:cs="仿宋_GB2312"/>
          <w:sz w:val="32"/>
          <w:szCs w:val="32"/>
          <w:lang w:eastAsia="zh-CN"/>
        </w:rPr>
        <w:drawing>
          <wp:anchor distT="0" distB="0" distL="114300" distR="114300" simplePos="0" relativeHeight="251663360" behindDoc="0" locked="0" layoutInCell="1" allowOverlap="1">
            <wp:simplePos x="0" y="0"/>
            <wp:positionH relativeFrom="column">
              <wp:posOffset>4379595</wp:posOffset>
            </wp:positionH>
            <wp:positionV relativeFrom="paragraph">
              <wp:posOffset>7701915</wp:posOffset>
            </wp:positionV>
            <wp:extent cx="1475105" cy="1475105"/>
            <wp:effectExtent l="0" t="0" r="10795" b="10795"/>
            <wp:wrapNone/>
            <wp:docPr id="5" name="图片 6" descr="公章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公章图片"/>
                    <pic:cNvPicPr>
                      <a:picLocks noChangeAspect="1"/>
                    </pic:cNvPicPr>
                  </pic:nvPicPr>
                  <pic:blipFill>
                    <a:blip r:embed="rId5"/>
                    <a:stretch>
                      <a:fillRect/>
                    </a:stretch>
                  </pic:blipFill>
                  <pic:spPr>
                    <a:xfrm>
                      <a:off x="0" y="0"/>
                      <a:ext cx="1475105" cy="1475105"/>
                    </a:xfrm>
                    <a:prstGeom prst="rect">
                      <a:avLst/>
                    </a:prstGeom>
                    <a:noFill/>
                    <a:ln>
                      <a:noFill/>
                    </a:ln>
                  </pic:spPr>
                </pic:pic>
              </a:graphicData>
            </a:graphic>
          </wp:anchor>
        </w:drawing>
      </w:r>
    </w:p>
    <w:p w14:paraId="57083238">
      <w:pPr>
        <w:keepNext w:val="0"/>
        <w:keepLines w:val="0"/>
        <w:pageBreakBefore w:val="0"/>
        <w:widowControl w:val="0"/>
        <w:kinsoku/>
        <w:wordWrap/>
        <w:overflowPunct/>
        <w:topLinePunct w:val="0"/>
        <w:bidi w:val="0"/>
        <w:snapToGrid/>
        <w:spacing w:line="580" w:lineRule="exact"/>
        <w:ind w:right="0"/>
        <w:jc w:val="center"/>
        <w:textAlignment w:val="auto"/>
        <w:rPr>
          <w:rFonts w:hint="eastAsia" w:ascii="方正小标宋简体" w:eastAsia="方正小标宋简体"/>
          <w:b w:val="0"/>
          <w:bCs/>
          <w:sz w:val="44"/>
          <w:szCs w:val="44"/>
        </w:rPr>
      </w:pPr>
      <w:bookmarkStart w:id="0" w:name="_GoBack"/>
      <w:bookmarkEnd w:id="0"/>
    </w:p>
    <w:p w14:paraId="4DDACF7D">
      <w:pPr>
        <w:keepNext w:val="0"/>
        <w:keepLines w:val="0"/>
        <w:pageBreakBefore w:val="0"/>
        <w:widowControl w:val="0"/>
        <w:kinsoku/>
        <w:wordWrap/>
        <w:overflowPunct/>
        <w:topLinePunct w:val="0"/>
        <w:bidi w:val="0"/>
        <w:snapToGrid/>
        <w:spacing w:line="240" w:lineRule="auto"/>
        <w:ind w:right="0"/>
        <w:jc w:val="center"/>
        <w:textAlignment w:val="auto"/>
        <w:rPr>
          <w:rFonts w:hint="eastAsia" w:ascii="方正小标宋简体" w:eastAsia="方正小标宋简体"/>
          <w:b w:val="0"/>
          <w:bCs/>
          <w:sz w:val="44"/>
          <w:szCs w:val="44"/>
          <w:lang w:eastAsia="zh-CN"/>
        </w:rPr>
      </w:pPr>
    </w:p>
    <w:p w14:paraId="7B389478">
      <w:pPr>
        <w:keepNext w:val="0"/>
        <w:keepLines w:val="0"/>
        <w:pageBreakBefore w:val="0"/>
        <w:kinsoku/>
        <w:wordWrap/>
        <w:overflowPunct/>
        <w:topLinePunct w:val="0"/>
        <w:autoSpaceDE/>
        <w:autoSpaceDN/>
        <w:bidi w:val="0"/>
        <w:adjustRightInd/>
        <w:snapToGrid/>
        <w:spacing w:line="600" w:lineRule="exact"/>
        <w:ind w:firstLine="6400" w:firstLineChars="20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2022年3月15日</w:t>
      </w:r>
    </w:p>
    <w:p w14:paraId="792E92FD">
      <w:pPr>
        <w:keepNext w:val="0"/>
        <w:keepLines w:val="0"/>
        <w:pageBreakBefore w:val="0"/>
        <w:widowControl w:val="0"/>
        <w:kinsoku/>
        <w:wordWrap/>
        <w:overflowPunct/>
        <w:topLinePunct w:val="0"/>
        <w:bidi w:val="0"/>
        <w:snapToGrid/>
        <w:spacing w:line="580" w:lineRule="exact"/>
        <w:ind w:right="0"/>
        <w:jc w:val="center"/>
        <w:textAlignment w:val="auto"/>
        <w:rPr>
          <w:rFonts w:hint="eastAsia" w:ascii="方正小标宋简体" w:eastAsia="方正小标宋简体"/>
          <w:b w:val="0"/>
          <w:bCs/>
          <w:sz w:val="44"/>
          <w:szCs w:val="44"/>
        </w:rPr>
      </w:pPr>
    </w:p>
    <w:p w14:paraId="38FBA017">
      <w:pPr>
        <w:keepNext w:val="0"/>
        <w:keepLines w:val="0"/>
        <w:pageBreakBefore w:val="0"/>
        <w:widowControl w:val="0"/>
        <w:kinsoku/>
        <w:wordWrap/>
        <w:overflowPunct/>
        <w:topLinePunct w:val="0"/>
        <w:bidi w:val="0"/>
        <w:snapToGrid/>
        <w:spacing w:line="580" w:lineRule="exact"/>
        <w:ind w:right="0"/>
        <w:jc w:val="center"/>
        <w:textAlignment w:val="auto"/>
        <w:rPr>
          <w:rFonts w:hint="eastAsia" w:ascii="方正小标宋简体" w:eastAsia="方正小标宋简体"/>
          <w:b w:val="0"/>
          <w:bCs/>
          <w:sz w:val="44"/>
          <w:szCs w:val="44"/>
        </w:rPr>
      </w:pPr>
    </w:p>
    <w:p w14:paraId="6D2D9BAB">
      <w:pPr>
        <w:keepNext w:val="0"/>
        <w:keepLines w:val="0"/>
        <w:pageBreakBefore w:val="0"/>
        <w:widowControl w:val="0"/>
        <w:kinsoku/>
        <w:wordWrap/>
        <w:overflowPunct/>
        <w:topLinePunct w:val="0"/>
        <w:bidi w:val="0"/>
        <w:snapToGrid/>
        <w:spacing w:line="580" w:lineRule="exact"/>
        <w:ind w:right="0"/>
        <w:jc w:val="center"/>
        <w:textAlignment w:val="auto"/>
        <w:rPr>
          <w:rFonts w:hint="eastAsia" w:ascii="方正小标宋简体" w:eastAsia="方正小标宋简体"/>
          <w:b w:val="0"/>
          <w:bCs/>
          <w:sz w:val="44"/>
          <w:szCs w:val="44"/>
        </w:rPr>
      </w:pPr>
    </w:p>
    <w:p w14:paraId="7B1A814B">
      <w:pPr>
        <w:keepNext w:val="0"/>
        <w:keepLines w:val="0"/>
        <w:pageBreakBefore w:val="0"/>
        <w:widowControl w:val="0"/>
        <w:kinsoku/>
        <w:wordWrap/>
        <w:overflowPunct/>
        <w:topLinePunct w:val="0"/>
        <w:bidi w:val="0"/>
        <w:snapToGrid/>
        <w:spacing w:line="580" w:lineRule="exact"/>
        <w:ind w:right="0"/>
        <w:jc w:val="center"/>
        <w:textAlignment w:val="auto"/>
        <w:rPr>
          <w:rFonts w:hint="eastAsia" w:ascii="方正小标宋简体" w:eastAsia="方正小标宋简体"/>
          <w:b w:val="0"/>
          <w:bCs/>
          <w:sz w:val="44"/>
          <w:szCs w:val="44"/>
        </w:rPr>
      </w:pPr>
    </w:p>
    <w:p w14:paraId="1B885B51">
      <w:pPr>
        <w:keepNext w:val="0"/>
        <w:keepLines w:val="0"/>
        <w:pageBreakBefore w:val="0"/>
        <w:widowControl w:val="0"/>
        <w:kinsoku/>
        <w:wordWrap/>
        <w:overflowPunct/>
        <w:topLinePunct w:val="0"/>
        <w:bidi w:val="0"/>
        <w:snapToGrid/>
        <w:spacing w:line="580" w:lineRule="exact"/>
        <w:ind w:right="0"/>
        <w:jc w:val="center"/>
        <w:textAlignment w:val="auto"/>
        <w:rPr>
          <w:rFonts w:hint="eastAsia" w:ascii="方正小标宋简体" w:eastAsia="方正小标宋简体"/>
          <w:b w:val="0"/>
          <w:bCs/>
          <w:sz w:val="44"/>
          <w:szCs w:val="44"/>
        </w:rPr>
      </w:pPr>
    </w:p>
    <w:p w14:paraId="3D09F58E">
      <w:pPr>
        <w:keepNext w:val="0"/>
        <w:keepLines w:val="0"/>
        <w:pageBreakBefore w:val="0"/>
        <w:widowControl w:val="0"/>
        <w:kinsoku/>
        <w:wordWrap/>
        <w:overflowPunct/>
        <w:topLinePunct w:val="0"/>
        <w:bidi w:val="0"/>
        <w:snapToGrid/>
        <w:spacing w:line="580" w:lineRule="exact"/>
        <w:ind w:right="0"/>
        <w:jc w:val="center"/>
        <w:textAlignment w:val="auto"/>
        <w:rPr>
          <w:rFonts w:hint="eastAsia" w:ascii="方正小标宋简体" w:eastAsia="方正小标宋简体"/>
          <w:b w:val="0"/>
          <w:bCs/>
          <w:sz w:val="44"/>
          <w:szCs w:val="44"/>
        </w:rPr>
      </w:pPr>
    </w:p>
    <w:p w14:paraId="795CF72C">
      <w:pPr>
        <w:keepNext w:val="0"/>
        <w:keepLines w:val="0"/>
        <w:pageBreakBefore w:val="0"/>
        <w:widowControl w:val="0"/>
        <w:kinsoku/>
        <w:wordWrap/>
        <w:overflowPunct/>
        <w:topLinePunct w:val="0"/>
        <w:bidi w:val="0"/>
        <w:snapToGrid/>
        <w:spacing w:line="580" w:lineRule="exact"/>
        <w:ind w:right="0"/>
        <w:jc w:val="both"/>
        <w:textAlignment w:val="auto"/>
        <w:rPr>
          <w:rFonts w:hint="eastAsia" w:ascii="方正小标宋简体" w:eastAsia="方正小标宋简体"/>
          <w:b w:val="0"/>
          <w:bCs/>
          <w:sz w:val="44"/>
          <w:szCs w:val="44"/>
        </w:rPr>
      </w:pPr>
    </w:p>
    <w:p w14:paraId="45D9B5D3">
      <w:pPr>
        <w:keepNext w:val="0"/>
        <w:keepLines w:val="0"/>
        <w:pageBreakBefore w:val="0"/>
        <w:widowControl w:val="0"/>
        <w:kinsoku/>
        <w:wordWrap/>
        <w:overflowPunct/>
        <w:topLinePunct w:val="0"/>
        <w:bidi w:val="0"/>
        <w:snapToGrid/>
        <w:spacing w:line="580" w:lineRule="exact"/>
        <w:ind w:right="0"/>
        <w:jc w:val="center"/>
        <w:textAlignment w:val="auto"/>
        <w:rPr>
          <w:rFonts w:hint="eastAsia" w:ascii="方正小标宋简体" w:eastAsia="方正小标宋简体"/>
          <w:b w:val="0"/>
          <w:bCs/>
          <w:sz w:val="44"/>
          <w:szCs w:val="44"/>
        </w:rPr>
      </w:pPr>
      <w:r>
        <w:rPr>
          <w:rFonts w:hint="eastAsia" w:ascii="方正小标宋简体" w:eastAsia="方正小标宋简体"/>
          <w:b w:val="0"/>
          <w:bCs/>
          <w:sz w:val="44"/>
          <w:szCs w:val="44"/>
        </w:rPr>
        <w:t>南昌市西湖区开展货运车辆超限超载综合治理工作方案</w:t>
      </w:r>
    </w:p>
    <w:p w14:paraId="693C70B3">
      <w:pPr>
        <w:keepNext w:val="0"/>
        <w:keepLines w:val="0"/>
        <w:pageBreakBefore w:val="0"/>
        <w:widowControl w:val="0"/>
        <w:kinsoku/>
        <w:wordWrap/>
        <w:overflowPunct/>
        <w:topLinePunct w:val="0"/>
        <w:bidi w:val="0"/>
        <w:snapToGrid/>
        <w:spacing w:line="580" w:lineRule="exact"/>
        <w:ind w:right="0"/>
        <w:jc w:val="center"/>
        <w:textAlignment w:val="auto"/>
        <w:rPr>
          <w:rFonts w:hint="eastAsia" w:ascii="仿宋_GB2312" w:hAnsi="宋体" w:eastAsia="仿宋_GB2312"/>
          <w:sz w:val="36"/>
          <w:szCs w:val="36"/>
        </w:rPr>
      </w:pPr>
    </w:p>
    <w:p w14:paraId="33C7B7A6">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cs="仿宋"/>
          <w:sz w:val="32"/>
          <w:szCs w:val="32"/>
        </w:rPr>
      </w:pPr>
      <w:r>
        <w:rPr>
          <w:rFonts w:hint="eastAsia" w:ascii="仿宋_GB2312" w:hAnsi="仿宋" w:eastAsia="仿宋_GB2312"/>
          <w:sz w:val="32"/>
          <w:szCs w:val="32"/>
        </w:rPr>
        <w:t>根据南昌市人民政府办公室《关于印发全市深入开展治理货运车辆超限超载运输“百日攻坚”行动方案的通知》(洪府办发〔2022〕7 号)文件要求，为深入贯彻落实省、市人大常委会对我市公路货运车辆超限超载专项视察时提出的工作要求，进一步加强货物运输车辆超限超载治理，为经济社会发展创造更加安全、有序、顺畅的道路交通运输环境，保护人民群众生命财产安全，经区政府研究决定，在全区范围内开展货运车辆超限超载综合治理工作。</w:t>
      </w:r>
      <w:r>
        <w:rPr>
          <w:rFonts w:hint="eastAsia" w:ascii="仿宋_GB2312" w:hAnsi="仿宋" w:eastAsia="仿宋_GB2312" w:cs="仿宋"/>
          <w:sz w:val="32"/>
          <w:szCs w:val="32"/>
        </w:rPr>
        <w:t>为使治理工作取得成效，特制定本方案。</w:t>
      </w:r>
    </w:p>
    <w:p w14:paraId="566AD305">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一、工作目标</w:t>
      </w:r>
    </w:p>
    <w:p w14:paraId="77E0A4A3">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落实西湖区治超主体责任，组织行业监管部门加强对货运装载源头、道路货物运输的全过程监管，持续开展综合治理，遏制超限超载现象，逐步形成治超工作长效机制。</w:t>
      </w:r>
    </w:p>
    <w:p w14:paraId="3E307A84">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二、组织领导</w:t>
      </w:r>
    </w:p>
    <w:p w14:paraId="55C8E373">
      <w:pPr>
        <w:keepNext w:val="0"/>
        <w:keepLines w:val="0"/>
        <w:pageBreakBefore w:val="0"/>
        <w:widowControl w:val="0"/>
        <w:kinsoku/>
        <w:wordWrap/>
        <w:overflowPunct/>
        <w:topLinePunct w:val="0"/>
        <w:autoSpaceDE w:val="0"/>
        <w:autoSpaceDN w:val="0"/>
        <w:bidi w:val="0"/>
        <w:adjustRightInd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为切实落实我区治超主体责任，组织行业监管部门加强对货运装载源头、道路货物运输的全过程监管。有效治理、遏制超限超载违法行为，维护社会稳定。经区政府研究决定，成立西湖区货运车辆超限超载综合治理工作领导小组。具体小组成员名单如下：</w:t>
      </w:r>
    </w:p>
    <w:p w14:paraId="70D61598">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cs="仿宋"/>
          <w:sz w:val="32"/>
          <w:szCs w:val="32"/>
        </w:rPr>
      </w:pPr>
      <w:r>
        <w:rPr>
          <w:rFonts w:hint="eastAsia" w:ascii="仿宋_GB2312" w:hAnsi="仿宋" w:eastAsia="仿宋_GB2312"/>
          <w:sz w:val="32"/>
          <w:szCs w:val="32"/>
        </w:rPr>
        <w:t xml:space="preserve">组  长：胡  海   </w:t>
      </w:r>
      <w:r>
        <w:rPr>
          <w:rFonts w:hint="eastAsia" w:ascii="仿宋_GB2312" w:hAnsi="仿宋" w:eastAsia="仿宋_GB2312"/>
          <w:sz w:val="32"/>
          <w:szCs w:val="32"/>
          <w:lang w:eastAsia="zh-CN"/>
        </w:rPr>
        <w:t>区委常委、</w:t>
      </w:r>
      <w:r>
        <w:rPr>
          <w:rFonts w:hint="eastAsia" w:ascii="仿宋_GB2312" w:hAnsi="仿宋" w:eastAsia="仿宋_GB2312" w:cs="仿宋"/>
          <w:sz w:val="32"/>
          <w:szCs w:val="32"/>
        </w:rPr>
        <w:t>区政府副区长</w:t>
      </w:r>
    </w:p>
    <w:p w14:paraId="134200B7">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cs="仿宋"/>
          <w:sz w:val="32"/>
          <w:szCs w:val="32"/>
        </w:rPr>
        <w:t>副组长：陈剑锋   区住建局</w:t>
      </w:r>
      <w:r>
        <w:rPr>
          <w:rFonts w:hint="eastAsia" w:ascii="仿宋_GB2312" w:hAnsi="仿宋" w:eastAsia="仿宋_GB2312" w:cs="仿宋"/>
          <w:sz w:val="32"/>
          <w:szCs w:val="32"/>
          <w:lang w:eastAsia="zh-CN"/>
        </w:rPr>
        <w:t>负责人</w:t>
      </w:r>
    </w:p>
    <w:p w14:paraId="7945018E">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成  员：熊伟伟   区委宣传部常务副部长</w:t>
      </w:r>
    </w:p>
    <w:p w14:paraId="081B5733">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 xml:space="preserve">        金新发   区司法局副局长</w:t>
      </w:r>
    </w:p>
    <w:p w14:paraId="27AE557D">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rPr>
        <w:t xml:space="preserve">        李  俊   区财政局</w:t>
      </w:r>
      <w:r>
        <w:rPr>
          <w:rFonts w:hint="eastAsia" w:ascii="仿宋_GB2312" w:hAnsi="仿宋" w:eastAsia="仿宋_GB2312"/>
          <w:sz w:val="32"/>
          <w:szCs w:val="32"/>
          <w:lang w:eastAsia="zh-CN"/>
        </w:rPr>
        <w:t>党组成员</w:t>
      </w:r>
    </w:p>
    <w:p w14:paraId="540D4287">
      <w:pPr>
        <w:keepNext w:val="0"/>
        <w:keepLines w:val="0"/>
        <w:pageBreakBefore w:val="0"/>
        <w:widowControl w:val="0"/>
        <w:kinsoku/>
        <w:wordWrap/>
        <w:overflowPunct/>
        <w:topLinePunct w:val="0"/>
        <w:bidi w:val="0"/>
        <w:snapToGrid/>
        <w:spacing w:line="580" w:lineRule="exact"/>
        <w:ind w:right="0" w:firstLine="1920" w:firstLineChars="600"/>
        <w:textAlignment w:val="auto"/>
        <w:rPr>
          <w:rFonts w:hint="eastAsia" w:ascii="仿宋_GB2312" w:hAnsi="仿宋" w:eastAsia="仿宋_GB2312"/>
          <w:sz w:val="32"/>
          <w:szCs w:val="32"/>
        </w:rPr>
      </w:pPr>
      <w:r>
        <w:rPr>
          <w:rFonts w:hint="eastAsia" w:ascii="仿宋_GB2312" w:hAnsi="仿宋" w:eastAsia="仿宋_GB2312"/>
          <w:sz w:val="32"/>
          <w:szCs w:val="32"/>
        </w:rPr>
        <w:t>李  庆   区</w:t>
      </w:r>
      <w:r>
        <w:rPr>
          <w:rFonts w:hint="eastAsia" w:ascii="仿宋_GB2312" w:hAnsi="仿宋" w:eastAsia="仿宋_GB2312"/>
          <w:sz w:val="32"/>
          <w:szCs w:val="32"/>
          <w:lang w:eastAsia="zh-CN"/>
        </w:rPr>
        <w:t>城</w:t>
      </w:r>
      <w:r>
        <w:rPr>
          <w:rFonts w:hint="eastAsia" w:ascii="仿宋_GB2312" w:hAnsi="仿宋" w:eastAsia="仿宋_GB2312"/>
          <w:sz w:val="32"/>
          <w:szCs w:val="32"/>
        </w:rPr>
        <w:t>建局副局长</w:t>
      </w:r>
    </w:p>
    <w:p w14:paraId="33D85F7B">
      <w:pPr>
        <w:keepNext w:val="0"/>
        <w:keepLines w:val="0"/>
        <w:pageBreakBefore w:val="0"/>
        <w:widowControl w:val="0"/>
        <w:kinsoku/>
        <w:wordWrap/>
        <w:overflowPunct/>
        <w:topLinePunct w:val="0"/>
        <w:bidi w:val="0"/>
        <w:snapToGrid/>
        <w:spacing w:line="580" w:lineRule="exact"/>
        <w:ind w:right="0" w:firstLine="1920" w:firstLineChars="600"/>
        <w:textAlignment w:val="auto"/>
        <w:rPr>
          <w:rFonts w:hint="eastAsia" w:ascii="仿宋_GB2312" w:hAnsi="仿宋" w:eastAsia="仿宋_GB2312"/>
          <w:sz w:val="32"/>
          <w:szCs w:val="32"/>
        </w:rPr>
      </w:pPr>
      <w:r>
        <w:rPr>
          <w:rFonts w:hint="eastAsia" w:ascii="仿宋_GB2312" w:hAnsi="仿宋" w:eastAsia="仿宋_GB2312"/>
          <w:sz w:val="32"/>
          <w:szCs w:val="32"/>
        </w:rPr>
        <w:t xml:space="preserve">胡志勇   </w:t>
      </w:r>
      <w:r>
        <w:rPr>
          <w:rFonts w:hint="eastAsia" w:ascii="仿宋_GB2312" w:hAnsi="仿宋" w:eastAsia="仿宋_GB2312"/>
          <w:sz w:val="32"/>
          <w:szCs w:val="32"/>
          <w:lang w:eastAsia="zh-CN"/>
        </w:rPr>
        <w:t>西湖</w:t>
      </w:r>
      <w:r>
        <w:rPr>
          <w:rFonts w:hint="eastAsia" w:ascii="仿宋_GB2312" w:hAnsi="仿宋" w:eastAsia="仿宋_GB2312"/>
          <w:sz w:val="32"/>
          <w:szCs w:val="32"/>
        </w:rPr>
        <w:t>公安分局副局长</w:t>
      </w:r>
    </w:p>
    <w:p w14:paraId="251578B5">
      <w:pPr>
        <w:keepNext w:val="0"/>
        <w:keepLines w:val="0"/>
        <w:pageBreakBefore w:val="0"/>
        <w:widowControl w:val="0"/>
        <w:kinsoku/>
        <w:wordWrap/>
        <w:overflowPunct/>
        <w:topLinePunct w:val="0"/>
        <w:bidi w:val="0"/>
        <w:snapToGrid/>
        <w:spacing w:line="580" w:lineRule="exact"/>
        <w:ind w:right="0" w:firstLine="1920" w:firstLineChars="600"/>
        <w:textAlignment w:val="auto"/>
        <w:rPr>
          <w:rFonts w:hint="eastAsia" w:ascii="仿宋_GB2312" w:hAnsi="仿宋" w:eastAsia="仿宋_GB2312"/>
          <w:sz w:val="32"/>
          <w:szCs w:val="32"/>
          <w:lang w:eastAsia="zh-CN"/>
        </w:rPr>
      </w:pPr>
      <w:r>
        <w:rPr>
          <w:rFonts w:hint="eastAsia" w:ascii="仿宋_GB2312" w:hAnsi="仿宋" w:eastAsia="仿宋_GB2312"/>
          <w:sz w:val="32"/>
          <w:szCs w:val="32"/>
        </w:rPr>
        <w:t xml:space="preserve">梁  勇   </w:t>
      </w:r>
      <w:r>
        <w:rPr>
          <w:rFonts w:hint="eastAsia" w:ascii="仿宋_GB2312" w:hAnsi="仿宋" w:eastAsia="仿宋_GB2312"/>
          <w:spacing w:val="-23"/>
          <w:sz w:val="32"/>
          <w:szCs w:val="32"/>
        </w:rPr>
        <w:t>区城市管理和综合执法局</w:t>
      </w:r>
      <w:r>
        <w:rPr>
          <w:rFonts w:hint="eastAsia" w:ascii="仿宋_GB2312" w:hAnsi="仿宋" w:eastAsia="仿宋_GB2312"/>
          <w:spacing w:val="-23"/>
          <w:sz w:val="32"/>
          <w:szCs w:val="32"/>
          <w:lang w:eastAsia="zh-CN"/>
        </w:rPr>
        <w:t>执法大队副大队长</w:t>
      </w:r>
    </w:p>
    <w:p w14:paraId="73099BCC">
      <w:pPr>
        <w:keepNext w:val="0"/>
        <w:keepLines w:val="0"/>
        <w:pageBreakBefore w:val="0"/>
        <w:widowControl w:val="0"/>
        <w:kinsoku/>
        <w:wordWrap/>
        <w:overflowPunct/>
        <w:topLinePunct w:val="0"/>
        <w:bidi w:val="0"/>
        <w:snapToGrid/>
        <w:spacing w:line="580" w:lineRule="exact"/>
        <w:ind w:right="0" w:firstLine="1440" w:firstLineChars="450"/>
        <w:textAlignment w:val="auto"/>
        <w:rPr>
          <w:rFonts w:hint="eastAsia" w:ascii="仿宋_GB2312" w:hAnsi="仿宋" w:eastAsia="仿宋_GB2312"/>
          <w:sz w:val="32"/>
          <w:szCs w:val="32"/>
        </w:rPr>
      </w:pPr>
      <w:r>
        <w:rPr>
          <w:rFonts w:hint="eastAsia" w:ascii="仿宋_GB2312" w:hAnsi="仿宋" w:eastAsia="仿宋_GB2312"/>
          <w:sz w:val="32"/>
          <w:szCs w:val="32"/>
        </w:rPr>
        <w:t xml:space="preserve">   黄  敏   区市场监督管理局副局长</w:t>
      </w:r>
    </w:p>
    <w:p w14:paraId="47D040B4">
      <w:pPr>
        <w:keepNext w:val="0"/>
        <w:keepLines w:val="0"/>
        <w:pageBreakBefore w:val="0"/>
        <w:widowControl w:val="0"/>
        <w:kinsoku/>
        <w:wordWrap/>
        <w:overflowPunct/>
        <w:topLinePunct w:val="0"/>
        <w:bidi w:val="0"/>
        <w:snapToGrid/>
        <w:spacing w:line="580" w:lineRule="exact"/>
        <w:ind w:right="0" w:firstLine="1440" w:firstLineChars="450"/>
        <w:textAlignment w:val="auto"/>
        <w:rPr>
          <w:rFonts w:hint="eastAsia" w:ascii="仿宋_GB2312" w:hAnsi="仿宋" w:eastAsia="仿宋_GB2312"/>
          <w:sz w:val="32"/>
          <w:szCs w:val="32"/>
        </w:rPr>
      </w:pPr>
      <w:r>
        <w:rPr>
          <w:rFonts w:hint="eastAsia" w:ascii="仿宋_GB2312" w:hAnsi="仿宋" w:eastAsia="仿宋_GB2312"/>
          <w:sz w:val="32"/>
          <w:szCs w:val="32"/>
        </w:rPr>
        <w:t xml:space="preserve">   周晓荣   区应急管理局副局长</w:t>
      </w:r>
    </w:p>
    <w:p w14:paraId="7923CDBA">
      <w:pPr>
        <w:keepNext w:val="0"/>
        <w:keepLines w:val="0"/>
        <w:pageBreakBefore w:val="0"/>
        <w:widowControl w:val="0"/>
        <w:kinsoku/>
        <w:wordWrap/>
        <w:overflowPunct/>
        <w:topLinePunct w:val="0"/>
        <w:bidi w:val="0"/>
        <w:snapToGrid/>
        <w:spacing w:line="580" w:lineRule="exact"/>
        <w:ind w:right="0" w:firstLine="1920" w:firstLineChars="600"/>
        <w:textAlignment w:val="auto"/>
        <w:rPr>
          <w:rFonts w:hint="eastAsia" w:ascii="仿宋_GB2312" w:hAnsi="仿宋" w:eastAsia="仿宋_GB2312"/>
          <w:sz w:val="32"/>
          <w:szCs w:val="32"/>
        </w:rPr>
      </w:pPr>
      <w:r>
        <w:rPr>
          <w:rFonts w:hint="eastAsia" w:ascii="仿宋_GB2312" w:hAnsi="仿宋" w:eastAsia="仿宋_GB2312"/>
          <w:sz w:val="32"/>
          <w:szCs w:val="32"/>
        </w:rPr>
        <w:t>邵  华   交警直属二大队副大队长</w:t>
      </w:r>
    </w:p>
    <w:p w14:paraId="5ACBF408">
      <w:pPr>
        <w:keepNext w:val="0"/>
        <w:keepLines w:val="0"/>
        <w:pageBreakBefore w:val="0"/>
        <w:widowControl w:val="0"/>
        <w:kinsoku/>
        <w:wordWrap/>
        <w:overflowPunct/>
        <w:topLinePunct w:val="0"/>
        <w:bidi w:val="0"/>
        <w:snapToGrid/>
        <w:spacing w:line="580" w:lineRule="exact"/>
        <w:ind w:right="0" w:firstLine="1920" w:firstLineChars="600"/>
        <w:textAlignment w:val="auto"/>
        <w:rPr>
          <w:rFonts w:hint="eastAsia" w:ascii="仿宋_GB2312" w:hAnsi="仿宋" w:eastAsia="仿宋_GB2312"/>
          <w:sz w:val="32"/>
          <w:szCs w:val="32"/>
        </w:rPr>
      </w:pPr>
      <w:r>
        <w:rPr>
          <w:rFonts w:hint="eastAsia" w:ascii="仿宋_GB2312" w:hAnsi="仿宋" w:eastAsia="仿宋_GB2312"/>
          <w:sz w:val="32"/>
          <w:szCs w:val="32"/>
        </w:rPr>
        <w:t>谢寅启   桃花镇副镇长</w:t>
      </w:r>
    </w:p>
    <w:p w14:paraId="4ABDA83E">
      <w:pPr>
        <w:keepNext w:val="0"/>
        <w:keepLines w:val="0"/>
        <w:pageBreakBefore w:val="0"/>
        <w:widowControl w:val="0"/>
        <w:kinsoku/>
        <w:wordWrap/>
        <w:overflowPunct/>
        <w:topLinePunct w:val="0"/>
        <w:bidi w:val="0"/>
        <w:snapToGrid/>
        <w:spacing w:line="580" w:lineRule="exact"/>
        <w:ind w:right="0" w:firstLine="1920" w:firstLineChars="600"/>
        <w:textAlignment w:val="auto"/>
        <w:rPr>
          <w:rFonts w:hint="eastAsia" w:ascii="仿宋_GB2312" w:hAnsi="仿宋" w:eastAsia="仿宋_GB2312"/>
          <w:sz w:val="32"/>
          <w:szCs w:val="32"/>
        </w:rPr>
      </w:pPr>
      <w:r>
        <w:rPr>
          <w:rFonts w:hint="eastAsia" w:ascii="仿宋_GB2312" w:hAnsi="仿宋" w:eastAsia="仿宋_GB2312"/>
          <w:sz w:val="32"/>
          <w:szCs w:val="32"/>
        </w:rPr>
        <w:t>周启斌   朝农街办副主任</w:t>
      </w:r>
    </w:p>
    <w:p w14:paraId="2F9C931C">
      <w:pPr>
        <w:keepNext w:val="0"/>
        <w:keepLines w:val="0"/>
        <w:pageBreakBefore w:val="0"/>
        <w:widowControl w:val="0"/>
        <w:kinsoku/>
        <w:wordWrap/>
        <w:overflowPunct/>
        <w:topLinePunct w:val="0"/>
        <w:bidi w:val="0"/>
        <w:snapToGrid/>
        <w:spacing w:line="580" w:lineRule="exact"/>
        <w:ind w:right="0" w:firstLine="1920" w:firstLineChars="600"/>
        <w:textAlignment w:val="auto"/>
        <w:rPr>
          <w:rFonts w:hint="eastAsia" w:ascii="仿宋_GB2312" w:hAnsi="仿宋" w:eastAsia="仿宋_GB2312"/>
          <w:sz w:val="32"/>
          <w:szCs w:val="32"/>
        </w:rPr>
      </w:pPr>
      <w:r>
        <w:rPr>
          <w:rFonts w:hint="eastAsia" w:ascii="仿宋_GB2312" w:hAnsi="仿宋" w:eastAsia="仿宋_GB2312"/>
          <w:sz w:val="32"/>
          <w:szCs w:val="32"/>
        </w:rPr>
        <w:t xml:space="preserve">李  </w:t>
      </w:r>
      <w:r>
        <w:rPr>
          <w:rFonts w:hint="eastAsia" w:ascii="仿宋_GB2312" w:hAnsi="仿宋" w:eastAsia="仿宋_GB2312"/>
          <w:sz w:val="32"/>
          <w:szCs w:val="32"/>
          <w:lang w:eastAsia="zh-CN"/>
        </w:rPr>
        <w:t>青</w:t>
      </w:r>
      <w:r>
        <w:rPr>
          <w:rFonts w:hint="eastAsia" w:ascii="仿宋_GB2312" w:hAnsi="仿宋" w:eastAsia="仿宋_GB2312"/>
          <w:sz w:val="32"/>
          <w:szCs w:val="32"/>
        </w:rPr>
        <w:t xml:space="preserve">   洪城商圈</w:t>
      </w:r>
      <w:r>
        <w:rPr>
          <w:rFonts w:hint="eastAsia" w:ascii="仿宋_GB2312" w:hAnsi="仿宋" w:eastAsia="仿宋_GB2312"/>
          <w:sz w:val="32"/>
          <w:szCs w:val="32"/>
          <w:lang w:eastAsia="zh-CN"/>
        </w:rPr>
        <w:t>服务中心</w:t>
      </w:r>
      <w:r>
        <w:rPr>
          <w:rFonts w:hint="eastAsia" w:ascii="仿宋_GB2312" w:hAnsi="仿宋" w:eastAsia="仿宋_GB2312"/>
          <w:sz w:val="32"/>
          <w:szCs w:val="32"/>
        </w:rPr>
        <w:t>副主任</w:t>
      </w:r>
    </w:p>
    <w:p w14:paraId="031C451A">
      <w:pPr>
        <w:spacing w:line="580" w:lineRule="exact"/>
        <w:ind w:firstLine="1920" w:firstLineChars="600"/>
        <w:rPr>
          <w:rFonts w:ascii="仿宋_GB2312" w:hAnsi="仿宋" w:eastAsia="仿宋_GB2312"/>
          <w:color w:val="FF0000"/>
          <w:sz w:val="32"/>
          <w:szCs w:val="32"/>
        </w:rPr>
      </w:pPr>
      <w:r>
        <w:rPr>
          <w:rFonts w:hint="eastAsia" w:ascii="仿宋_GB2312" w:hAnsi="仿宋" w:eastAsia="仿宋_GB2312"/>
          <w:color w:val="auto"/>
          <w:sz w:val="32"/>
          <w:szCs w:val="32"/>
        </w:rPr>
        <w:t>李  斌   南昌市交通执法支队西湖大队负责人</w:t>
      </w:r>
    </w:p>
    <w:p w14:paraId="38535219">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领导小组下设办公室，设在区住建局。由李庆同志担任办公室主任，负责制定货运车辆超限超载综合治理工作方案、车辆及整治站点调度、受理举报投诉、接受上级考核工作等。</w:t>
      </w:r>
    </w:p>
    <w:p w14:paraId="6C680631">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三、职责分工</w:t>
      </w:r>
    </w:p>
    <w:p w14:paraId="10271723">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仿宋_GB2312" w:hAnsi="仿宋" w:eastAsia="仿宋_GB2312" w:cs="仿宋"/>
          <w:spacing w:val="-10"/>
          <w:sz w:val="32"/>
          <w:szCs w:val="32"/>
        </w:rPr>
      </w:pPr>
      <w:r>
        <w:rPr>
          <w:rFonts w:hint="eastAsia" w:ascii="仿宋_GB2312" w:hAnsi="仿宋" w:eastAsia="仿宋_GB2312"/>
          <w:b/>
          <w:sz w:val="32"/>
          <w:szCs w:val="32"/>
          <w:lang w:eastAsia="zh-CN"/>
        </w:rPr>
        <w:t>（一）</w:t>
      </w:r>
      <w:r>
        <w:rPr>
          <w:rFonts w:hint="eastAsia" w:ascii="仿宋_GB2312" w:hAnsi="仿宋" w:eastAsia="仿宋_GB2312"/>
          <w:b/>
          <w:sz w:val="32"/>
          <w:szCs w:val="32"/>
        </w:rPr>
        <w:t>区住建局：</w:t>
      </w:r>
      <w:r>
        <w:rPr>
          <w:rFonts w:hint="eastAsia" w:ascii="仿宋_GB2312" w:hAnsi="仿宋" w:eastAsia="仿宋_GB2312"/>
          <w:sz w:val="32"/>
          <w:szCs w:val="32"/>
        </w:rPr>
        <w:t>负责对源头企业车辆装载行</w:t>
      </w:r>
      <w:r>
        <w:rPr>
          <w:rFonts w:hint="eastAsia" w:ascii="仿宋_GB2312" w:hAnsi="仿宋" w:eastAsia="仿宋_GB2312" w:cs="仿宋"/>
          <w:spacing w:val="-25"/>
          <w:sz w:val="32"/>
          <w:szCs w:val="32"/>
        </w:rPr>
        <w:t>为进行行业管理，</w:t>
      </w:r>
      <w:r>
        <w:rPr>
          <w:rFonts w:hint="eastAsia" w:ascii="仿宋_GB2312" w:hAnsi="仿宋" w:eastAsia="仿宋_GB2312" w:cs="仿宋"/>
          <w:spacing w:val="-12"/>
          <w:sz w:val="32"/>
          <w:szCs w:val="32"/>
        </w:rPr>
        <w:t>建立货</w:t>
      </w:r>
      <w:r>
        <w:rPr>
          <w:rFonts w:hint="eastAsia" w:ascii="仿宋_GB2312" w:hAnsi="仿宋" w:eastAsia="仿宋_GB2312" w:cs="仿宋"/>
          <w:spacing w:val="-10"/>
          <w:sz w:val="32"/>
          <w:szCs w:val="32"/>
        </w:rPr>
        <w:t>运企业及从业人员信息系统和信用档案管理。负责做好治超办日常具体工作，综合协调各单位各负其责，统计、上报各项治超数据。</w:t>
      </w:r>
    </w:p>
    <w:p w14:paraId="547D38CD">
      <w:pPr>
        <w:keepNext w:val="0"/>
        <w:keepLines w:val="0"/>
        <w:pageBreakBefore w:val="0"/>
        <w:widowControl w:val="0"/>
        <w:kinsoku/>
        <w:wordWrap/>
        <w:overflowPunct/>
        <w:topLinePunct w:val="0"/>
        <w:bidi w:val="0"/>
        <w:snapToGrid/>
        <w:spacing w:line="580" w:lineRule="exact"/>
        <w:ind w:right="0" w:firstLine="603" w:firstLineChars="200"/>
        <w:textAlignment w:val="auto"/>
        <w:rPr>
          <w:rFonts w:ascii="仿宋_GB2312" w:hAnsi="仿宋" w:eastAsia="仿宋_GB2312" w:cs="仿宋"/>
          <w:sz w:val="32"/>
          <w:szCs w:val="32"/>
        </w:rPr>
      </w:pPr>
      <w:r>
        <w:rPr>
          <w:rFonts w:hint="eastAsia" w:ascii="仿宋_GB2312" w:hAnsi="仿宋" w:eastAsia="仿宋_GB2312" w:cs="仿宋"/>
          <w:b/>
          <w:spacing w:val="-10"/>
          <w:sz w:val="32"/>
          <w:szCs w:val="32"/>
          <w:lang w:val="en-US" w:eastAsia="zh-CN"/>
        </w:rPr>
        <w:t>（二）</w:t>
      </w:r>
      <w:r>
        <w:rPr>
          <w:rFonts w:hint="eastAsia" w:ascii="仿宋_GB2312" w:hAnsi="仿宋" w:eastAsia="仿宋_GB2312" w:cs="仿宋"/>
          <w:b/>
          <w:spacing w:val="-10"/>
          <w:sz w:val="32"/>
          <w:szCs w:val="32"/>
        </w:rPr>
        <w:t>区委宣传部：</w:t>
      </w:r>
      <w:r>
        <w:rPr>
          <w:rFonts w:hint="eastAsia" w:ascii="仿宋_GB2312" w:hAnsi="仿宋" w:eastAsia="仿宋_GB2312" w:cs="仿宋"/>
          <w:spacing w:val="-6"/>
          <w:sz w:val="32"/>
          <w:szCs w:val="32"/>
        </w:rPr>
        <w:t>组织协调新闻媒体做好超限超载治理工</w:t>
      </w:r>
      <w:r>
        <w:rPr>
          <w:rFonts w:hint="eastAsia" w:ascii="仿宋_GB2312" w:hAnsi="仿宋" w:eastAsia="仿宋_GB2312" w:cs="仿宋"/>
          <w:spacing w:val="-9"/>
          <w:sz w:val="32"/>
          <w:szCs w:val="32"/>
        </w:rPr>
        <w:t>作的宣传报道。</w:t>
      </w:r>
    </w:p>
    <w:p w14:paraId="77E85A22">
      <w:pPr>
        <w:keepNext w:val="0"/>
        <w:keepLines w:val="0"/>
        <w:pageBreakBefore w:val="0"/>
        <w:widowControl w:val="0"/>
        <w:kinsoku/>
        <w:wordWrap/>
        <w:overflowPunct/>
        <w:topLinePunct w:val="0"/>
        <w:bidi w:val="0"/>
        <w:snapToGrid/>
        <w:spacing w:line="580" w:lineRule="exact"/>
        <w:ind w:right="0" w:firstLine="603" w:firstLineChars="200"/>
        <w:textAlignment w:val="auto"/>
        <w:rPr>
          <w:rFonts w:ascii="仿宋_GB2312" w:hAnsi="仿宋" w:eastAsia="仿宋_GB2312" w:cs="仿宋"/>
          <w:sz w:val="32"/>
          <w:szCs w:val="32"/>
        </w:rPr>
      </w:pPr>
      <w:r>
        <w:rPr>
          <w:rFonts w:hint="eastAsia" w:ascii="仿宋_GB2312" w:hAnsi="仿宋" w:eastAsia="仿宋_GB2312" w:cs="仿宋"/>
          <w:b/>
          <w:spacing w:val="-10"/>
          <w:sz w:val="32"/>
          <w:szCs w:val="32"/>
          <w:lang w:eastAsia="zh-CN"/>
        </w:rPr>
        <w:t>（三）</w:t>
      </w:r>
      <w:r>
        <w:rPr>
          <w:rFonts w:hint="eastAsia" w:ascii="仿宋_GB2312" w:hAnsi="仿宋" w:eastAsia="仿宋_GB2312" w:cs="仿宋"/>
          <w:b/>
          <w:spacing w:val="-3"/>
          <w:sz w:val="32"/>
          <w:szCs w:val="32"/>
        </w:rPr>
        <w:t>区司法局：</w:t>
      </w:r>
      <w:r>
        <w:rPr>
          <w:rFonts w:hint="eastAsia" w:ascii="仿宋_GB2312" w:hAnsi="仿宋" w:eastAsia="仿宋_GB2312" w:cs="仿宋"/>
          <w:spacing w:val="-3"/>
          <w:sz w:val="32"/>
          <w:szCs w:val="32"/>
        </w:rPr>
        <w:t>负责审查有关部门研究、起草治理超限超</w:t>
      </w:r>
      <w:r>
        <w:rPr>
          <w:rFonts w:hint="eastAsia" w:ascii="仿宋_GB2312" w:hAnsi="仿宋" w:eastAsia="仿宋_GB2312" w:cs="仿宋"/>
          <w:spacing w:val="6"/>
          <w:sz w:val="32"/>
          <w:szCs w:val="32"/>
        </w:rPr>
        <w:t>载工作的政府相关规范性文件，依法办理相关行政复议案件</w:t>
      </w:r>
      <w:r>
        <w:rPr>
          <w:rFonts w:hint="eastAsia" w:ascii="仿宋_GB2312" w:hAnsi="仿宋" w:eastAsia="仿宋_GB2312" w:cs="仿宋"/>
          <w:spacing w:val="-22"/>
          <w:sz w:val="32"/>
          <w:szCs w:val="32"/>
        </w:rPr>
        <w:t>等。</w:t>
      </w:r>
    </w:p>
    <w:p w14:paraId="0A6A4622">
      <w:pPr>
        <w:keepNext w:val="0"/>
        <w:keepLines w:val="0"/>
        <w:pageBreakBefore w:val="0"/>
        <w:widowControl w:val="0"/>
        <w:kinsoku/>
        <w:wordWrap/>
        <w:overflowPunct/>
        <w:topLinePunct w:val="0"/>
        <w:bidi w:val="0"/>
        <w:snapToGrid/>
        <w:spacing w:line="580" w:lineRule="exact"/>
        <w:ind w:right="0" w:firstLine="603" w:firstLineChars="200"/>
        <w:textAlignment w:val="auto"/>
        <w:rPr>
          <w:rFonts w:hint="eastAsia" w:ascii="仿宋_GB2312" w:hAnsi="仿宋" w:eastAsia="仿宋_GB2312"/>
          <w:sz w:val="32"/>
          <w:szCs w:val="32"/>
        </w:rPr>
      </w:pPr>
      <w:r>
        <w:rPr>
          <w:rFonts w:hint="eastAsia" w:ascii="仿宋_GB2312" w:hAnsi="仿宋" w:eastAsia="仿宋_GB2312" w:cs="仿宋"/>
          <w:b/>
          <w:spacing w:val="-10"/>
          <w:sz w:val="32"/>
          <w:szCs w:val="32"/>
          <w:lang w:eastAsia="zh-CN"/>
        </w:rPr>
        <w:t>（四）</w:t>
      </w:r>
      <w:r>
        <w:rPr>
          <w:rFonts w:hint="eastAsia" w:ascii="仿宋_GB2312" w:hAnsi="仿宋" w:eastAsia="仿宋_GB2312"/>
          <w:b/>
          <w:sz w:val="32"/>
          <w:szCs w:val="32"/>
        </w:rPr>
        <w:t>区应急管理局：</w:t>
      </w:r>
      <w:r>
        <w:rPr>
          <w:rFonts w:hint="eastAsia" w:ascii="仿宋_GB2312" w:hAnsi="仿宋" w:eastAsia="仿宋_GB2312"/>
          <w:sz w:val="32"/>
          <w:szCs w:val="32"/>
        </w:rPr>
        <w:t>依法依规组织指导因源头企业超限超载运输发生的生产安全事故调查处理，负责对辖区内参与经营活动的源头企业实施安全生产综合监督管理。</w:t>
      </w:r>
    </w:p>
    <w:p w14:paraId="30CEFC77">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仿宋_GB2312" w:hAnsi="仿宋" w:eastAsia="仿宋_GB2312" w:cs="仿宋"/>
          <w:b/>
          <w:spacing w:val="-10"/>
          <w:sz w:val="32"/>
          <w:szCs w:val="32"/>
        </w:rPr>
      </w:pPr>
      <w:r>
        <w:rPr>
          <w:rFonts w:hint="eastAsia" w:ascii="仿宋_GB2312" w:hAnsi="仿宋" w:eastAsia="仿宋_GB2312"/>
          <w:b/>
          <w:sz w:val="32"/>
          <w:szCs w:val="32"/>
          <w:lang w:eastAsia="zh-CN"/>
        </w:rPr>
        <w:t>（五）</w:t>
      </w:r>
      <w:r>
        <w:rPr>
          <w:rFonts w:hint="eastAsia" w:ascii="仿宋_GB2312" w:hAnsi="仿宋" w:eastAsia="仿宋_GB2312"/>
          <w:b/>
          <w:sz w:val="32"/>
          <w:szCs w:val="32"/>
        </w:rPr>
        <w:t>区财政局：</w:t>
      </w:r>
      <w:r>
        <w:rPr>
          <w:rFonts w:hint="eastAsia" w:ascii="仿宋_GB2312" w:hAnsi="仿宋" w:eastAsia="仿宋_GB2312" w:cs="仿宋"/>
          <w:spacing w:val="-25"/>
          <w:sz w:val="32"/>
          <w:szCs w:val="32"/>
        </w:rPr>
        <w:t>负责保障治超工作经费，加强资金使用监管。</w:t>
      </w:r>
    </w:p>
    <w:p w14:paraId="67EA3AFC">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仿宋_GB2312" w:hAnsi="仿宋" w:eastAsia="仿宋_GB2312"/>
          <w:sz w:val="32"/>
          <w:szCs w:val="32"/>
        </w:rPr>
      </w:pPr>
      <w:r>
        <w:rPr>
          <w:rFonts w:hint="eastAsia" w:ascii="仿宋_GB2312" w:hAnsi="仿宋" w:eastAsia="仿宋_GB2312" w:cs="仿宋"/>
          <w:b/>
          <w:sz w:val="32"/>
          <w:szCs w:val="32"/>
          <w:lang w:eastAsia="zh-CN"/>
        </w:rPr>
        <w:t>（六）</w:t>
      </w:r>
      <w:r>
        <w:rPr>
          <w:rFonts w:hint="eastAsia" w:ascii="仿宋_GB2312" w:hAnsi="仿宋" w:eastAsia="仿宋_GB2312"/>
          <w:b/>
          <w:sz w:val="32"/>
          <w:szCs w:val="32"/>
        </w:rPr>
        <w:t>区城市管理和综合执法局</w:t>
      </w:r>
      <w:r>
        <w:rPr>
          <w:rFonts w:hint="eastAsia" w:ascii="仿宋_GB2312" w:hAnsi="仿宋" w:eastAsia="仿宋_GB2312" w:cs="仿宋"/>
          <w:b/>
          <w:sz w:val="32"/>
          <w:szCs w:val="32"/>
        </w:rPr>
        <w:t>：</w:t>
      </w:r>
      <w:r>
        <w:rPr>
          <w:rFonts w:hint="eastAsia" w:ascii="仿宋_GB2312" w:hAnsi="仿宋" w:eastAsia="仿宋_GB2312"/>
          <w:sz w:val="32"/>
          <w:szCs w:val="32"/>
        </w:rPr>
        <w:t>负责对建筑垃圾运输及工程运输车辆的监督管理，对未密闭、泄露遗撒污染路面等违法行为进行查处。</w:t>
      </w:r>
    </w:p>
    <w:p w14:paraId="3CC07D58">
      <w:pPr>
        <w:keepNext w:val="0"/>
        <w:keepLines w:val="0"/>
        <w:pageBreakBefore w:val="0"/>
        <w:widowControl w:val="0"/>
        <w:kinsoku/>
        <w:wordWrap/>
        <w:overflowPunct/>
        <w:topLinePunct w:val="0"/>
        <w:bidi w:val="0"/>
        <w:snapToGrid/>
        <w:spacing w:line="580" w:lineRule="exact"/>
        <w:ind w:right="0" w:firstLine="643" w:firstLineChars="200"/>
        <w:textAlignment w:val="auto"/>
        <w:rPr>
          <w:rFonts w:ascii="仿宋_GB2312" w:hAnsi="仿宋" w:eastAsia="仿宋_GB2312" w:cs="仿宋"/>
          <w:sz w:val="32"/>
          <w:szCs w:val="32"/>
        </w:rPr>
      </w:pPr>
      <w:r>
        <w:rPr>
          <w:rFonts w:hint="eastAsia" w:ascii="仿宋_GB2312" w:hAnsi="仿宋" w:eastAsia="仿宋_GB2312" w:cs="仿宋"/>
          <w:b/>
          <w:sz w:val="32"/>
          <w:szCs w:val="32"/>
          <w:lang w:eastAsia="zh-CN"/>
        </w:rPr>
        <w:t>（七）</w:t>
      </w:r>
      <w:r>
        <w:rPr>
          <w:rFonts w:hint="eastAsia" w:ascii="仿宋" w:hAnsi="仿宋" w:eastAsia="仿宋" w:cs="仿宋"/>
          <w:b/>
          <w:sz w:val="32"/>
          <w:szCs w:val="32"/>
        </w:rPr>
        <w:t>区市场监督管理局</w:t>
      </w:r>
      <w:r>
        <w:rPr>
          <w:rFonts w:hint="eastAsia" w:ascii="仿宋_GB2312" w:hAnsi="仿宋" w:eastAsia="仿宋_GB2312" w:cs="仿宋"/>
          <w:b/>
          <w:sz w:val="32"/>
          <w:szCs w:val="32"/>
        </w:rPr>
        <w:t>：</w:t>
      </w:r>
      <w:r>
        <w:rPr>
          <w:rFonts w:hint="eastAsia" w:ascii="仿宋" w:hAnsi="仿宋" w:eastAsia="仿宋" w:cs="仿宋"/>
          <w:sz w:val="32"/>
          <w:szCs w:val="32"/>
        </w:rPr>
        <w:t>负责监督货物运输经营者公示相关收费标准，监督货物运输经营者价格行为，依法查处价格违法行为；协调上级部门对我区治超工作所需的检测设备依法实施计量检定；实施车辆强制性产品认证制度的监督管理等</w:t>
      </w:r>
      <w:r>
        <w:rPr>
          <w:rFonts w:hint="eastAsia" w:ascii="仿宋_GB2312" w:hAnsi="仿宋" w:eastAsia="仿宋_GB2312" w:cs="仿宋"/>
          <w:spacing w:val="-3"/>
          <w:sz w:val="32"/>
          <w:szCs w:val="32"/>
        </w:rPr>
        <w:t>。</w:t>
      </w:r>
    </w:p>
    <w:p w14:paraId="7C8EFEBB">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仿宋_GB2312" w:hAnsi="仿宋" w:eastAsia="仿宋_GB2312"/>
          <w:sz w:val="32"/>
          <w:szCs w:val="32"/>
        </w:rPr>
      </w:pPr>
      <w:r>
        <w:rPr>
          <w:rFonts w:hint="eastAsia" w:ascii="仿宋_GB2312" w:hAnsi="仿宋" w:eastAsia="仿宋_GB2312"/>
          <w:b/>
          <w:sz w:val="32"/>
          <w:szCs w:val="32"/>
          <w:lang w:eastAsia="zh-CN"/>
        </w:rPr>
        <w:t>（八）</w:t>
      </w:r>
      <w:r>
        <w:rPr>
          <w:rFonts w:hint="eastAsia" w:ascii="仿宋_GB2312" w:hAnsi="仿宋" w:eastAsia="仿宋_GB2312" w:cs="仿宋"/>
          <w:b/>
          <w:sz w:val="32"/>
          <w:szCs w:val="32"/>
        </w:rPr>
        <w:t>西湖公安分局：</w:t>
      </w:r>
      <w:r>
        <w:rPr>
          <w:rFonts w:hint="eastAsia" w:ascii="仿宋_GB2312" w:hAnsi="仿宋" w:eastAsia="仿宋_GB2312"/>
          <w:sz w:val="32"/>
          <w:szCs w:val="32"/>
        </w:rPr>
        <w:t>负责保障执法检查工作顺利开展，对暴力阻碍、阻挠执法人员正常执法的行为进行处置。</w:t>
      </w:r>
    </w:p>
    <w:p w14:paraId="7D8567C4">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仿宋_GB2312" w:hAnsi="仿宋" w:eastAsia="仿宋_GB2312"/>
          <w:sz w:val="32"/>
          <w:szCs w:val="32"/>
        </w:rPr>
      </w:pPr>
      <w:r>
        <w:rPr>
          <w:rFonts w:hint="eastAsia" w:ascii="仿宋_GB2312" w:hAnsi="仿宋" w:eastAsia="仿宋_GB2312"/>
          <w:b/>
          <w:sz w:val="32"/>
          <w:szCs w:val="32"/>
          <w:lang w:eastAsia="zh-CN"/>
        </w:rPr>
        <w:t>（九）</w:t>
      </w:r>
      <w:r>
        <w:rPr>
          <w:rFonts w:hint="eastAsia" w:ascii="仿宋_GB2312" w:hAnsi="仿宋" w:eastAsia="仿宋_GB2312"/>
          <w:b/>
          <w:sz w:val="32"/>
          <w:szCs w:val="32"/>
        </w:rPr>
        <w:t>交警直属二大队</w:t>
      </w:r>
      <w:r>
        <w:rPr>
          <w:rFonts w:hint="eastAsia" w:ascii="仿宋_GB2312" w:hAnsi="仿宋" w:eastAsia="仿宋_GB2312" w:cs="仿宋"/>
          <w:b/>
          <w:sz w:val="32"/>
          <w:szCs w:val="32"/>
        </w:rPr>
        <w:t>：</w:t>
      </w:r>
      <w:r>
        <w:rPr>
          <w:rFonts w:hint="eastAsia" w:ascii="仿宋_GB2312" w:hAnsi="仿宋" w:eastAsia="仿宋_GB2312"/>
          <w:sz w:val="32"/>
          <w:szCs w:val="32"/>
        </w:rPr>
        <w:t>负责对疑似超限超载车辆进行拦截，引导至流动治超点进行检测，对超限超载运输车辆驾驶员交通违法行为依法进行扣分处罚，并做好维护交通秩序工作。</w:t>
      </w:r>
    </w:p>
    <w:p w14:paraId="6170CD25">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仿宋_GB2312" w:hAnsi="仿宋" w:eastAsia="仿宋_GB2312"/>
          <w:sz w:val="32"/>
          <w:szCs w:val="32"/>
        </w:rPr>
      </w:pPr>
      <w:r>
        <w:rPr>
          <w:rFonts w:hint="eastAsia" w:ascii="仿宋_GB2312" w:hAnsi="仿宋" w:eastAsia="仿宋_GB2312" w:cs="仿宋"/>
          <w:b/>
          <w:sz w:val="32"/>
          <w:szCs w:val="32"/>
          <w:lang w:eastAsia="zh-CN"/>
        </w:rPr>
        <w:t>（十）</w:t>
      </w:r>
      <w:r>
        <w:rPr>
          <w:rFonts w:hint="eastAsia" w:ascii="仿宋_GB2312" w:hAnsi="仿宋" w:eastAsia="仿宋_GB2312" w:cs="仿宋"/>
          <w:b/>
          <w:sz w:val="32"/>
          <w:szCs w:val="32"/>
        </w:rPr>
        <w:t>南昌市交通执法支队西湖大队：</w:t>
      </w:r>
      <w:r>
        <w:rPr>
          <w:rFonts w:hint="eastAsia" w:ascii="仿宋_GB2312" w:hAnsi="仿宋" w:eastAsia="仿宋_GB2312"/>
          <w:sz w:val="32"/>
          <w:szCs w:val="32"/>
        </w:rPr>
        <w:t>配合属地职能部门做好辖区内物流货运站（场）及企业等源头单位的监督管理，引导货运单位依法依规组织装载运输；配合城管部门对路面疑似超限超载车辆进行检测，按照标准认定超限超载车辆，并依法实施卸载和处罚;对为超限超载车辆配载并放行出场(站)的货物装载场(站)经营者，责令改正并按照相关规定给予处罚。依法查处非法拼装、改装车辆，依法强制恢复车辆原状。</w:t>
      </w:r>
      <w:r>
        <w:rPr>
          <w:rFonts w:hint="eastAsia" w:ascii="仿宋_GB2312" w:hAnsi="仿宋" w:eastAsia="仿宋_GB2312" w:cs="仿宋"/>
          <w:spacing w:val="-9"/>
          <w:sz w:val="32"/>
          <w:szCs w:val="32"/>
        </w:rPr>
        <w:t>负责对所辖路面超限车辆进行依法查</w:t>
      </w:r>
      <w:r>
        <w:rPr>
          <w:rFonts w:hint="eastAsia" w:ascii="仿宋_GB2312" w:hAnsi="仿宋" w:eastAsia="仿宋_GB2312" w:cs="仿宋"/>
          <w:spacing w:val="-12"/>
          <w:sz w:val="32"/>
          <w:szCs w:val="32"/>
        </w:rPr>
        <w:t>处，将超限超载运输车辆、驾驶员信息通报交通运输主管部门、公安交管</w:t>
      </w:r>
      <w:r>
        <w:rPr>
          <w:rFonts w:hint="eastAsia" w:ascii="仿宋_GB2312" w:hAnsi="仿宋" w:eastAsia="仿宋_GB2312" w:cs="仿宋"/>
          <w:spacing w:val="-19"/>
          <w:sz w:val="32"/>
          <w:szCs w:val="32"/>
        </w:rPr>
        <w:t>部门；负责落实固定治超站点建设和升级改造，指导开展流动治</w:t>
      </w:r>
      <w:r>
        <w:rPr>
          <w:rFonts w:hint="eastAsia" w:ascii="仿宋_GB2312" w:hAnsi="仿宋" w:eastAsia="仿宋_GB2312" w:cs="仿宋"/>
          <w:spacing w:val="-6"/>
          <w:sz w:val="32"/>
          <w:szCs w:val="32"/>
        </w:rPr>
        <w:t>超和动态监测治超工作等。</w:t>
      </w:r>
    </w:p>
    <w:p w14:paraId="14BC56D3">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仿宋_GB2312" w:hAnsi="仿宋" w:eastAsia="仿宋_GB2312" w:cs="仿宋"/>
          <w:spacing w:val="-4"/>
          <w:sz w:val="32"/>
          <w:szCs w:val="32"/>
        </w:rPr>
      </w:pPr>
      <w:r>
        <w:rPr>
          <w:rFonts w:hint="eastAsia" w:ascii="仿宋_GB2312" w:hAnsi="仿宋" w:eastAsia="仿宋_GB2312" w:cs="仿宋"/>
          <w:b/>
          <w:sz w:val="32"/>
          <w:szCs w:val="32"/>
          <w:lang w:eastAsia="zh-CN"/>
        </w:rPr>
        <w:t>（十一）</w:t>
      </w:r>
      <w:r>
        <w:rPr>
          <w:rFonts w:hint="eastAsia" w:ascii="仿宋_GB2312" w:hAnsi="仿宋" w:eastAsia="仿宋_GB2312" w:cs="仿宋"/>
          <w:b/>
          <w:sz w:val="32"/>
          <w:szCs w:val="32"/>
        </w:rPr>
        <w:t>桃花镇、朝农街办、洪城商圈</w:t>
      </w:r>
      <w:r>
        <w:rPr>
          <w:rFonts w:hint="eastAsia" w:ascii="仿宋_GB2312" w:hAnsi="仿宋" w:eastAsia="仿宋_GB2312" w:cs="仿宋"/>
          <w:b/>
          <w:sz w:val="32"/>
          <w:szCs w:val="32"/>
          <w:lang w:eastAsia="zh-CN"/>
        </w:rPr>
        <w:t>服务中心</w:t>
      </w:r>
      <w:r>
        <w:rPr>
          <w:rFonts w:hint="eastAsia" w:ascii="仿宋_GB2312" w:hAnsi="仿宋" w:eastAsia="仿宋_GB2312" w:cs="仿宋"/>
          <w:b/>
          <w:sz w:val="32"/>
          <w:szCs w:val="32"/>
        </w:rPr>
        <w:t>：</w:t>
      </w:r>
      <w:r>
        <w:rPr>
          <w:rFonts w:hint="eastAsia" w:ascii="仿宋_GB2312" w:hAnsi="仿宋" w:eastAsia="仿宋_GB2312"/>
          <w:sz w:val="32"/>
          <w:szCs w:val="32"/>
        </w:rPr>
        <w:t>按照属地管理原则，</w:t>
      </w:r>
      <w:r>
        <w:rPr>
          <w:rFonts w:hint="eastAsia" w:ascii="仿宋_GB2312" w:hAnsi="仿宋" w:eastAsia="仿宋_GB2312" w:cs="仿宋"/>
          <w:spacing w:val="-3"/>
          <w:sz w:val="32"/>
          <w:szCs w:val="32"/>
        </w:rPr>
        <w:t>具体负责所辖区域内治超工作的组织、宣传、协调</w:t>
      </w:r>
      <w:r>
        <w:rPr>
          <w:rFonts w:hint="eastAsia" w:ascii="仿宋_GB2312" w:hAnsi="仿宋" w:eastAsia="仿宋_GB2312" w:cs="仿宋"/>
          <w:spacing w:val="-12"/>
          <w:sz w:val="32"/>
          <w:szCs w:val="32"/>
        </w:rPr>
        <w:t>等综合治理工作，加强辖区内砂石矿场、货运源头等源头的</w:t>
      </w:r>
      <w:r>
        <w:rPr>
          <w:rFonts w:hint="eastAsia" w:ascii="仿宋_GB2312" w:hAnsi="仿宋" w:eastAsia="仿宋_GB2312" w:cs="仿宋"/>
          <w:spacing w:val="-4"/>
          <w:sz w:val="32"/>
          <w:szCs w:val="32"/>
        </w:rPr>
        <w:t>整治和管理。</w:t>
      </w:r>
    </w:p>
    <w:p w14:paraId="593B615A">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四、整治重点</w:t>
      </w:r>
    </w:p>
    <w:p w14:paraId="41BC2B26">
      <w:pPr>
        <w:keepNext w:val="0"/>
        <w:keepLines w:val="0"/>
        <w:pageBreakBefore w:val="0"/>
        <w:widowControl w:val="0"/>
        <w:kinsoku/>
        <w:wordWrap/>
        <w:overflowPunct/>
        <w:topLinePunct w:val="0"/>
        <w:bidi w:val="0"/>
        <w:snapToGrid/>
        <w:spacing w:line="580" w:lineRule="exact"/>
        <w:ind w:right="0" w:firstLine="482" w:firstLineChars="150"/>
        <w:textAlignment w:val="auto"/>
        <w:rPr>
          <w:rFonts w:hint="eastAsia" w:ascii="仿宋_GB2312" w:hAnsi="华文楷体" w:eastAsia="仿宋_GB2312"/>
          <w:b/>
          <w:sz w:val="32"/>
          <w:szCs w:val="32"/>
        </w:rPr>
      </w:pPr>
      <w:r>
        <w:rPr>
          <w:rFonts w:hint="eastAsia" w:ascii="仿宋_GB2312" w:hAnsi="华文楷体" w:eastAsia="仿宋_GB2312"/>
          <w:b/>
          <w:sz w:val="32"/>
          <w:szCs w:val="32"/>
        </w:rPr>
        <w:t>（一）源头治超工作</w:t>
      </w:r>
    </w:p>
    <w:p w14:paraId="34D41E22">
      <w:pPr>
        <w:keepNext w:val="0"/>
        <w:keepLines w:val="0"/>
        <w:pageBreakBefore w:val="0"/>
        <w:widowControl w:val="0"/>
        <w:kinsoku/>
        <w:wordWrap/>
        <w:overflowPunct/>
        <w:topLinePunct w:val="0"/>
        <w:bidi w:val="0"/>
        <w:snapToGrid/>
        <w:spacing w:line="580" w:lineRule="exact"/>
        <w:ind w:right="0" w:firstLine="480" w:firstLineChars="150"/>
        <w:textAlignment w:val="auto"/>
        <w:rPr>
          <w:rFonts w:hint="eastAsia" w:ascii="仿宋_GB2312" w:hAnsi="仿宋" w:eastAsia="仿宋_GB2312"/>
          <w:sz w:val="32"/>
          <w:szCs w:val="32"/>
        </w:rPr>
      </w:pPr>
      <w:r>
        <w:rPr>
          <w:rFonts w:hint="eastAsia" w:ascii="仿宋_GB2312" w:hAnsi="黑体" w:eastAsia="仿宋_GB2312" w:cs="仿宋"/>
          <w:sz w:val="32"/>
          <w:szCs w:val="32"/>
        </w:rPr>
        <w:t>1.行业货源监管</w:t>
      </w:r>
      <w:r>
        <w:rPr>
          <w:rFonts w:hint="eastAsia" w:ascii="仿宋_GB2312" w:hAnsi="华文楷体" w:eastAsia="仿宋_GB2312"/>
          <w:b/>
          <w:sz w:val="32"/>
          <w:szCs w:val="32"/>
        </w:rPr>
        <w:t>。</w:t>
      </w:r>
      <w:r>
        <w:rPr>
          <w:rFonts w:hint="eastAsia" w:ascii="仿宋_GB2312" w:hAnsi="仿宋" w:eastAsia="仿宋_GB2312"/>
          <w:sz w:val="32"/>
          <w:szCs w:val="32"/>
        </w:rPr>
        <w:t>将朝阳区域及洪城商圈内各大小物流企业及场（站）、在建工地纳入为重点监管单位，按照“谁主管谁负责、谁审批谁负责、谁发证谁负责”的原则，行业主管部门负责对辖区内重点源头企业的装载行为进行监管，并与源头企业签订责任书，督促源头企业在进出场通道安装称重检测和视频监控设备，并将数据接入省治理超限超载管理系统平台。每月原则上不得少于1次对辖区的重点源头企业进行督导检查。</w:t>
      </w:r>
    </w:p>
    <w:p w14:paraId="20E36288">
      <w:pPr>
        <w:keepNext w:val="0"/>
        <w:keepLines w:val="0"/>
        <w:pageBreakBefore w:val="0"/>
        <w:widowControl w:val="0"/>
        <w:kinsoku/>
        <w:wordWrap/>
        <w:overflowPunct/>
        <w:topLinePunct w:val="0"/>
        <w:bidi w:val="0"/>
        <w:snapToGrid/>
        <w:spacing w:line="580" w:lineRule="exact"/>
        <w:ind w:right="0" w:firstLine="640"/>
        <w:textAlignment w:val="auto"/>
        <w:rPr>
          <w:rFonts w:hint="eastAsia" w:ascii="仿宋_GB2312" w:hAnsi="仿宋" w:eastAsia="仿宋_GB2312" w:cs="仿宋"/>
          <w:sz w:val="32"/>
          <w:szCs w:val="32"/>
        </w:rPr>
      </w:pPr>
      <w:r>
        <w:rPr>
          <w:rFonts w:hint="eastAsia" w:ascii="仿宋_GB2312" w:hAnsi="黑体" w:eastAsia="仿宋_GB2312" w:cs="仿宋"/>
          <w:sz w:val="32"/>
          <w:szCs w:val="32"/>
        </w:rPr>
        <w:t>2.属地监管责任。</w:t>
      </w:r>
      <w:r>
        <w:rPr>
          <w:rFonts w:hint="eastAsia" w:ascii="仿宋_GB2312" w:hAnsi="仿宋" w:eastAsia="仿宋_GB2312"/>
          <w:sz w:val="32"/>
          <w:szCs w:val="32"/>
        </w:rPr>
        <w:t>按照“政府牵头，属地管理，部门联动”原则，强化组织领导，建立工作制度，明确联动机制，完善信息台账，全面掌握辖区内各类源头企业情况。各相关街道、管委会明确至少1个重点监管源头企业，及时向企业宣传治超治限政策，要求企业落实主体责任，派驻联络员了解企业安全生产情况并上报区治超办。</w:t>
      </w:r>
    </w:p>
    <w:p w14:paraId="14E61C59">
      <w:pPr>
        <w:keepNext w:val="0"/>
        <w:keepLines w:val="0"/>
        <w:pageBreakBefore w:val="0"/>
        <w:widowControl w:val="0"/>
        <w:kinsoku/>
        <w:wordWrap/>
        <w:overflowPunct/>
        <w:topLinePunct w:val="0"/>
        <w:bidi w:val="0"/>
        <w:snapToGrid/>
        <w:spacing w:line="580" w:lineRule="exact"/>
        <w:ind w:right="0" w:firstLine="640"/>
        <w:textAlignment w:val="auto"/>
        <w:rPr>
          <w:rFonts w:hint="eastAsia" w:ascii="仿宋_GB2312" w:hAnsi="仿宋" w:eastAsia="仿宋_GB2312"/>
          <w:sz w:val="32"/>
          <w:szCs w:val="32"/>
        </w:rPr>
      </w:pPr>
      <w:r>
        <w:rPr>
          <w:rFonts w:hint="eastAsia" w:ascii="仿宋_GB2312" w:hAnsi="黑体" w:eastAsia="仿宋_GB2312" w:cs="仿宋"/>
          <w:sz w:val="32"/>
          <w:szCs w:val="32"/>
        </w:rPr>
        <w:t>3.开展源头治超执法联动</w:t>
      </w:r>
      <w:r>
        <w:rPr>
          <w:rFonts w:hint="eastAsia" w:ascii="仿宋_GB2312" w:hAnsi="仿宋" w:eastAsia="仿宋_GB2312"/>
          <w:sz w:val="32"/>
          <w:szCs w:val="32"/>
        </w:rPr>
        <w:t>。由区治超办牵头，南昌市交通执法支队西湖大队、西湖公安分局、区应急管理局、区市场</w:t>
      </w:r>
      <w:r>
        <w:rPr>
          <w:rFonts w:hint="eastAsia" w:ascii="仿宋_GB2312" w:hAnsi="仿宋" w:eastAsia="仿宋_GB2312"/>
          <w:sz w:val="32"/>
          <w:szCs w:val="32"/>
          <w:lang w:eastAsia="zh-CN"/>
        </w:rPr>
        <w:t>监督管理</w:t>
      </w:r>
      <w:r>
        <w:rPr>
          <w:rFonts w:hint="eastAsia" w:ascii="仿宋_GB2312" w:hAnsi="仿宋" w:eastAsia="仿宋_GB2312"/>
          <w:sz w:val="32"/>
          <w:szCs w:val="32"/>
        </w:rPr>
        <w:t>局、区城市管理和综合执法局、属地街道、管委会等部门抽派人员，各行业管理部门为主，每月组织不少于1次针对重点源头企业的联合执法行动,对查处的道路运输企业由南昌市交通执法支队西湖大队进行处罚。对无道路运输证从事道路运输的物流企业，由区市场监督管理局吊销其营业执照。</w:t>
      </w:r>
    </w:p>
    <w:p w14:paraId="0F7AD5A8">
      <w:pPr>
        <w:keepNext w:val="0"/>
        <w:keepLines w:val="0"/>
        <w:pageBreakBefore w:val="0"/>
        <w:widowControl w:val="0"/>
        <w:kinsoku/>
        <w:wordWrap/>
        <w:overflowPunct/>
        <w:topLinePunct w:val="0"/>
        <w:bidi w:val="0"/>
        <w:snapToGrid/>
        <w:spacing w:line="580" w:lineRule="exact"/>
        <w:ind w:right="0" w:firstLine="640"/>
        <w:textAlignment w:val="auto"/>
        <w:rPr>
          <w:rFonts w:hint="eastAsia" w:ascii="仿宋_GB2312" w:hAnsi="黑体" w:eastAsia="仿宋_GB2312" w:cs="仿宋"/>
          <w:b/>
          <w:sz w:val="32"/>
          <w:szCs w:val="32"/>
        </w:rPr>
      </w:pPr>
      <w:r>
        <w:rPr>
          <w:rFonts w:hint="eastAsia" w:ascii="仿宋_GB2312" w:hAnsi="黑体" w:eastAsia="仿宋_GB2312" w:cs="仿宋"/>
          <w:b/>
          <w:sz w:val="32"/>
          <w:szCs w:val="32"/>
        </w:rPr>
        <w:t>（二）路面流动治超工作</w:t>
      </w:r>
    </w:p>
    <w:p w14:paraId="43530535">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1.强化路面执法，由</w:t>
      </w:r>
      <w:r>
        <w:rPr>
          <w:rFonts w:hint="eastAsia" w:ascii="仿宋_GB2312" w:hAnsi="仿宋" w:eastAsia="仿宋_GB2312"/>
          <w:sz w:val="32"/>
          <w:szCs w:val="32"/>
          <w:lang w:eastAsia="zh-CN"/>
        </w:rPr>
        <w:t>区治超办</w:t>
      </w:r>
      <w:r>
        <w:rPr>
          <w:rFonts w:hint="eastAsia" w:ascii="仿宋_GB2312" w:hAnsi="仿宋" w:eastAsia="仿宋_GB2312"/>
          <w:sz w:val="32"/>
          <w:szCs w:val="32"/>
        </w:rPr>
        <w:t>牵头，通过组织南昌市交通执法支队西湖大队</w:t>
      </w:r>
      <w:r>
        <w:rPr>
          <w:rFonts w:hint="eastAsia" w:ascii="仿宋_GB2312" w:hAnsi="仿宋" w:eastAsia="仿宋_GB2312"/>
          <w:sz w:val="32"/>
          <w:szCs w:val="32"/>
          <w:lang w:eastAsia="zh-CN"/>
        </w:rPr>
        <w:t>、</w:t>
      </w:r>
      <w:r>
        <w:rPr>
          <w:rFonts w:hint="eastAsia" w:ascii="仿宋_GB2312" w:hAnsi="仿宋" w:eastAsia="仿宋_GB2312"/>
          <w:sz w:val="32"/>
          <w:szCs w:val="32"/>
        </w:rPr>
        <w:t>西湖公安分局、交警直属二大队、区城市管理和综合执法局组成联合执法队伍。对我区路面行驶的运输车辆进行严格检测，对灌婴路、桃花路、建设路、真君路、沿江快速路等重点出入区路段进行驻点检查，对重点源头企业周边主次干道实施不定点巡查，将每月工作数据汇总上报至治超工作领导小组办公室。</w:t>
      </w:r>
    </w:p>
    <w:p w14:paraId="7EF63603">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2.全面加强重点企业监管，加强朝阳新城在建工地及灌婴路龙河物流、云海路银燕物流等重点企业周边检测力度，通过派驻、巡查等方式进行源头监管。</w:t>
      </w:r>
    </w:p>
    <w:p w14:paraId="514FC222">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3. 严厉处置超限超载行为，根据各部门职责，经流动检测认定的超限超载车辆，要引导至相关执法单位指定的场所进行处理，严格执行全国统一超限超载认定标准和联合执法工作流程，对严重超限超载的违法运输车辆顶格处罚，在实施处罚、记分并消除违法行为后，将有关违法信息录入系统，严格落实“一超四罚”，并对短途驳载、避站绕行、车托带车、夜间运输等逃避检查的行为要依法从严处理，对故意堵路、强行冲关、破坏设施、聚众闹事、阻碍执法、暴力抗法等违法行为，公安部门要依法严厉打击，确保正常的治安环境和治超人员的人身安全。强化非法改装查处，对擅自改变车辆外廓尺寸的(如非法加高加宽、加长栏板，增加弹簧钢板等)，予以切割、依法处罚、追溯源头，联合市场监管、工信等部门依法查处。要结合扫黑除恶专项斗争，突出超限超载检测站点、货源企业等关键节点，将有关线索通报公安部门加大对“黄牛带车绕行”逃避检查、跟踪执法人员(车辆)、带车冲卡、寻衅滋事、聚众闯关和妨害公务等违法犯罪行为的打击力度，依靠各级政府、公安部门、政法部门坚决打掉违法犯罪嫌疑人的幕后黑恶势力和“保护伞”。</w:t>
      </w:r>
    </w:p>
    <w:p w14:paraId="75EDA2F9">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五、工作要求</w:t>
      </w:r>
    </w:p>
    <w:p w14:paraId="445D09A6">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（一）强化组织领导</w:t>
      </w:r>
    </w:p>
    <w:p w14:paraId="298746ED">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各单位要抽调专人参加治超工作，明确工作目标，压实工作责任；区治超办建立治超会议协调机制和建立治超工作信息报送机制。治超会议每月至少召开1次；同时治超工作按属地管理原则，谁的地域谁负责，镇、街道、管委会负责人负责辖区内源头企业监管工作。</w:t>
      </w:r>
    </w:p>
    <w:p w14:paraId="6F383E6F">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（二）强化整治调度</w:t>
      </w:r>
    </w:p>
    <w:p w14:paraId="45387B32">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领导小组每月召开一次工作调度会，依据整治工作台账，以问题为导向，汇总工作进展情况，及时研究解决整治工作中存在的困难和问题，化解纠纷和矛盾。镇、街道、管委会、行业主管部门要切实落实工作部署，及时主动报告工作进度及存在问题和建议。各成员单位每月3日前将上月工作开展情况、存在的问题和下一步工作安排等情况报区治超办。治超办定期采取简报、专报、通报等形式,反映整治工作成效,开拓治理工作方式方法,确保整治工作取得实效。</w:t>
      </w:r>
    </w:p>
    <w:p w14:paraId="3EDAD5EA">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（三）强化科技治超</w:t>
      </w:r>
    </w:p>
    <w:p w14:paraId="62CF627E">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在重点运输通道、重要路段设置车辆超限超载动态检测系统，实现监测数据与公安交警数据联网使用，形成全区覆盖、重点管控、全时执法的治超站点网络。</w:t>
      </w:r>
    </w:p>
    <w:p w14:paraId="5A1511A0">
      <w:pPr>
        <w:keepNext w:val="0"/>
        <w:keepLines w:val="0"/>
        <w:pageBreakBefore w:val="0"/>
        <w:widowControl w:val="0"/>
        <w:kinsoku/>
        <w:wordWrap/>
        <w:overflowPunct/>
        <w:topLinePunct w:val="0"/>
        <w:bidi w:val="0"/>
        <w:snapToGrid/>
        <w:spacing w:line="580" w:lineRule="exact"/>
        <w:ind w:right="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（四）强化舆论引导</w:t>
      </w:r>
    </w:p>
    <w:p w14:paraId="173CA0BD">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各职能部门要充分利用各种媒体和宣传手段,对治超工作的重要性和必要性进行广泛宣传,提高人民群众对超限超载的危害性的认识,为整治工作创造良好的舆论氛围。</w:t>
      </w:r>
    </w:p>
    <w:p w14:paraId="2FF1AC48">
      <w:pPr>
        <w:keepNext w:val="0"/>
        <w:keepLines w:val="0"/>
        <w:pageBreakBefore w:val="0"/>
        <w:widowControl w:val="0"/>
        <w:kinsoku/>
        <w:wordWrap/>
        <w:overflowPunct/>
        <w:topLinePunct w:val="0"/>
        <w:bidi w:val="0"/>
        <w:snapToGrid/>
        <w:spacing w:line="580" w:lineRule="exact"/>
        <w:ind w:right="0" w:firstLine="640" w:firstLineChars="200"/>
        <w:textAlignment w:val="auto"/>
        <w:rPr>
          <w:rFonts w:hint="eastAsia" w:ascii="仿宋_GB2312" w:hAnsi="仿宋" w:eastAsia="仿宋_GB2312"/>
          <w:sz w:val="32"/>
          <w:szCs w:val="32"/>
        </w:rPr>
      </w:pPr>
    </w:p>
    <w:p w14:paraId="79B54568">
      <w:pPr>
        <w:keepNext w:val="0"/>
        <w:keepLines w:val="0"/>
        <w:pageBreakBefore w:val="0"/>
        <w:widowControl w:val="0"/>
        <w:kinsoku/>
        <w:wordWrap/>
        <w:overflowPunct/>
        <w:topLinePunct w:val="0"/>
        <w:bidi w:val="0"/>
        <w:snapToGrid/>
        <w:spacing w:line="580" w:lineRule="exact"/>
        <w:ind w:right="0"/>
        <w:textAlignment w:val="auto"/>
        <w:rPr>
          <w:rFonts w:hint="eastAsia" w:ascii="仿宋_GB2312" w:hAnsi="黑体" w:eastAsia="仿宋_GB2312"/>
          <w:sz w:val="32"/>
          <w:szCs w:val="32"/>
        </w:rPr>
      </w:pPr>
    </w:p>
    <w:p w14:paraId="52EF31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p>
    <w:p w14:paraId="165B639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38BE0B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59493D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518780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0DF0D8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759DC6D8">
      <w:pPr>
        <w:keepNext w:val="0"/>
        <w:keepLines w:val="0"/>
        <w:pageBreakBefore w:val="0"/>
        <w:kinsoku/>
        <w:wordWrap/>
        <w:overflowPunct/>
        <w:topLinePunct w:val="0"/>
        <w:autoSpaceDE/>
        <w:autoSpaceDN/>
        <w:bidi w:val="0"/>
        <w:adjustRightInd/>
        <w:snapToGrid/>
        <w:spacing w:line="600" w:lineRule="exact"/>
        <w:ind w:firstLine="640" w:firstLineChars="200"/>
        <w:jc w:val="right"/>
        <w:textAlignment w:val="auto"/>
        <w:outlineLvl w:val="9"/>
        <w:rPr>
          <w:rFonts w:hint="eastAsia" w:ascii="仿宋_GB2312" w:eastAsia="仿宋_GB2312"/>
          <w:sz w:val="32"/>
          <w:szCs w:val="32"/>
          <w:lang w:val="en-US" w:eastAsia="zh-CN"/>
        </w:rPr>
      </w:pPr>
    </w:p>
    <w:p w14:paraId="4C86917C">
      <w:pPr>
        <w:keepNext w:val="0"/>
        <w:keepLines w:val="0"/>
        <w:pageBreakBefore w:val="0"/>
        <w:kinsoku/>
        <w:wordWrap/>
        <w:overflowPunct/>
        <w:topLinePunct w:val="0"/>
        <w:autoSpaceDE/>
        <w:autoSpaceDN/>
        <w:bidi w:val="0"/>
        <w:adjustRightInd/>
        <w:snapToGrid/>
        <w:spacing w:line="600" w:lineRule="exact"/>
        <w:ind w:firstLine="4800" w:firstLineChars="1500"/>
        <w:jc w:val="both"/>
        <w:textAlignment w:val="auto"/>
        <w:outlineLvl w:val="9"/>
        <w:rPr>
          <w:rFonts w:hint="default" w:ascii="仿宋_GB2312" w:eastAsia="仿宋_GB2312"/>
          <w:sz w:val="32"/>
          <w:szCs w:val="32"/>
          <w:lang w:val="en-US" w:eastAsia="zh-CN"/>
        </w:rPr>
      </w:pPr>
      <w:r>
        <w:rPr>
          <w:rFonts w:hint="eastAsia" w:ascii="仿宋_GB2312" w:eastAsia="仿宋_GB2312"/>
          <w:sz w:val="32"/>
          <w:szCs w:val="32"/>
          <w:lang w:val="en-US" w:eastAsia="zh-CN"/>
        </w:rPr>
        <w:t>南昌市西湖区人民政府办公室</w:t>
      </w:r>
    </w:p>
    <w:p w14:paraId="02F3217B">
      <w:pPr>
        <w:keepNext w:val="0"/>
        <w:keepLines w:val="0"/>
        <w:pageBreakBefore w:val="0"/>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仿宋_GB2312" w:eastAsia="仿宋_GB2312"/>
          <w:sz w:val="32"/>
          <w:szCs w:val="32"/>
          <w:lang w:val="en-US" w:eastAsia="zh-CN"/>
        </w:rPr>
      </w:pPr>
      <w:r>
        <w:rPr>
          <w:rFonts w:hint="eastAsia" w:ascii="仿宋_GB2312" w:hAnsi="仿宋" w:eastAsia="仿宋_GB2312"/>
          <w:sz w:val="32"/>
          <w:szCs w:val="32"/>
        </w:rPr>
        <w:drawing>
          <wp:anchor distT="0" distB="0" distL="114300" distR="114300" simplePos="0" relativeHeight="251661312" behindDoc="0" locked="0" layoutInCell="1" allowOverlap="1">
            <wp:simplePos x="0" y="0"/>
            <wp:positionH relativeFrom="column">
              <wp:posOffset>4885055</wp:posOffset>
            </wp:positionH>
            <wp:positionV relativeFrom="paragraph">
              <wp:posOffset>5603240</wp:posOffset>
            </wp:positionV>
            <wp:extent cx="1476375" cy="1476375"/>
            <wp:effectExtent l="37465" t="18415" r="48260" b="48260"/>
            <wp:wrapNone/>
            <wp:docPr id="2" name="Picture 4" descr="南昌市西湖区人民政府办公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南昌市西湖区人民政府办公室"/>
                    <pic:cNvPicPr>
                      <a:picLocks noChangeAspect="1"/>
                    </pic:cNvPicPr>
                  </pic:nvPicPr>
                  <pic:blipFill>
                    <a:blip r:embed="rId6"/>
                    <a:stretch>
                      <a:fillRect/>
                    </a:stretch>
                  </pic:blipFill>
                  <pic:spPr>
                    <a:xfrm rot="180000">
                      <a:off x="0" y="0"/>
                      <a:ext cx="1476375" cy="1476375"/>
                    </a:xfrm>
                    <a:prstGeom prst="rect">
                      <a:avLst/>
                    </a:prstGeom>
                    <a:noFill/>
                    <a:ln>
                      <a:noFill/>
                    </a:ln>
                  </pic:spPr>
                </pic:pic>
              </a:graphicData>
            </a:graphic>
          </wp:anchor>
        </w:drawing>
      </w:r>
      <w:r>
        <w:rPr>
          <w:rFonts w:hint="eastAsia" w:ascii="仿宋_GB2312" w:eastAsia="仿宋_GB2312"/>
          <w:sz w:val="32"/>
          <w:szCs w:val="32"/>
          <w:lang w:val="en-US" w:eastAsia="zh-CN"/>
        </w:rPr>
        <w:t xml:space="preserve">                       2022年3月6日</w:t>
      </w:r>
    </w:p>
    <w:p w14:paraId="6A491B5F">
      <w:pPr>
        <w:pStyle w:val="2"/>
        <w:rPr>
          <w:rFonts w:hint="eastAsia" w:ascii="仿宋_GB2312" w:eastAsia="仿宋_GB2312"/>
          <w:sz w:val="32"/>
          <w:szCs w:val="32"/>
          <w:lang w:val="en-US" w:eastAsia="zh-CN"/>
        </w:rPr>
      </w:pPr>
    </w:p>
    <w:p w14:paraId="5DFDB5EB">
      <w:pPr>
        <w:pStyle w:val="2"/>
        <w:rPr>
          <w:rFonts w:hint="eastAsia" w:ascii="方正小标宋简体" w:eastAsia="方正小标宋简体"/>
          <w:sz w:val="44"/>
          <w:szCs w:val="44"/>
        </w:rPr>
      </w:pPr>
      <w:r>
        <w:rPr>
          <w:rFonts w:hint="eastAsia" w:ascii="仿宋_GB2312" w:hAnsi="仿宋" w:eastAsia="仿宋_GB2312"/>
          <w:sz w:val="32"/>
          <w:szCs w:val="32"/>
        </w:rPr>
        <w:drawing>
          <wp:anchor distT="0" distB="0" distL="114300" distR="114300" simplePos="0" relativeHeight="251662336" behindDoc="0" locked="0" layoutInCell="1" allowOverlap="1">
            <wp:simplePos x="0" y="0"/>
            <wp:positionH relativeFrom="column">
              <wp:posOffset>4885055</wp:posOffset>
            </wp:positionH>
            <wp:positionV relativeFrom="paragraph">
              <wp:posOffset>5603240</wp:posOffset>
            </wp:positionV>
            <wp:extent cx="1476375" cy="1476375"/>
            <wp:effectExtent l="37465" t="18415" r="48260" b="48260"/>
            <wp:wrapNone/>
            <wp:docPr id="4" name="Picture 4" descr="南昌市西湖区人民政府办公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南昌市西湖区人民政府办公室"/>
                    <pic:cNvPicPr>
                      <a:picLocks noChangeAspect="1"/>
                    </pic:cNvPicPr>
                  </pic:nvPicPr>
                  <pic:blipFill>
                    <a:blip r:embed="rId6"/>
                    <a:stretch>
                      <a:fillRect/>
                    </a:stretch>
                  </pic:blipFill>
                  <pic:spPr>
                    <a:xfrm rot="180000">
                      <a:off x="0" y="0"/>
                      <a:ext cx="1476375" cy="1476375"/>
                    </a:xfrm>
                    <a:prstGeom prst="rect">
                      <a:avLst/>
                    </a:prstGeom>
                    <a:noFill/>
                    <a:ln>
                      <a:noFill/>
                    </a:ln>
                  </pic:spPr>
                </pic:pic>
              </a:graphicData>
            </a:graphic>
          </wp:anchor>
        </w:drawing>
      </w:r>
    </w:p>
    <w:p w14:paraId="7CCFFFB7">
      <w:pPr>
        <w:keepNext w:val="0"/>
        <w:keepLines w:val="0"/>
        <w:pageBreakBefore w:val="0"/>
        <w:kinsoku/>
        <w:wordWrap/>
        <w:overflowPunct/>
        <w:topLinePunct w:val="0"/>
        <w:autoSpaceDE/>
        <w:autoSpaceDN/>
        <w:bidi w:val="0"/>
        <w:adjustRightInd/>
        <w:snapToGrid/>
        <w:spacing w:line="560" w:lineRule="exact"/>
        <w:textAlignment w:val="auto"/>
      </w:pPr>
    </w:p>
    <w:sectPr>
      <w:footerReference r:id="rId3" w:type="default"/>
      <w:pgSz w:w="11906" w:h="16838"/>
      <w:pgMar w:top="1417" w:right="1417" w:bottom="1417" w:left="141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1E07FB-3880-4078-8D8B-298F6E876B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76F5BDD-AEF0-4BDF-B7DF-63CE258B725C}"/>
  </w:font>
  <w:font w:name="方正小标宋简体">
    <w:panose1 w:val="02010600010101010101"/>
    <w:charset w:val="86"/>
    <w:family w:val="auto"/>
    <w:pitch w:val="default"/>
    <w:sig w:usb0="00000001" w:usb1="080E0000" w:usb2="00000000" w:usb3="00000000" w:csb0="00040000" w:csb1="00000000"/>
    <w:embedRegular r:id="rId3" w:fontKey="{0DD6386A-6DCF-4B38-BF62-07DD0D8CD33A}"/>
  </w:font>
  <w:font w:name="仿宋_GB2312">
    <w:panose1 w:val="02010609030101010101"/>
    <w:charset w:val="86"/>
    <w:family w:val="modern"/>
    <w:pitch w:val="default"/>
    <w:sig w:usb0="00000001" w:usb1="080E0000" w:usb2="00000000" w:usb3="00000000" w:csb0="00040000" w:csb1="00000000"/>
    <w:embedRegular r:id="rId4" w:fontKey="{3A57523F-3DF8-46C5-AC30-A952CDCF9774}"/>
  </w:font>
  <w:font w:name="楷体_GB2312">
    <w:altName w:val="楷体"/>
    <w:panose1 w:val="02010609030101010101"/>
    <w:charset w:val="86"/>
    <w:family w:val="modern"/>
    <w:pitch w:val="default"/>
    <w:sig w:usb0="00000000" w:usb1="00000000" w:usb2="00000000" w:usb3="00000000" w:csb0="00040000" w:csb1="00000000"/>
    <w:embedRegular r:id="rId5" w:fontKey="{4EC7C278-0F48-4868-BE5F-0CD70BBCF8DD}"/>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embedRegular r:id="rId6" w:fontKey="{47A16774-B026-4926-A395-A223B1A3FAB1}"/>
  </w:font>
  <w:font w:name="仿宋">
    <w:panose1 w:val="02010609060101010101"/>
    <w:charset w:val="86"/>
    <w:family w:val="auto"/>
    <w:pitch w:val="default"/>
    <w:sig w:usb0="800002BF" w:usb1="38CF7CFA" w:usb2="00000016" w:usb3="00000000" w:csb0="00040001" w:csb1="00000000"/>
    <w:embedRegular r:id="rId7" w:fontKey="{7BBB0438-22E9-49FA-A529-7FC2A38FC43F}"/>
  </w:font>
  <w:font w:name="华文楷体">
    <w:altName w:val="宋体"/>
    <w:panose1 w:val="02010600040101010101"/>
    <w:charset w:val="86"/>
    <w:family w:val="auto"/>
    <w:pitch w:val="default"/>
    <w:sig w:usb0="00000000" w:usb1="00000000" w:usb2="00000000" w:usb3="00000000" w:csb0="0004009F" w:csb1="DFD70000"/>
    <w:embedRegular r:id="rId8" w:fontKey="{B38B82D0-3785-4868-ADC8-5A0EF36A41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DA3E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A710C54">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3A710C5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2271F9"/>
    <w:rsid w:val="01FD62E0"/>
    <w:rsid w:val="01FF75C4"/>
    <w:rsid w:val="05F119F1"/>
    <w:rsid w:val="07AE1DFB"/>
    <w:rsid w:val="08E679E1"/>
    <w:rsid w:val="09B90AFC"/>
    <w:rsid w:val="09CB3B65"/>
    <w:rsid w:val="0C3F1242"/>
    <w:rsid w:val="0C685F1E"/>
    <w:rsid w:val="12EF37E0"/>
    <w:rsid w:val="13D579F5"/>
    <w:rsid w:val="162271F9"/>
    <w:rsid w:val="16412212"/>
    <w:rsid w:val="17481D79"/>
    <w:rsid w:val="177B7EB9"/>
    <w:rsid w:val="1A6D3FB4"/>
    <w:rsid w:val="1DE55F0B"/>
    <w:rsid w:val="1F425D8D"/>
    <w:rsid w:val="1F9675D6"/>
    <w:rsid w:val="225B2099"/>
    <w:rsid w:val="22DA39E0"/>
    <w:rsid w:val="23144563"/>
    <w:rsid w:val="23353353"/>
    <w:rsid w:val="24FB602A"/>
    <w:rsid w:val="28287D33"/>
    <w:rsid w:val="2DBD74F0"/>
    <w:rsid w:val="2E534702"/>
    <w:rsid w:val="33CC23F6"/>
    <w:rsid w:val="356E6674"/>
    <w:rsid w:val="35DF4B16"/>
    <w:rsid w:val="3C331A31"/>
    <w:rsid w:val="3C446818"/>
    <w:rsid w:val="3CCD0344"/>
    <w:rsid w:val="415C066B"/>
    <w:rsid w:val="4ED237EF"/>
    <w:rsid w:val="52ED684C"/>
    <w:rsid w:val="538977C4"/>
    <w:rsid w:val="53E72354"/>
    <w:rsid w:val="54E212CF"/>
    <w:rsid w:val="556C5FEF"/>
    <w:rsid w:val="589F5B0B"/>
    <w:rsid w:val="5C714233"/>
    <w:rsid w:val="5E926A80"/>
    <w:rsid w:val="5FB75DE2"/>
    <w:rsid w:val="65F46584"/>
    <w:rsid w:val="6C1B6D88"/>
    <w:rsid w:val="78490C20"/>
    <w:rsid w:val="7BCC4A1A"/>
    <w:rsid w:val="7D3F5108"/>
    <w:rsid w:val="7EB71663"/>
    <w:rsid w:val="7F782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left="420" w:leftChars="200" w:firstLine="210"/>
    </w:pPr>
  </w:style>
  <w:style w:type="paragraph" w:styleId="3">
    <w:name w:val="Body Text Indent"/>
    <w:basedOn w:val="1"/>
    <w:qFormat/>
    <w:uiPriority w:val="0"/>
    <w:pPr>
      <w:spacing w:after="120"/>
      <w:ind w:left="420" w:leftChars="200"/>
    </w:pPr>
  </w:style>
  <w:style w:type="paragraph" w:styleId="4">
    <w:name w:val="Body Text"/>
    <w:basedOn w:val="1"/>
    <w:next w:val="5"/>
    <w:qFormat/>
    <w:uiPriority w:val="0"/>
    <w:pPr>
      <w:spacing w:after="120"/>
    </w:pPr>
    <w:rPr>
      <w:rFonts w:eastAsia="仿宋_GB2312"/>
      <w:sz w:val="32"/>
    </w:rPr>
  </w:style>
  <w:style w:type="paragraph" w:styleId="5">
    <w:name w:val="Body Text 2"/>
    <w:basedOn w:val="1"/>
    <w:unhideWhenUsed/>
    <w:qFormat/>
    <w:uiPriority w:val="99"/>
    <w:pPr>
      <w:spacing w:after="120" w:line="480" w:lineRule="auto"/>
    </w:pPr>
  </w:style>
  <w:style w:type="paragraph" w:styleId="6">
    <w:name w:val="footer"/>
    <w:basedOn w:val="1"/>
    <w:qFormat/>
    <w:uiPriority w:val="0"/>
    <w:pPr>
      <w:tabs>
        <w:tab w:val="center" w:pos="4153"/>
        <w:tab w:val="right" w:pos="8306"/>
      </w:tabs>
      <w:snapToGrid w:val="0"/>
      <w:jc w:val="left"/>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99"/>
    <w:pPr>
      <w:spacing w:beforeAutospacing="1" w:afterAutospacing="1"/>
      <w:jc w:val="left"/>
    </w:pPr>
    <w:rPr>
      <w:kern w:val="0"/>
      <w:sz w:val="24"/>
      <w:szCs w:val="24"/>
    </w:rPr>
  </w:style>
  <w:style w:type="paragraph" w:styleId="9">
    <w:name w:val="Body Text First Indent"/>
    <w:basedOn w:val="4"/>
    <w:qFormat/>
    <w:uiPriority w:val="99"/>
    <w:pPr>
      <w:ind w:firstLine="420" w:firstLineChars="100"/>
    </w:pPr>
  </w:style>
  <w:style w:type="character" w:styleId="12">
    <w:name w:val="page number"/>
    <w:basedOn w:val="11"/>
    <w:qFormat/>
    <w:uiPriority w:val="0"/>
  </w:style>
  <w:style w:type="paragraph" w:customStyle="1" w:styleId="13">
    <w:name w:val="样式 行距: 固定值 28.9 磅"/>
    <w:basedOn w:val="1"/>
    <w:qFormat/>
    <w:uiPriority w:val="0"/>
    <w:pPr>
      <w:spacing w:line="578" w:lineRule="exact"/>
    </w:pPr>
    <w:rPr>
      <w:rFonts w:cs="宋体"/>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3572</Words>
  <Characters>3593</Characters>
  <Lines>0</Lines>
  <Paragraphs>0</Paragraphs>
  <TotalTime>1</TotalTime>
  <ScaleCrop>false</ScaleCrop>
  <LinksUpToDate>false</LinksUpToDate>
  <CharactersWithSpaces>3705</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2021-05-17T03:37:00Z</dcterms:created>
  <dc:creator>A先迈2猪</dc:creator>
  <cp:lastModifiedBy>Z</cp:lastModifiedBy>
  <cp:lastPrinted>2022-03-15T10:32:00Z</cp:lastPrinted>
  <dcterms:modified xsi:type="dcterms:W3CDTF">2025-12-26T12:02:03Z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D3161A2F3EDC4B30993BE2F9B680893C_13</vt:lpwstr>
  </property>
  <property fmtid="{D5CDD505-2E9C-101B-9397-08002B2CF9AE}" pid="4" name="KSOTemplateDocerSaveRecord">
    <vt:lpwstr>eyJoZGlkIjoiYjJiYjdhYmVjZDcyYzY0MTU2YmUwZGNiYjZjODAzYWIiLCJ1c2VySWQiOiIzMzAzOTE4MzgifQ==</vt:lpwstr>
  </property>
</Properties>
</file>