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360" w:lineRule="auto"/>
        <w:ind w:firstLine="495" w:firstLineChars="176"/>
        <w:contextualSpacing/>
        <w:rPr>
          <w:rFonts w:ascii="仿宋_GB2312" w:eastAsia="仿宋_GB2312" w:hAnsiTheme="minorEastAsia"/>
          <w:sz w:val="28"/>
          <w:szCs w:val="28"/>
          <w:lang w:eastAsia="zh-CN"/>
        </w:rPr>
      </w:pPr>
      <w:bookmarkStart w:id="0" w:name="bookmark6"/>
      <w:bookmarkStart w:id="1" w:name="bookmark7"/>
      <w:bookmarkStart w:id="2" w:name="bookmark8"/>
      <w:r>
        <w:rPr>
          <w:rFonts w:hint="eastAsia" w:ascii="仿宋_GB2312" w:eastAsia="仿宋_GB2312" w:hAnsiTheme="minorEastAsia"/>
          <w:sz w:val="28"/>
          <w:szCs w:val="28"/>
          <w:lang w:eastAsia="zh-CN"/>
        </w:rPr>
        <w:t>南昌市西湖区财政投资评审第三方机构管理暂行办法</w:t>
      </w:r>
      <w:bookmarkEnd w:id="0"/>
      <w:bookmarkEnd w:id="1"/>
      <w:bookmarkEnd w:id="2"/>
    </w:p>
    <w:p>
      <w:pPr>
        <w:rPr>
          <w:rFonts w:ascii="仿宋_GB2312" w:eastAsia="仿宋_GB2312"/>
          <w:lang w:eastAsia="zh-CN"/>
        </w:rPr>
      </w:pPr>
    </w:p>
    <w:p>
      <w:pPr>
        <w:pStyle w:val="4"/>
        <w:spacing w:line="360" w:lineRule="auto"/>
        <w:contextualSpacing/>
        <w:rPr>
          <w:rFonts w:ascii="仿宋_GB2312" w:eastAsia="仿宋_GB2312"/>
          <w:lang w:eastAsia="zh-CN"/>
        </w:rPr>
      </w:pPr>
      <w:r>
        <w:rPr>
          <w:rFonts w:hint="eastAsia" w:ascii="仿宋_GB2312" w:eastAsia="仿宋_GB2312" w:hAnsiTheme="minorEastAsia"/>
          <w:sz w:val="28"/>
          <w:szCs w:val="28"/>
          <w:lang w:eastAsia="zh-CN"/>
        </w:rPr>
        <w:t>第一章 总则</w:t>
      </w:r>
    </w:p>
    <w:p>
      <w:pPr>
        <w:pStyle w:val="4"/>
        <w:spacing w:line="560" w:lineRule="exact"/>
        <w:ind w:firstLine="565" w:firstLineChars="201"/>
        <w:contextualSpacing/>
        <w:jc w:val="left"/>
        <w:rPr>
          <w:rFonts w:ascii="仿宋_GB2312" w:eastAsia="仿宋_GB2312" w:hAnsiTheme="minorEastAsia"/>
          <w:b w:val="0"/>
          <w:sz w:val="28"/>
          <w:szCs w:val="28"/>
          <w:lang w:eastAsia="zh-CN"/>
        </w:rPr>
      </w:pPr>
      <w:r>
        <w:rPr>
          <w:rFonts w:hint="eastAsia" w:ascii="仿宋_GB2312" w:eastAsia="仿宋_GB2312" w:hAnsiTheme="minorEastAsia"/>
          <w:sz w:val="28"/>
          <w:szCs w:val="28"/>
          <w:lang w:eastAsia="zh-CN"/>
        </w:rPr>
        <w:t xml:space="preserve">第一条 </w:t>
      </w:r>
      <w:r>
        <w:rPr>
          <w:rFonts w:hint="eastAsia" w:ascii="仿宋_GB2312" w:eastAsia="仿宋_GB2312" w:hAnsiTheme="minorEastAsia"/>
          <w:b w:val="0"/>
          <w:sz w:val="28"/>
          <w:szCs w:val="28"/>
          <w:lang w:eastAsia="zh-CN"/>
        </w:rPr>
        <w:t>为进一步提高财政投资评审工作质量和效率，加强和规范对第三方机构的管理，根据《政府购买服务管理办法》（财政部令第102号）、《关于促进政府采购公平竞争优化营商环境的通知》（财库〔2019〕38号）、《江西省省级政府投资建设项目预、决算评审办法》（赣财办〔2018〕 111号）、《江西省财政厅关于做好省级政府投资建设项目预决算评审工作的通知》（赣财办〔2019〕80号）、《江西省政务服务办公室江西省财政厅关于规范财政性资金项目选取中介服务有关工作的通知》（赣政务字 〔2021〕1号）、《江西省省级财政投资评审第三方机构管理暂行办法》（赣财办〔2022〕20号）、《南昌市财政投资项目跟踪评审管理办法》（洪财规〔2020〕6号）、《关于印发&lt;南昌市西湖区财政投资评审管理办法&gt;的通知》（西府办发〔2021〕2号）等有关规定，结合工作实际，制定本办法。</w:t>
      </w:r>
    </w:p>
    <w:p>
      <w:pPr>
        <w:spacing w:line="560" w:lineRule="exact"/>
        <w:ind w:firstLine="495" w:firstLineChars="176"/>
        <w:contextualSpacing/>
        <w:rPr>
          <w:rFonts w:ascii="仿宋_GB2312" w:eastAsia="仿宋_GB2312" w:hAnsiTheme="minorEastAsia"/>
          <w:b/>
          <w:sz w:val="28"/>
          <w:szCs w:val="28"/>
          <w:lang w:eastAsia="zh-CN"/>
        </w:rPr>
      </w:pPr>
      <w:r>
        <w:rPr>
          <w:rFonts w:hint="eastAsia" w:ascii="仿宋_GB2312" w:eastAsia="仿宋_GB2312" w:hAnsiTheme="minorEastAsia"/>
          <w:b/>
          <w:sz w:val="28"/>
          <w:szCs w:val="28"/>
          <w:lang w:eastAsia="zh-CN"/>
        </w:rPr>
        <w:t xml:space="preserve">第二条 </w:t>
      </w:r>
      <w:r>
        <w:rPr>
          <w:rFonts w:hint="eastAsia" w:ascii="仿宋_GB2312" w:eastAsia="仿宋_GB2312" w:hAnsiTheme="minorEastAsia"/>
          <w:bCs/>
          <w:sz w:val="28"/>
          <w:szCs w:val="28"/>
          <w:lang w:eastAsia="zh-CN"/>
        </w:rPr>
        <w:t>本办法所称第三方机构，是入驻江西省投资评审业务管理系统（以下简称“系统”）的工程造价咨询机构。</w:t>
      </w:r>
    </w:p>
    <w:p>
      <w:pPr>
        <w:spacing w:line="560" w:lineRule="exact"/>
        <w:ind w:firstLine="495" w:firstLineChars="176"/>
        <w:contextualSpacing/>
        <w:rPr>
          <w:rFonts w:ascii="仿宋_GB2312" w:eastAsia="仿宋_GB2312" w:hAnsiTheme="minorEastAsia"/>
          <w:b/>
          <w:sz w:val="28"/>
          <w:szCs w:val="28"/>
          <w:lang w:eastAsia="zh-CN"/>
        </w:rPr>
      </w:pPr>
      <w:r>
        <w:rPr>
          <w:rFonts w:hint="eastAsia" w:ascii="仿宋_GB2312" w:eastAsia="仿宋_GB2312" w:hAnsiTheme="minorEastAsia"/>
          <w:b/>
          <w:sz w:val="28"/>
          <w:szCs w:val="28"/>
          <w:lang w:eastAsia="zh-CN"/>
        </w:rPr>
        <w:t>第三条</w:t>
      </w:r>
      <w:r>
        <w:rPr>
          <w:rFonts w:hint="eastAsia" w:ascii="仿宋_GB2312" w:eastAsia="仿宋_GB2312" w:hAnsiTheme="minorEastAsia"/>
          <w:bCs/>
          <w:sz w:val="28"/>
          <w:szCs w:val="28"/>
          <w:lang w:eastAsia="zh-CN"/>
        </w:rPr>
        <w:t>本办法适用于参与西湖区本级及派出机构财政投资评审业务的第三方机构的管理。</w:t>
      </w:r>
    </w:p>
    <w:p>
      <w:pPr>
        <w:spacing w:line="560" w:lineRule="exact"/>
        <w:ind w:firstLine="495" w:firstLineChars="176"/>
        <w:contextualSpacing/>
        <w:jc w:val="center"/>
        <w:rPr>
          <w:rFonts w:ascii="仿宋_GB2312" w:eastAsia="仿宋_GB2312" w:hAnsiTheme="minorEastAsia"/>
          <w:b/>
          <w:sz w:val="28"/>
          <w:szCs w:val="28"/>
          <w:lang w:eastAsia="zh-CN"/>
        </w:rPr>
      </w:pPr>
      <w:r>
        <w:rPr>
          <w:rFonts w:hint="eastAsia" w:ascii="仿宋_GB2312" w:eastAsia="仿宋_GB2312" w:hAnsiTheme="minorEastAsia"/>
          <w:b/>
          <w:sz w:val="28"/>
          <w:szCs w:val="28"/>
          <w:lang w:eastAsia="zh-CN"/>
        </w:rPr>
        <w:t>第二章 入驻管理</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 xml:space="preserve">第四条 </w:t>
      </w:r>
      <w:r>
        <w:rPr>
          <w:rFonts w:hint="eastAsia" w:ascii="仿宋_GB2312" w:eastAsia="仿宋_GB2312" w:hAnsiTheme="minorEastAsia"/>
          <w:sz w:val="28"/>
          <w:szCs w:val="28"/>
          <w:lang w:eastAsia="zh-CN"/>
        </w:rPr>
        <w:t>第三方机构应当符合以下条件：</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（一）依法成立的工程造价咨询企业；</w:t>
      </w:r>
      <w:bookmarkStart w:id="3" w:name="bookmark9"/>
    </w:p>
    <w:bookmarkEnd w:id="3"/>
    <w:p>
      <w:pPr>
        <w:spacing w:line="560" w:lineRule="exact"/>
        <w:ind w:firstLine="492" w:firstLineChars="176"/>
        <w:contextualSpacing/>
        <w:rPr>
          <w:rFonts w:hint="eastAsia" w:ascii="仿宋_GB2312" w:eastAsia="仿宋_GB2312" w:hAnsiTheme="minorEastAsia"/>
          <w:sz w:val="28"/>
          <w:szCs w:val="28"/>
          <w:lang w:eastAsia="zh-CN"/>
        </w:rPr>
        <w:sectPr>
          <w:footerReference r:id="rId7" w:type="first"/>
          <w:footerReference r:id="rId5" w:type="default"/>
          <w:footerReference r:id="rId6" w:type="even"/>
          <w:pgSz w:w="11900" w:h="16840"/>
          <w:pgMar w:top="1792" w:right="1497" w:bottom="2228" w:left="1484" w:header="0" w:footer="3" w:gutter="0"/>
          <w:pgNumType w:fmt="decimal" w:start="1"/>
          <w:cols w:space="720" w:num="1"/>
          <w:titlePg/>
          <w:docGrid w:linePitch="360" w:charSpace="0"/>
        </w:sectPr>
      </w:pPr>
    </w:p>
    <w:p>
      <w:pPr>
        <w:spacing w:line="560" w:lineRule="exact"/>
        <w:ind w:firstLine="492" w:firstLineChars="176"/>
        <w:contextualSpacing/>
        <w:rPr>
          <w:rFonts w:hint="eastAsia" w:ascii="仿宋_GB2312" w:eastAsia="仿宋_GB2312" w:hAnsiTheme="minorEastAsia"/>
          <w:sz w:val="28"/>
          <w:szCs w:val="28"/>
          <w:lang w:eastAsia="zh-CN"/>
        </w:rPr>
      </w:pPr>
      <w:r>
        <w:rPr>
          <w:rFonts w:hint="eastAsia" w:ascii="仿宋_GB2312" w:eastAsia="仿宋_GB2312" w:hAnsiTheme="minorEastAsia"/>
          <w:sz w:val="28"/>
          <w:szCs w:val="28"/>
          <w:lang w:eastAsia="zh-CN"/>
        </w:rPr>
        <w:t>（二）具有独立承担民事责任的能力；</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（三）具有履行合同所必需的固定办公场所、设备和专业技术人</w:t>
      </w:r>
      <w:bookmarkStart w:id="4" w:name="bookmark11"/>
      <w:r>
        <w:rPr>
          <w:rFonts w:hint="eastAsia" w:ascii="仿宋_GB2312" w:eastAsia="仿宋_GB2312" w:hAnsiTheme="minorEastAsia"/>
          <w:sz w:val="28"/>
          <w:szCs w:val="28"/>
          <w:lang w:eastAsia="zh-CN"/>
        </w:rPr>
        <w:t>员；</w:t>
      </w:r>
      <w:bookmarkEnd w:id="4"/>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（四）有依法缴纳税收和社会保险记录；</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（五）具有健全的内部管理制度；</w:t>
      </w:r>
      <w:bookmarkStart w:id="5" w:name="bookmark13"/>
    </w:p>
    <w:bookmarkEnd w:id="5"/>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（六）近三年无重大违法记录；</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（七）无不良诚信记录。</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 xml:space="preserve">第五条 </w:t>
      </w:r>
      <w:r>
        <w:rPr>
          <w:rFonts w:hint="eastAsia" w:ascii="仿宋_GB2312" w:eastAsia="仿宋_GB2312" w:hAnsiTheme="minorEastAsia"/>
          <w:sz w:val="28"/>
          <w:szCs w:val="28"/>
          <w:lang w:eastAsia="zh-CN"/>
        </w:rPr>
        <w:t>第三方机构需在系统上申请入驻，提供以下资料并承诺资料真实有效。</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工程造价咨询机构</w:t>
      </w:r>
      <w:bookmarkStart w:id="6" w:name="bookmark15"/>
      <w:bookmarkEnd w:id="6"/>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1、由法定代表人签字并加盖公章的入驻申请书扫描件；</w:t>
      </w:r>
      <w:bookmarkStart w:id="7" w:name="bookmark16"/>
      <w:bookmarkEnd w:id="7"/>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2、营业执照和法定代表人身份证扫描件；</w:t>
      </w:r>
      <w:bookmarkStart w:id="8" w:name="bookmark17"/>
      <w:bookmarkEnd w:id="8"/>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3、近半年缴纳税收和社会保险费的证明材料扫描件；</w:t>
      </w:r>
      <w:bookmarkStart w:id="9" w:name="bookmark18"/>
      <w:bookmarkEnd w:id="9"/>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4、一级注册造价师2名（含）以上和一定数量的二级注册造价师的注册证书、身份证扫描件，其中一级注册造价师至少含1名土建专业和1名安装专业；</w:t>
      </w:r>
      <w:bookmarkStart w:id="10" w:name="bookmark19"/>
      <w:bookmarkEnd w:id="10"/>
    </w:p>
    <w:p>
      <w:pPr>
        <w:spacing w:line="560" w:lineRule="exact"/>
        <w:ind w:firstLine="492" w:firstLineChars="176"/>
        <w:contextualSpacing/>
        <w:rPr>
          <w:rFonts w:hint="eastAsia" w:ascii="仿宋_GB2312" w:eastAsia="仿宋_GB2312" w:hAnsiTheme="minorEastAsia"/>
          <w:sz w:val="28"/>
          <w:szCs w:val="28"/>
          <w:lang w:eastAsia="zh-CN"/>
        </w:rPr>
      </w:pPr>
      <w:r>
        <w:rPr>
          <w:rFonts w:hint="eastAsia" w:ascii="仿宋_GB2312" w:eastAsia="仿宋_GB2312" w:hAnsiTheme="minorEastAsia"/>
          <w:sz w:val="28"/>
          <w:szCs w:val="28"/>
          <w:lang w:eastAsia="zh-CN"/>
        </w:rPr>
        <w:t>5、办公场所证明扫描件；</w:t>
      </w:r>
      <w:bookmarkStart w:id="11" w:name="bookmark20"/>
      <w:bookmarkEnd w:id="11"/>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6、由法定代表人签字并加盖公章的承诺书扫描件，内容包括：承担财政投资评审业务必须为系统注册人员；符合本办法 第四条（四）到（六）条件要求；近3年无行业主管部门规定的禁止行为；接受本办法管理。</w:t>
      </w:r>
      <w:bookmarkStart w:id="12" w:name="bookmark21"/>
      <w:bookmarkEnd w:id="12"/>
    </w:p>
    <w:p>
      <w:pPr>
        <w:spacing w:line="560" w:lineRule="exact"/>
        <w:ind w:firstLine="492" w:firstLineChars="176"/>
        <w:contextualSpacing/>
        <w:rPr>
          <w:rFonts w:hint="eastAsia" w:ascii="仿宋_GB2312" w:eastAsia="仿宋_GB2312" w:hAnsiTheme="minorEastAsia"/>
          <w:sz w:val="28"/>
          <w:szCs w:val="28"/>
          <w:lang w:eastAsia="zh-CN"/>
        </w:rPr>
        <w:sectPr>
          <w:footerReference r:id="rId10" w:type="first"/>
          <w:footerReference r:id="rId8" w:type="default"/>
          <w:footerReference r:id="rId9" w:type="even"/>
          <w:pgSz w:w="11900" w:h="16840"/>
          <w:pgMar w:top="1792" w:right="1497" w:bottom="2228" w:left="1484" w:header="0" w:footer="3" w:gutter="0"/>
          <w:pgNumType w:fmt="decimal" w:start="2"/>
          <w:cols w:space="720" w:num="1"/>
          <w:titlePg/>
          <w:docGrid w:linePitch="360" w:charSpace="0"/>
        </w:sectPr>
      </w:pPr>
      <w:r>
        <w:rPr>
          <w:rFonts w:hint="eastAsia" w:ascii="仿宋_GB2312" w:eastAsia="仿宋_GB2312" w:hAnsiTheme="minorEastAsia"/>
          <w:sz w:val="28"/>
          <w:szCs w:val="28"/>
          <w:lang w:eastAsia="zh-CN"/>
        </w:rPr>
        <w:t>7、参与信息化项目评审的机构，除应提供上述资料外，还应提供2名（含）以上具有信息工程、计算机科学与技术、软件工程、通信工程、网络工程及相关专业背景和相应中级以上职称的专业技术人员的身份证、</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毕业证和职称证扫描件；加盖公章的从业简历及主要业绩说明扫描件。</w:t>
      </w:r>
    </w:p>
    <w:p>
      <w:pPr>
        <w:spacing w:line="560" w:lineRule="exact"/>
        <w:ind w:firstLine="492" w:firstLineChars="176"/>
        <w:contextualSpacing/>
        <w:rPr>
          <w:rFonts w:ascii="仿宋_GB2312" w:eastAsia="仿宋_GB2312" w:hAnsiTheme="minorEastAsia"/>
          <w:sz w:val="28"/>
          <w:szCs w:val="28"/>
          <w:lang w:eastAsia="zh-CN"/>
        </w:rPr>
      </w:pPr>
      <w:bookmarkStart w:id="13" w:name="bookmark22"/>
      <w:bookmarkEnd w:id="13"/>
      <w:r>
        <w:rPr>
          <w:rFonts w:hint="eastAsia" w:ascii="仿宋_GB2312" w:eastAsia="仿宋_GB2312" w:hAnsiTheme="minorEastAsia"/>
          <w:sz w:val="28"/>
          <w:szCs w:val="28"/>
          <w:lang w:eastAsia="zh-CN"/>
        </w:rPr>
        <w:t>8、参与水利或交通专业项目评审的机构，应至少提供2名（含）以上水利或交通专业一级注册造价师的注册证书、身份证扫描件。</w:t>
      </w:r>
      <w:bookmarkStart w:id="14" w:name="bookmark23"/>
    </w:p>
    <w:bookmarkEnd w:id="14"/>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第六条</w:t>
      </w:r>
      <w:r>
        <w:rPr>
          <w:rFonts w:hint="eastAsia" w:ascii="仿宋_GB2312" w:eastAsia="仿宋_GB2312" w:hAnsiTheme="minorEastAsia"/>
          <w:sz w:val="28"/>
          <w:szCs w:val="28"/>
          <w:lang w:eastAsia="zh-CN"/>
        </w:rPr>
        <w:t xml:space="preserve"> 第三方机构提交的材料符合本办法第四、五条要求，经区财政局确认入驻后可参与随机抽取评审业务。</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第七条</w:t>
      </w:r>
      <w:r>
        <w:rPr>
          <w:rFonts w:hint="eastAsia" w:ascii="仿宋_GB2312" w:eastAsia="仿宋_GB2312" w:hAnsiTheme="minorEastAsia"/>
          <w:sz w:val="28"/>
          <w:szCs w:val="28"/>
          <w:lang w:eastAsia="zh-CN"/>
        </w:rPr>
        <w:t xml:space="preserve"> 第三方机构评审人员应在西湖区财政局备案。第三方机构备案人员如需变更，应提交注册证书、身份证和近期缴纳社会保险费的证明材料扫描件，经区财政局确认后变更。</w:t>
      </w:r>
    </w:p>
    <w:p>
      <w:pPr>
        <w:spacing w:line="560" w:lineRule="exact"/>
        <w:ind w:firstLine="495" w:firstLineChars="176"/>
        <w:contextualSpacing/>
        <w:jc w:val="center"/>
        <w:rPr>
          <w:rFonts w:ascii="仿宋_GB2312" w:eastAsia="仿宋_GB2312" w:hAnsiTheme="minorEastAsia"/>
          <w:b/>
          <w:sz w:val="28"/>
          <w:szCs w:val="28"/>
          <w:lang w:eastAsia="zh-CN"/>
        </w:rPr>
      </w:pPr>
      <w:r>
        <w:rPr>
          <w:rFonts w:hint="eastAsia" w:ascii="仿宋_GB2312" w:eastAsia="仿宋_GB2312" w:hAnsiTheme="minorEastAsia"/>
          <w:b/>
          <w:sz w:val="28"/>
          <w:szCs w:val="28"/>
          <w:lang w:eastAsia="zh-CN"/>
        </w:rPr>
        <w:t>第三章 业务委托</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第八条</w:t>
      </w:r>
      <w:r>
        <w:rPr>
          <w:rFonts w:hint="eastAsia" w:ascii="仿宋_GB2312" w:eastAsia="仿宋_GB2312" w:hAnsiTheme="minorEastAsia"/>
          <w:sz w:val="28"/>
          <w:szCs w:val="28"/>
          <w:lang w:eastAsia="zh-CN"/>
        </w:rPr>
        <w:t xml:space="preserve"> 预估评审费用在采购限额标准（不含）以下的项目评审，由区财政局采取按轮次电脑随机抽取的方式选取第三方机构，尚有业务未完成的第三方机构不得参加抽取。</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前款中应急、涉密或重大、重点项目评审业务，区财政局可以通过启动“三重一大”决策程序，合法合规、公正合理选取第三方机构。</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第九条</w:t>
      </w:r>
      <w:r>
        <w:rPr>
          <w:rFonts w:hint="eastAsia" w:ascii="仿宋_GB2312" w:eastAsia="仿宋_GB2312" w:hAnsiTheme="minorEastAsia"/>
          <w:sz w:val="28"/>
          <w:szCs w:val="28"/>
          <w:lang w:eastAsia="zh-CN"/>
        </w:rPr>
        <w:t xml:space="preserve"> 预估评审费用在采购限额标准（含）以上到200万元之间的项目评审，由区财政局依法通过公开招标、邀请招标、竞争性谈判、竞争性磋商或单一来源方式选取第三方机构。预估评审费用在200万元（含）以上的项目评审，原则上应当采用公开招标的方式选取第三方机构。</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第十条</w:t>
      </w:r>
      <w:r>
        <w:rPr>
          <w:rFonts w:hint="eastAsia" w:ascii="仿宋_GB2312" w:eastAsia="仿宋_GB2312" w:hAnsiTheme="minorEastAsia"/>
          <w:sz w:val="28"/>
          <w:szCs w:val="28"/>
          <w:lang w:eastAsia="zh-CN"/>
        </w:rPr>
        <w:t xml:space="preserve"> 项目评审实行回避制度。</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（一）已经为项目提供设计、招标代理、造价、监理、检测等服务的第三方机构，应当回避；</w:t>
      </w:r>
      <w:bookmarkStart w:id="15" w:name="bookmark30"/>
    </w:p>
    <w:p>
      <w:pPr>
        <w:spacing w:line="560" w:lineRule="exact"/>
        <w:ind w:firstLine="492" w:firstLineChars="176"/>
        <w:contextualSpacing/>
        <w:rPr>
          <w:rFonts w:hint="eastAsia" w:ascii="仿宋_GB2312" w:eastAsia="仿宋_GB2312" w:hAnsiTheme="minorEastAsia"/>
          <w:sz w:val="28"/>
          <w:szCs w:val="28"/>
          <w:lang w:eastAsia="zh-CN"/>
        </w:rPr>
        <w:sectPr>
          <w:footerReference r:id="rId13" w:type="first"/>
          <w:footerReference r:id="rId11" w:type="default"/>
          <w:footerReference r:id="rId12" w:type="even"/>
          <w:pgSz w:w="11900" w:h="16840"/>
          <w:pgMar w:top="1792" w:right="1497" w:bottom="2228" w:left="1484" w:header="0" w:footer="3" w:gutter="0"/>
          <w:pgNumType w:fmt="decimal" w:start="3"/>
          <w:cols w:space="720" w:num="1"/>
          <w:titlePg/>
          <w:docGrid w:linePitch="360" w:charSpace="0"/>
        </w:sectPr>
      </w:pPr>
      <w:r>
        <w:rPr>
          <w:rFonts w:hint="eastAsia" w:ascii="仿宋_GB2312" w:eastAsia="仿宋_GB2312" w:hAnsiTheme="minorEastAsia"/>
          <w:sz w:val="28"/>
          <w:szCs w:val="28"/>
          <w:lang w:eastAsia="zh-CN"/>
        </w:rPr>
        <w:t>（</w:t>
      </w:r>
      <w:bookmarkEnd w:id="15"/>
      <w:r>
        <w:rPr>
          <w:rFonts w:hint="eastAsia" w:ascii="仿宋_GB2312" w:eastAsia="仿宋_GB2312" w:hAnsiTheme="minorEastAsia"/>
          <w:sz w:val="28"/>
          <w:szCs w:val="28"/>
          <w:lang w:eastAsia="zh-CN"/>
        </w:rPr>
        <w:t>二）与已提供本条第一款服务的第三方机构法定代表人（或实际控</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制人）为同一人或者存在控股及其他关联关系的，应当回避；</w:t>
      </w:r>
      <w:bookmarkStart w:id="16" w:name="bookmark31"/>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w:t>
      </w:r>
      <w:bookmarkEnd w:id="16"/>
      <w:r>
        <w:rPr>
          <w:rFonts w:hint="eastAsia" w:ascii="仿宋_GB2312" w:eastAsia="仿宋_GB2312" w:hAnsiTheme="minorEastAsia"/>
          <w:sz w:val="28"/>
          <w:szCs w:val="28"/>
          <w:lang w:eastAsia="zh-CN"/>
        </w:rPr>
        <w:t>三）第三方机构评审人员与被委托项目施工单位存在亲缘关系或有经济利益关系及其他可能影响公平、公正情况的，应当回避；</w:t>
      </w:r>
      <w:bookmarkStart w:id="17" w:name="bookmark32"/>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w:t>
      </w:r>
      <w:bookmarkEnd w:id="17"/>
      <w:r>
        <w:rPr>
          <w:rFonts w:hint="eastAsia" w:ascii="仿宋_GB2312" w:eastAsia="仿宋_GB2312" w:hAnsiTheme="minorEastAsia"/>
          <w:sz w:val="28"/>
          <w:szCs w:val="28"/>
          <w:lang w:eastAsia="zh-CN"/>
        </w:rPr>
        <w:t>四）其他应回避的事项。</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第三方机构应当回避而不提出回避的，一经发现，区财政局有权终止委托。</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第十一条</w:t>
      </w:r>
      <w:r>
        <w:rPr>
          <w:rFonts w:hint="eastAsia" w:ascii="仿宋_GB2312" w:eastAsia="仿宋_GB2312" w:hAnsiTheme="minorEastAsia"/>
          <w:sz w:val="28"/>
          <w:szCs w:val="28"/>
          <w:lang w:eastAsia="zh-CN"/>
        </w:rPr>
        <w:t xml:space="preserve"> 区财政局下达评审业务委托书后，第三方机构应当按要求完成项目评审业务，依法依规独立评审，并保证项目评审的合法、完整、真实、准确和有效。</w:t>
      </w:r>
    </w:p>
    <w:p>
      <w:pPr>
        <w:spacing w:line="560" w:lineRule="exact"/>
        <w:contextualSpacing/>
        <w:jc w:val="center"/>
        <w:rPr>
          <w:rFonts w:ascii="仿宋_GB2312" w:eastAsia="仿宋_GB2312" w:hAnsiTheme="minorEastAsia"/>
          <w:b/>
          <w:sz w:val="28"/>
          <w:szCs w:val="28"/>
          <w:lang w:eastAsia="zh-CN"/>
        </w:rPr>
      </w:pPr>
      <w:r>
        <w:rPr>
          <w:rFonts w:hint="eastAsia" w:ascii="仿宋_GB2312" w:eastAsia="仿宋_GB2312" w:hAnsiTheme="minorEastAsia"/>
          <w:b/>
          <w:sz w:val="28"/>
          <w:szCs w:val="28"/>
          <w:lang w:eastAsia="zh-CN"/>
        </w:rPr>
        <w:t>第四章 项目评审</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 xml:space="preserve">第十二条 </w:t>
      </w:r>
      <w:r>
        <w:rPr>
          <w:rFonts w:hint="eastAsia" w:ascii="仿宋_GB2312" w:eastAsia="仿宋_GB2312" w:hAnsiTheme="minorEastAsia"/>
          <w:color w:val="000000" w:themeColor="text1"/>
          <w:sz w:val="28"/>
          <w:szCs w:val="28"/>
          <w:lang w:eastAsia="zh-CN"/>
          <w14:textFill>
            <w14:solidFill>
              <w14:schemeClr w14:val="tx1"/>
            </w14:solidFill>
          </w14:textFill>
        </w:rPr>
        <w:t>预算评审、模拟清单评审、竣工结评审算和全过程跟踪评审由工程造价咨询机构承担。</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第十三条</w:t>
      </w:r>
      <w:r>
        <w:rPr>
          <w:rFonts w:hint="eastAsia" w:ascii="仿宋_GB2312" w:eastAsia="仿宋_GB2312" w:hAnsiTheme="minorEastAsia"/>
          <w:sz w:val="28"/>
          <w:szCs w:val="28"/>
          <w:lang w:eastAsia="zh-CN"/>
        </w:rPr>
        <w:t xml:space="preserve"> 第三方机构应按以下时限要求完成评审业务：</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项目预算评审时间为：投资额1000万以下项目，10个工作日；1000-3000万项目，15个工作日；3000-5000万项目，20个工作日；5000-10000万项目，25个工作日；10000万以上项目，30个工作日。</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项目竣工结算评审时间为：投资额1000万以下项目，15个工作日；1000-3000万项目，20个工作日；3000-5000万项目，30个工作日；5000-10000万项目，45个工作日；10000万以上项目，55个工作日。</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重大项目评审，第三方机构如需延长评审时间，应在评审截止日前3个工作日内报区财政局核准。</w:t>
      </w:r>
    </w:p>
    <w:p>
      <w:pPr>
        <w:spacing w:line="560" w:lineRule="exact"/>
        <w:ind w:firstLine="492" w:firstLineChars="176"/>
        <w:contextualSpacing/>
        <w:rPr>
          <w:rFonts w:hint="eastAsia" w:ascii="仿宋_GB2312" w:eastAsia="仿宋_GB2312" w:hAnsiTheme="minorEastAsia"/>
          <w:sz w:val="28"/>
          <w:szCs w:val="28"/>
          <w:lang w:eastAsia="zh-CN"/>
        </w:rPr>
        <w:sectPr>
          <w:footerReference r:id="rId16" w:type="first"/>
          <w:footerReference r:id="rId14" w:type="default"/>
          <w:footerReference r:id="rId15" w:type="even"/>
          <w:pgSz w:w="11900" w:h="16840"/>
          <w:pgMar w:top="1792" w:right="1497" w:bottom="2228" w:left="1484" w:header="0" w:footer="3" w:gutter="0"/>
          <w:pgNumType w:fmt="decimal" w:start="4"/>
          <w:cols w:space="720" w:num="1"/>
          <w:titlePg/>
          <w:docGrid w:linePitch="360" w:charSpace="0"/>
        </w:sectPr>
      </w:pPr>
      <w:r>
        <w:rPr>
          <w:rFonts w:hint="eastAsia" w:ascii="仿宋_GB2312" w:eastAsia="仿宋_GB2312" w:hAnsiTheme="minorEastAsia"/>
          <w:sz w:val="28"/>
          <w:szCs w:val="28"/>
          <w:lang w:eastAsia="zh-CN"/>
        </w:rPr>
        <w:t>评审时间是指送审资料、程序合法完整齐全，财政部门或项目主管部</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门自收到送审资料之日起反馈审核报告的可控时长，不包含需要项目建设单位配合的补充资料、核对、完善程序、征求意见等时间。</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特大型项目或特殊项目经批准后可延长评审时限，延长时间不超过30个工作日。如因项目建设单位补充资料、反馈意见、参加核对和结果确认等原因延误了时间，应在评审截止日前3个工作日内提供书面说明，经区财政局核准后，相应评审时间可以顺延。</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第十四条</w:t>
      </w:r>
      <w:r>
        <w:rPr>
          <w:rFonts w:hint="eastAsia" w:ascii="仿宋_GB2312" w:eastAsia="仿宋_GB2312" w:hAnsiTheme="minorEastAsia"/>
          <w:sz w:val="28"/>
          <w:szCs w:val="28"/>
          <w:lang w:eastAsia="zh-CN"/>
        </w:rPr>
        <w:t xml:space="preserve"> 未经区财政局同意，第三方机构不得将评审所获资料和信息对外泄露；第三方机构评审涉密项目时，应与被评审单位签订保密协议，并遵守有关约定。</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第十五条</w:t>
      </w:r>
      <w:r>
        <w:rPr>
          <w:rFonts w:hint="eastAsia" w:ascii="仿宋_GB2312" w:eastAsia="仿宋_GB2312" w:hAnsiTheme="minorEastAsia"/>
          <w:sz w:val="28"/>
          <w:szCs w:val="28"/>
          <w:lang w:eastAsia="zh-CN"/>
        </w:rPr>
        <w:t xml:space="preserve"> 第三方机构应当建立三级审核制度，确保各专业评审人员、复核人员和技术负责人独立执业，形成相互监督的工作机制。</w:t>
      </w:r>
      <w:r>
        <w:rPr>
          <w:rFonts w:hint="eastAsia" w:ascii="仿宋_GB2312" w:eastAsia="仿宋_GB2312" w:hAnsiTheme="minorEastAsia"/>
          <w:sz w:val="28"/>
          <w:szCs w:val="28"/>
          <w:lang w:eastAsia="zh-CN"/>
        </w:rPr>
        <w:tab/>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第十六条</w:t>
      </w:r>
      <w:r>
        <w:rPr>
          <w:rFonts w:hint="eastAsia" w:ascii="仿宋_GB2312" w:eastAsia="仿宋_GB2312" w:hAnsiTheme="minorEastAsia"/>
          <w:sz w:val="28"/>
          <w:szCs w:val="28"/>
          <w:lang w:eastAsia="zh-CN"/>
        </w:rPr>
        <w:t xml:space="preserve"> 第三方机构应当建立完整、规范的工作底稿制度，真实、清晰、完整、准确记录每一项评审情况。</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第十七条</w:t>
      </w:r>
      <w:r>
        <w:rPr>
          <w:rFonts w:hint="eastAsia" w:ascii="仿宋_GB2312" w:eastAsia="仿宋_GB2312" w:hAnsiTheme="minorEastAsia"/>
          <w:sz w:val="28"/>
          <w:szCs w:val="28"/>
          <w:lang w:eastAsia="zh-CN"/>
        </w:rPr>
        <w:t xml:space="preserve"> 第三方机构应切实履行重要事项报告制度，对出现争议问题等情况，第三方机构应当及时向区财政局报告，由区财政局视情况协调处理。</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第十八条</w:t>
      </w:r>
      <w:r>
        <w:rPr>
          <w:rFonts w:hint="eastAsia" w:ascii="仿宋_GB2312" w:eastAsia="仿宋_GB2312" w:hAnsiTheme="minorEastAsia"/>
          <w:sz w:val="28"/>
          <w:szCs w:val="28"/>
          <w:lang w:eastAsia="zh-CN"/>
        </w:rPr>
        <w:t xml:space="preserve"> 第三方机构应做好评审资料的保管。项目评审结束后，第三方机构应当将项目评审资料分别整理成册，并妥善保管。</w:t>
      </w:r>
    </w:p>
    <w:p>
      <w:pPr>
        <w:spacing w:line="560" w:lineRule="exact"/>
        <w:ind w:firstLine="495" w:firstLineChars="176"/>
        <w:contextualSpacing/>
        <w:jc w:val="center"/>
        <w:rPr>
          <w:rFonts w:ascii="仿宋_GB2312" w:eastAsia="仿宋_GB2312" w:hAnsiTheme="minorEastAsia"/>
          <w:b/>
          <w:sz w:val="28"/>
          <w:szCs w:val="28"/>
          <w:lang w:eastAsia="zh-CN"/>
        </w:rPr>
      </w:pPr>
      <w:r>
        <w:rPr>
          <w:rFonts w:hint="eastAsia" w:ascii="仿宋_GB2312" w:eastAsia="仿宋_GB2312" w:hAnsiTheme="minorEastAsia"/>
          <w:b/>
          <w:sz w:val="28"/>
          <w:szCs w:val="28"/>
          <w:lang w:eastAsia="zh-CN"/>
        </w:rPr>
        <w:t>第五章 评审结果上报</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第十九条</w:t>
      </w:r>
      <w:r>
        <w:rPr>
          <w:rFonts w:hint="eastAsia" w:ascii="仿宋_GB2312" w:eastAsia="仿宋_GB2312" w:hAnsiTheme="minorEastAsia"/>
          <w:sz w:val="28"/>
          <w:szCs w:val="28"/>
          <w:lang w:eastAsia="zh-CN"/>
        </w:rPr>
        <w:t xml:space="preserve"> 第三方机构的评审结果应及时报区财政局评审中心，上报时应提交相关资料及电子文件。</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第二十条</w:t>
      </w:r>
      <w:r>
        <w:rPr>
          <w:rFonts w:hint="eastAsia" w:ascii="仿宋_GB2312" w:eastAsia="仿宋_GB2312" w:hAnsiTheme="minorEastAsia"/>
          <w:sz w:val="28"/>
          <w:szCs w:val="28"/>
          <w:lang w:eastAsia="zh-CN"/>
        </w:rPr>
        <w:t xml:space="preserve"> 预算评审（含模拟清单评审）上报应提交以下资料：</w:t>
      </w:r>
    </w:p>
    <w:p>
      <w:pPr>
        <w:spacing w:line="560" w:lineRule="exact"/>
        <w:ind w:firstLine="492" w:firstLineChars="176"/>
        <w:contextualSpacing/>
        <w:rPr>
          <w:rFonts w:hint="eastAsia" w:ascii="仿宋_GB2312" w:eastAsia="仿宋_GB2312" w:hAnsiTheme="minorEastAsia"/>
          <w:sz w:val="28"/>
          <w:szCs w:val="28"/>
          <w:lang w:eastAsia="zh-CN"/>
        </w:rPr>
        <w:sectPr>
          <w:footerReference r:id="rId19" w:type="first"/>
          <w:footerReference r:id="rId17" w:type="default"/>
          <w:footerReference r:id="rId18" w:type="even"/>
          <w:pgSz w:w="11900" w:h="16840"/>
          <w:pgMar w:top="1792" w:right="1497" w:bottom="2228" w:left="1484" w:header="0" w:footer="3" w:gutter="0"/>
          <w:pgNumType w:fmt="decimal" w:start="5"/>
          <w:cols w:space="720" w:num="1"/>
          <w:titlePg/>
          <w:docGrid w:linePitch="360" w:charSpace="0"/>
        </w:sectPr>
      </w:pPr>
      <w:bookmarkStart w:id="18" w:name="bookmark33"/>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w:t>
      </w:r>
      <w:bookmarkEnd w:id="18"/>
      <w:r>
        <w:rPr>
          <w:rFonts w:hint="eastAsia" w:ascii="仿宋_GB2312" w:eastAsia="仿宋_GB2312" w:hAnsiTheme="minorEastAsia"/>
          <w:sz w:val="28"/>
          <w:szCs w:val="28"/>
          <w:lang w:eastAsia="zh-CN"/>
        </w:rPr>
        <w:t>一）评审报告，包括评审依据、评审范围、评审结论、主要审减（增）原因分析、主要经济技术指标分析、终稿与初稿对比分析、概算或其他批复对比情况分析和重要事项说明等；</w:t>
      </w:r>
      <w:bookmarkStart w:id="19" w:name="bookmark34"/>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w:t>
      </w:r>
      <w:bookmarkEnd w:id="19"/>
      <w:r>
        <w:rPr>
          <w:rFonts w:hint="eastAsia" w:ascii="仿宋_GB2312" w:eastAsia="仿宋_GB2312" w:hAnsiTheme="minorEastAsia"/>
          <w:sz w:val="28"/>
          <w:szCs w:val="28"/>
          <w:lang w:eastAsia="zh-CN"/>
        </w:rPr>
        <w:t>二）评审工作底稿，包括算量模型、其他工程量计算底稿、主要材料设备询价单、计价文件软件版</w:t>
      </w:r>
      <w:bookmarkStart w:id="20" w:name="bookmark35"/>
      <w:r>
        <w:rPr>
          <w:rFonts w:hint="eastAsia" w:ascii="仿宋_GB2312" w:eastAsia="仿宋_GB2312" w:hAnsiTheme="minorEastAsia"/>
          <w:sz w:val="28"/>
          <w:szCs w:val="28"/>
          <w:lang w:eastAsia="zh-CN"/>
        </w:rPr>
        <w:t>；</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w:t>
      </w:r>
      <w:bookmarkEnd w:id="20"/>
      <w:r>
        <w:rPr>
          <w:rFonts w:hint="eastAsia" w:ascii="仿宋_GB2312" w:eastAsia="仿宋_GB2312" w:hAnsiTheme="minorEastAsia"/>
          <w:sz w:val="28"/>
          <w:szCs w:val="28"/>
          <w:lang w:eastAsia="zh-CN"/>
        </w:rPr>
        <w:t>三）相关附件，包括初步设计概算批复或其他批复文件、送审函、确认书、委托书、反馈意见、核对记录、评审方案和预算编制报告。</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第二十一条</w:t>
      </w:r>
      <w:r>
        <w:rPr>
          <w:rFonts w:hint="eastAsia" w:ascii="仿宋_GB2312" w:eastAsia="仿宋_GB2312" w:hAnsiTheme="minorEastAsia"/>
          <w:sz w:val="28"/>
          <w:szCs w:val="28"/>
          <w:lang w:eastAsia="zh-CN"/>
        </w:rPr>
        <w:t xml:space="preserve"> 竣工结算评审（含全过程跟踪评审）上报应提交以下资料：</w:t>
      </w:r>
      <w:bookmarkStart w:id="21" w:name="bookmark36"/>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w:t>
      </w:r>
      <w:bookmarkEnd w:id="21"/>
      <w:r>
        <w:rPr>
          <w:rFonts w:hint="eastAsia" w:ascii="仿宋_GB2312" w:eastAsia="仿宋_GB2312" w:hAnsiTheme="minorEastAsia"/>
          <w:sz w:val="28"/>
          <w:szCs w:val="28"/>
          <w:lang w:eastAsia="zh-CN"/>
        </w:rPr>
        <w:t>一）评审报告，包括评审依据、评审范围、评审结论、主要审减（增）原因分析、合同价增加主要原因分析、主要经济技术指标分析、终稿与初稿对比分析、概算或其他批复对比情况分析和重要事项说明等；</w:t>
      </w:r>
    </w:p>
    <w:p>
      <w:pPr>
        <w:spacing w:line="560" w:lineRule="exact"/>
        <w:ind w:firstLine="492" w:firstLineChars="176"/>
        <w:contextualSpacing/>
        <w:rPr>
          <w:rFonts w:ascii="仿宋_GB2312" w:eastAsia="仿宋_GB2312" w:hAnsiTheme="minorEastAsia"/>
          <w:sz w:val="28"/>
          <w:szCs w:val="28"/>
          <w:lang w:eastAsia="zh-CN"/>
        </w:rPr>
      </w:pPr>
      <w:bookmarkStart w:id="22" w:name="bookmark37"/>
      <w:r>
        <w:rPr>
          <w:rFonts w:hint="eastAsia" w:ascii="仿宋_GB2312" w:eastAsia="仿宋_GB2312" w:hAnsiTheme="minorEastAsia"/>
          <w:sz w:val="28"/>
          <w:szCs w:val="28"/>
          <w:lang w:eastAsia="zh-CN"/>
        </w:rPr>
        <w:t>（</w:t>
      </w:r>
      <w:bookmarkEnd w:id="22"/>
      <w:r>
        <w:rPr>
          <w:rFonts w:hint="eastAsia" w:ascii="仿宋_GB2312" w:eastAsia="仿宋_GB2312" w:hAnsiTheme="minorEastAsia"/>
          <w:sz w:val="28"/>
          <w:szCs w:val="28"/>
          <w:lang w:eastAsia="zh-CN"/>
        </w:rPr>
        <w:t>二）评审工作底稿，包括算量模型、其他工程量计算底稿、主要材料设备定价单、招标控制价计价文件软件版、中标价计价文件软件版、竣工结算送审计价文件软件版和评审计价文件软件版；</w:t>
      </w:r>
    </w:p>
    <w:p>
      <w:pPr>
        <w:spacing w:line="560" w:lineRule="exact"/>
        <w:ind w:firstLine="492" w:firstLineChars="176"/>
        <w:contextualSpacing/>
        <w:rPr>
          <w:rFonts w:ascii="仿宋_GB2312" w:eastAsia="仿宋_GB2312" w:hAnsiTheme="minorEastAsia"/>
          <w:sz w:val="28"/>
          <w:szCs w:val="28"/>
          <w:lang w:eastAsia="zh-CN"/>
        </w:rPr>
      </w:pPr>
      <w:bookmarkStart w:id="23" w:name="bookmark38"/>
      <w:r>
        <w:rPr>
          <w:rFonts w:hint="eastAsia" w:ascii="仿宋_GB2312" w:eastAsia="仿宋_GB2312" w:hAnsiTheme="minorEastAsia"/>
          <w:sz w:val="28"/>
          <w:szCs w:val="28"/>
          <w:lang w:eastAsia="zh-CN"/>
        </w:rPr>
        <w:t>（</w:t>
      </w:r>
      <w:bookmarkEnd w:id="23"/>
      <w:r>
        <w:rPr>
          <w:rFonts w:hint="eastAsia" w:ascii="仿宋_GB2312" w:eastAsia="仿宋_GB2312" w:hAnsiTheme="minorEastAsia"/>
          <w:sz w:val="28"/>
          <w:szCs w:val="28"/>
          <w:lang w:eastAsia="zh-CN"/>
        </w:rPr>
        <w:t>三）相关附件，包括初步设计概算批复或其他批复文件、送审函、确认书、委托书、反馈意见、核对记录、招标文件、投标文件、施工合同、开工和竣工报告、质量等级证明、地质勘探报告、评审方案和送审报告。</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第二十二条</w:t>
      </w:r>
      <w:r>
        <w:rPr>
          <w:rFonts w:hint="eastAsia" w:ascii="仿宋_GB2312" w:eastAsia="仿宋_GB2312" w:hAnsiTheme="minorEastAsia"/>
          <w:sz w:val="28"/>
          <w:szCs w:val="28"/>
          <w:lang w:eastAsia="zh-CN"/>
        </w:rPr>
        <w:t xml:space="preserve"> 上报并不解除第三方机构对项目评审质量所负的完全责任。</w:t>
      </w:r>
    </w:p>
    <w:p>
      <w:pPr>
        <w:spacing w:line="560" w:lineRule="exact"/>
        <w:contextualSpacing/>
        <w:jc w:val="center"/>
        <w:rPr>
          <w:rFonts w:ascii="仿宋_GB2312" w:eastAsia="仿宋_GB2312" w:hAnsiTheme="minorEastAsia"/>
          <w:b/>
          <w:sz w:val="28"/>
          <w:szCs w:val="28"/>
          <w:lang w:eastAsia="zh-CN"/>
        </w:rPr>
      </w:pPr>
      <w:r>
        <w:rPr>
          <w:rFonts w:hint="eastAsia" w:ascii="仿宋_GB2312" w:eastAsia="仿宋_GB2312" w:hAnsiTheme="minorEastAsia"/>
          <w:b/>
          <w:sz w:val="28"/>
          <w:szCs w:val="28"/>
          <w:lang w:eastAsia="zh-CN"/>
        </w:rPr>
        <w:t>第六章 机构考核</w:t>
      </w:r>
    </w:p>
    <w:p>
      <w:pPr>
        <w:spacing w:line="560" w:lineRule="exact"/>
        <w:ind w:firstLine="495" w:firstLineChars="176"/>
        <w:contextualSpacing/>
        <w:rPr>
          <w:rFonts w:hint="eastAsia" w:ascii="仿宋_GB2312" w:eastAsia="仿宋_GB2312" w:hAnsiTheme="minorEastAsia"/>
          <w:sz w:val="28"/>
          <w:szCs w:val="28"/>
          <w:lang w:eastAsia="zh-CN"/>
        </w:rPr>
        <w:sectPr>
          <w:footerReference r:id="rId22" w:type="first"/>
          <w:footerReference r:id="rId20" w:type="default"/>
          <w:footerReference r:id="rId21" w:type="even"/>
          <w:pgSz w:w="11900" w:h="16840"/>
          <w:pgMar w:top="1792" w:right="1497" w:bottom="2228" w:left="1484" w:header="0" w:footer="3" w:gutter="0"/>
          <w:pgNumType w:fmt="decimal" w:start="6"/>
          <w:cols w:space="720" w:num="1"/>
          <w:titlePg/>
          <w:docGrid w:linePitch="360" w:charSpace="0"/>
        </w:sectPr>
      </w:pPr>
      <w:r>
        <w:rPr>
          <w:rFonts w:hint="eastAsia" w:ascii="仿宋_GB2312" w:eastAsia="仿宋_GB2312" w:hAnsiTheme="minorEastAsia"/>
          <w:b/>
          <w:sz w:val="28"/>
          <w:szCs w:val="28"/>
          <w:lang w:eastAsia="zh-CN"/>
        </w:rPr>
        <w:t>第二十三条</w:t>
      </w:r>
      <w:r>
        <w:rPr>
          <w:rFonts w:hint="eastAsia" w:ascii="仿宋_GB2312" w:eastAsia="仿宋_GB2312" w:hAnsiTheme="minorEastAsia"/>
          <w:sz w:val="28"/>
          <w:szCs w:val="28"/>
          <w:lang w:eastAsia="zh-CN"/>
        </w:rPr>
        <w:t xml:space="preserve"> 区财政局每年度对工程造价咨询类第三方机构进行考核，考核总分为100分，分为日常考核、评审成效考核、其他考核。原则上每</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年第一季度完成对上年度的考核工作，其中，日常考核、评审成效考核和其他考核列入区财政投资评审日常管理工作。日常考核、评审成效考核、其他考核具体内容详见《南昌市西湖区财政局投资评审第三方机构考核表》（附表1）。</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第二十四条</w:t>
      </w:r>
      <w:r>
        <w:rPr>
          <w:rFonts w:hint="eastAsia" w:ascii="仿宋_GB2312" w:eastAsia="仿宋_GB2312" w:hAnsiTheme="minorEastAsia"/>
          <w:sz w:val="28"/>
          <w:szCs w:val="28"/>
          <w:lang w:eastAsia="zh-CN"/>
        </w:rPr>
        <w:t xml:space="preserve"> 各工程造价咨询类第三方机构年度考核得分=日常考核平均分+评审成效考核得分+其他考核得分+复核考核得分。对未抽中复核考核的第三方机构，按实际复核考核得分的平均值，计入该机构的总分。年度考核排名结果在系统中公示，公示期为5个工作日，第三方机构如有异议，应在公示期内向区财政局提出书面申辩材料，区财政局在收到材料后5个工作日内予以核实并回复。</w:t>
      </w:r>
    </w:p>
    <w:p>
      <w:pPr>
        <w:spacing w:line="560" w:lineRule="exact"/>
        <w:ind w:firstLine="495" w:firstLineChars="176"/>
        <w:contextualSpacing/>
        <w:rPr>
          <w:rFonts w:ascii="仿宋_GB2312" w:eastAsia="仿宋_GB2312" w:hAnsiTheme="minorEastAsia"/>
          <w:color w:val="000000" w:themeColor="text1"/>
          <w:sz w:val="28"/>
          <w:szCs w:val="28"/>
          <w:lang w:eastAsia="zh-CN"/>
          <w14:textFill>
            <w14:solidFill>
              <w14:schemeClr w14:val="tx1"/>
            </w14:solidFill>
          </w14:textFill>
        </w:rPr>
      </w:pPr>
      <w:r>
        <w:rPr>
          <w:rFonts w:hint="eastAsia" w:ascii="仿宋_GB2312" w:eastAsia="仿宋_GB2312" w:hAnsiTheme="minorEastAsia"/>
          <w:b/>
          <w:sz w:val="28"/>
          <w:szCs w:val="28"/>
          <w:lang w:eastAsia="zh-CN"/>
        </w:rPr>
        <w:t xml:space="preserve">第二十五条 </w:t>
      </w:r>
      <w:r>
        <w:rPr>
          <w:rFonts w:hint="eastAsia" w:ascii="仿宋_GB2312" w:eastAsia="仿宋_GB2312" w:hAnsiTheme="minorEastAsia"/>
          <w:color w:val="000000" w:themeColor="text1"/>
          <w:sz w:val="28"/>
          <w:szCs w:val="28"/>
          <w:lang w:eastAsia="zh-CN"/>
          <w14:textFill>
            <w14:solidFill>
              <w14:schemeClr w14:val="tx1"/>
            </w14:solidFill>
          </w14:textFill>
        </w:rPr>
        <w:t>区财政局每年度随机抽取一定数量的各类评审报告进行抽查，发现有明显差错并造成不良后果的将通报行业协会。</w:t>
      </w:r>
    </w:p>
    <w:p>
      <w:pPr>
        <w:spacing w:line="560" w:lineRule="exact"/>
        <w:ind w:firstLine="495" w:firstLineChars="176"/>
        <w:contextualSpacing/>
        <w:jc w:val="center"/>
        <w:rPr>
          <w:rFonts w:ascii="仿宋_GB2312" w:eastAsia="仿宋_GB2312" w:hAnsiTheme="minorEastAsia"/>
          <w:b/>
          <w:sz w:val="28"/>
          <w:szCs w:val="28"/>
          <w:lang w:eastAsia="zh-CN"/>
        </w:rPr>
      </w:pPr>
      <w:r>
        <w:rPr>
          <w:rFonts w:hint="eastAsia" w:ascii="仿宋_GB2312" w:eastAsia="仿宋_GB2312" w:hAnsiTheme="minorEastAsia"/>
          <w:b/>
          <w:sz w:val="28"/>
          <w:szCs w:val="28"/>
          <w:lang w:eastAsia="zh-CN"/>
        </w:rPr>
        <w:t>第七章 费用结算</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第二十六条</w:t>
      </w:r>
      <w:r>
        <w:rPr>
          <w:rFonts w:hint="eastAsia" w:ascii="仿宋_GB2312" w:eastAsia="仿宋_GB2312" w:hAnsiTheme="minorEastAsia"/>
          <w:sz w:val="28"/>
          <w:szCs w:val="28"/>
          <w:lang w:eastAsia="zh-CN"/>
        </w:rPr>
        <w:t xml:space="preserve"> 预算评审、竣工结算评审费用包括基本付费和核减付费两部分，均采用分段累进计算（付费标准详见《南昌市西湖区财政投资评审管理办法》的通知（西府办发〔2021〕2号文））。全过程跟审业务按照跟审付费的标准付费（付费标准详见南昌市财政投资项目跟踪评审管理办法（洪财规〔2020〕6号文）。第三方机构在出具报告后向业主单位提供评审业务委托书和评审业务费计算表作为付费依据，业主单位在项目经费中列支。</w:t>
      </w:r>
    </w:p>
    <w:p>
      <w:pPr>
        <w:spacing w:line="560" w:lineRule="exact"/>
        <w:ind w:firstLine="495" w:firstLineChars="176"/>
        <w:contextualSpacing/>
        <w:rPr>
          <w:rFonts w:hint="eastAsia" w:ascii="仿宋_GB2312" w:eastAsia="仿宋_GB2312" w:hAnsiTheme="minorEastAsia"/>
          <w:sz w:val="28"/>
          <w:szCs w:val="28"/>
          <w:lang w:eastAsia="zh-CN"/>
        </w:rPr>
        <w:sectPr>
          <w:footerReference r:id="rId25" w:type="first"/>
          <w:footerReference r:id="rId23" w:type="default"/>
          <w:footerReference r:id="rId24" w:type="even"/>
          <w:pgSz w:w="11900" w:h="16840"/>
          <w:pgMar w:top="1792" w:right="1497" w:bottom="2228" w:left="1484" w:header="0" w:footer="3" w:gutter="0"/>
          <w:pgNumType w:fmt="decimal" w:start="7"/>
          <w:cols w:space="720" w:num="1"/>
          <w:titlePg/>
          <w:docGrid w:linePitch="360" w:charSpace="0"/>
        </w:sectPr>
      </w:pPr>
      <w:r>
        <w:rPr>
          <w:rFonts w:hint="eastAsia" w:ascii="仿宋_GB2312" w:eastAsia="仿宋_GB2312" w:hAnsiTheme="minorEastAsia"/>
          <w:b/>
          <w:sz w:val="28"/>
          <w:szCs w:val="28"/>
          <w:lang w:eastAsia="zh-CN"/>
        </w:rPr>
        <w:t>第二十七条</w:t>
      </w:r>
      <w:r>
        <w:rPr>
          <w:rFonts w:hint="eastAsia" w:ascii="仿宋_GB2312" w:eastAsia="仿宋_GB2312" w:hAnsiTheme="minorEastAsia"/>
          <w:sz w:val="28"/>
          <w:szCs w:val="28"/>
          <w:lang w:eastAsia="zh-CN"/>
        </w:rPr>
        <w:t xml:space="preserve">  项目评审批复时，区财政局如发现新的核减金额，并经过项目建设单位、第三方机构及所涉及的施工单位确认，相关项目评审的</w:t>
      </w:r>
    </w:p>
    <w:p>
      <w:pPr>
        <w:spacing w:line="560" w:lineRule="exact"/>
        <w:ind w:firstLine="492" w:firstLineChars="176"/>
        <w:contextualSpacing/>
        <w:rPr>
          <w:rFonts w:ascii="仿宋_GB2312" w:eastAsia="仿宋_GB2312" w:hAnsiTheme="minorEastAsia"/>
          <w:sz w:val="28"/>
          <w:szCs w:val="28"/>
          <w:lang w:eastAsia="zh-CN"/>
        </w:rPr>
        <w:sectPr>
          <w:footerReference r:id="rId28" w:type="first"/>
          <w:footerReference r:id="rId26" w:type="default"/>
          <w:footerReference r:id="rId27" w:type="even"/>
          <w:pgSz w:w="11900" w:h="16840"/>
          <w:pgMar w:top="1792" w:right="1497" w:bottom="2228" w:left="1484" w:header="0" w:footer="3" w:gutter="0"/>
          <w:pgNumType w:fmt="decimal" w:start="8"/>
          <w:cols w:space="720" w:num="1"/>
          <w:titlePg/>
          <w:docGrid w:linePitch="360" w:charSpace="0"/>
        </w:sectPr>
      </w:pPr>
      <w:r>
        <w:rPr>
          <w:rFonts w:hint="eastAsia" w:ascii="仿宋_GB2312" w:eastAsia="仿宋_GB2312" w:hAnsiTheme="minorEastAsia"/>
          <w:sz w:val="28"/>
          <w:szCs w:val="28"/>
          <w:lang w:eastAsia="zh-CN"/>
        </w:rPr>
        <w:t>核减付费应按评审初始核减金额占评审最终核减金额的比例支付。</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第二十八条</w:t>
      </w:r>
      <w:r>
        <w:rPr>
          <w:rFonts w:hint="eastAsia" w:ascii="仿宋_GB2312" w:eastAsia="仿宋_GB2312" w:hAnsiTheme="minorEastAsia"/>
          <w:sz w:val="28"/>
          <w:szCs w:val="28"/>
          <w:lang w:eastAsia="zh-CN"/>
        </w:rPr>
        <w:t xml:space="preserve"> 项目经复核考核、审计或巡视，发现误差在5%（含）以上的，如尚未支付评审费用，区财政局将不予拨付；已支付评审费用的，第三方机构应主动配合退还项目全部评审费用。</w:t>
      </w:r>
    </w:p>
    <w:p>
      <w:pPr>
        <w:spacing w:line="560" w:lineRule="exact"/>
        <w:ind w:firstLine="495" w:firstLineChars="176"/>
        <w:contextualSpacing/>
        <w:jc w:val="center"/>
        <w:rPr>
          <w:rFonts w:ascii="仿宋_GB2312" w:eastAsia="仿宋_GB2312" w:hAnsiTheme="minorEastAsia"/>
          <w:b/>
          <w:sz w:val="28"/>
          <w:szCs w:val="28"/>
          <w:lang w:eastAsia="zh-CN"/>
        </w:rPr>
      </w:pPr>
      <w:r>
        <w:rPr>
          <w:rFonts w:hint="eastAsia" w:ascii="仿宋_GB2312" w:eastAsia="仿宋_GB2312" w:hAnsiTheme="minorEastAsia"/>
          <w:b/>
          <w:sz w:val="28"/>
          <w:szCs w:val="28"/>
          <w:lang w:eastAsia="zh-CN"/>
        </w:rPr>
        <w:t>第八章 监督管理</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第二十九条</w:t>
      </w:r>
      <w:r>
        <w:rPr>
          <w:rFonts w:hint="eastAsia" w:ascii="仿宋_GB2312" w:eastAsia="仿宋_GB2312" w:hAnsiTheme="minorEastAsia"/>
          <w:sz w:val="28"/>
          <w:szCs w:val="28"/>
          <w:lang w:eastAsia="zh-CN"/>
        </w:rPr>
        <w:t xml:space="preserve"> 区财政局可根据需要，在第三方机构评审项目过程中开展必要的现场检查。</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第三十条</w:t>
      </w:r>
      <w:r>
        <w:rPr>
          <w:rFonts w:hint="eastAsia" w:ascii="仿宋_GB2312" w:eastAsia="仿宋_GB2312" w:hAnsiTheme="minorEastAsia"/>
          <w:sz w:val="28"/>
          <w:szCs w:val="28"/>
          <w:lang w:eastAsia="zh-CN"/>
        </w:rPr>
        <w:t xml:space="preserve"> 凡出现以下情形的第三方机构，暂停其一年参与我区财政投资评审业务：</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（一）无正当理由不接受评审业务；</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（二）一年内累计2次未按规定时间完成评审业务且无正当理由；</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（三）</w:t>
      </w:r>
      <w:r>
        <w:rPr>
          <w:rFonts w:hint="eastAsia" w:ascii="仿宋_GB2312" w:eastAsia="仿宋_GB2312" w:hAnsiTheme="minorEastAsia"/>
          <w:sz w:val="28"/>
          <w:szCs w:val="28"/>
        </w:rPr>
        <w:t>年度考核得分低于80分；</w:t>
      </w:r>
      <w:bookmarkStart w:id="24" w:name="bookmark44"/>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w:t>
      </w:r>
      <w:bookmarkEnd w:id="24"/>
      <w:r>
        <w:rPr>
          <w:rFonts w:hint="eastAsia" w:ascii="仿宋_GB2312" w:eastAsia="仿宋_GB2312" w:hAnsiTheme="minorEastAsia"/>
          <w:sz w:val="28"/>
          <w:szCs w:val="28"/>
          <w:lang w:eastAsia="zh-CN"/>
        </w:rPr>
        <w:t>四）将评审业务转包给其他第三方机构或个人</w:t>
      </w:r>
      <w:bookmarkStart w:id="25" w:name="bookmark45"/>
      <w:r>
        <w:rPr>
          <w:rFonts w:hint="eastAsia" w:ascii="仿宋_GB2312" w:eastAsia="仿宋_GB2312" w:hAnsiTheme="minorEastAsia"/>
          <w:sz w:val="28"/>
          <w:szCs w:val="28"/>
          <w:lang w:eastAsia="zh-CN"/>
        </w:rPr>
        <w:t>。</w:t>
      </w:r>
    </w:p>
    <w:bookmarkEnd w:id="25"/>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第三十一条</w:t>
      </w:r>
      <w:r>
        <w:rPr>
          <w:rFonts w:hint="eastAsia" w:ascii="仿宋_GB2312" w:eastAsia="仿宋_GB2312" w:hAnsiTheme="minorEastAsia"/>
          <w:sz w:val="28"/>
          <w:szCs w:val="28"/>
          <w:lang w:eastAsia="zh-CN"/>
        </w:rPr>
        <w:t>凡出现以下情形的第三方机构，3年内不得参与我区财政投资评审业务：</w:t>
      </w:r>
    </w:p>
    <w:p>
      <w:pPr>
        <w:spacing w:line="560" w:lineRule="exact"/>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（一）与被评审单位串通舞弊;</w:t>
      </w:r>
    </w:p>
    <w:p>
      <w:pPr>
        <w:spacing w:line="560" w:lineRule="exact"/>
        <w:ind w:firstLine="492" w:firstLineChars="176"/>
        <w:contextualSpacing/>
        <w:rPr>
          <w:rFonts w:ascii="仿宋_GB2312" w:eastAsia="仿宋_GB2312" w:hAnsiTheme="minorEastAsia"/>
          <w:sz w:val="28"/>
          <w:szCs w:val="28"/>
          <w:lang w:eastAsia="zh-CN"/>
        </w:rPr>
      </w:pPr>
      <w:bookmarkStart w:id="26" w:name="bookmark46"/>
      <w:r>
        <w:rPr>
          <w:rFonts w:hint="eastAsia" w:ascii="仿宋_GB2312" w:eastAsia="仿宋_GB2312" w:hAnsiTheme="minorEastAsia"/>
          <w:sz w:val="28"/>
          <w:szCs w:val="28"/>
          <w:lang w:eastAsia="zh-CN"/>
        </w:rPr>
        <w:t>（</w:t>
      </w:r>
      <w:bookmarkEnd w:id="26"/>
      <w:r>
        <w:rPr>
          <w:rFonts w:hint="eastAsia" w:ascii="仿宋_GB2312" w:eastAsia="仿宋_GB2312" w:hAnsiTheme="minorEastAsia"/>
          <w:sz w:val="28"/>
          <w:szCs w:val="28"/>
          <w:lang w:eastAsia="zh-CN"/>
        </w:rPr>
        <w:t>二）隐瞒评审发现的问题、有弄虚作假等不诚实行为；</w:t>
      </w:r>
    </w:p>
    <w:p>
      <w:pPr>
        <w:spacing w:line="560" w:lineRule="exact"/>
        <w:ind w:firstLine="492" w:firstLineChars="176"/>
        <w:contextualSpacing/>
        <w:rPr>
          <w:rFonts w:ascii="仿宋_GB2312" w:eastAsia="仿宋_GB2312" w:hAnsiTheme="minorEastAsia"/>
          <w:sz w:val="28"/>
          <w:szCs w:val="28"/>
          <w:lang w:eastAsia="zh-CN"/>
        </w:rPr>
      </w:pPr>
      <w:bookmarkStart w:id="27" w:name="bookmark47"/>
      <w:r>
        <w:rPr>
          <w:rFonts w:hint="eastAsia" w:ascii="仿宋_GB2312" w:eastAsia="仿宋_GB2312" w:hAnsiTheme="minorEastAsia"/>
          <w:sz w:val="28"/>
          <w:szCs w:val="28"/>
          <w:lang w:eastAsia="zh-CN"/>
        </w:rPr>
        <w:t>（</w:t>
      </w:r>
      <w:bookmarkEnd w:id="27"/>
      <w:r>
        <w:rPr>
          <w:rFonts w:hint="eastAsia" w:ascii="仿宋_GB2312" w:eastAsia="仿宋_GB2312" w:hAnsiTheme="minorEastAsia"/>
          <w:sz w:val="28"/>
          <w:szCs w:val="28"/>
          <w:lang w:eastAsia="zh-CN"/>
        </w:rPr>
        <w:t>三）违反保密纪律或者回避制度；</w:t>
      </w:r>
    </w:p>
    <w:p>
      <w:pPr>
        <w:spacing w:line="560" w:lineRule="exact"/>
        <w:ind w:firstLine="492" w:firstLineChars="176"/>
        <w:contextualSpacing/>
        <w:rPr>
          <w:rFonts w:ascii="仿宋_GB2312" w:eastAsia="仿宋_GB2312" w:hAnsiTheme="minorEastAsia"/>
          <w:sz w:val="28"/>
          <w:szCs w:val="28"/>
          <w:lang w:eastAsia="zh-CN"/>
        </w:rPr>
      </w:pPr>
      <w:bookmarkStart w:id="28" w:name="bookmark48"/>
      <w:r>
        <w:rPr>
          <w:rFonts w:hint="eastAsia" w:ascii="仿宋_GB2312" w:eastAsia="仿宋_GB2312" w:hAnsiTheme="minorEastAsia"/>
          <w:sz w:val="28"/>
          <w:szCs w:val="28"/>
          <w:lang w:eastAsia="zh-CN"/>
        </w:rPr>
        <w:t>（</w:t>
      </w:r>
      <w:bookmarkEnd w:id="28"/>
      <w:r>
        <w:rPr>
          <w:rFonts w:hint="eastAsia" w:ascii="仿宋_GB2312" w:eastAsia="仿宋_GB2312" w:hAnsiTheme="minorEastAsia"/>
          <w:sz w:val="28"/>
          <w:szCs w:val="28"/>
          <w:lang w:eastAsia="zh-CN"/>
        </w:rPr>
        <w:t>四）考核总误差超过5%或工作失误造成重大损失的；</w:t>
      </w:r>
    </w:p>
    <w:p>
      <w:pPr>
        <w:spacing w:line="560" w:lineRule="exact"/>
        <w:ind w:firstLine="492" w:firstLineChars="176"/>
        <w:contextualSpacing/>
        <w:rPr>
          <w:rFonts w:ascii="仿宋_GB2312" w:eastAsia="仿宋_GB2312" w:hAnsiTheme="minorEastAsia"/>
          <w:sz w:val="28"/>
          <w:szCs w:val="28"/>
        </w:rPr>
      </w:pPr>
      <w:bookmarkStart w:id="29" w:name="bookmark49"/>
      <w:r>
        <w:rPr>
          <w:rFonts w:hint="eastAsia" w:ascii="仿宋_GB2312" w:eastAsia="仿宋_GB2312" w:hAnsiTheme="minorEastAsia"/>
          <w:sz w:val="28"/>
          <w:szCs w:val="28"/>
        </w:rPr>
        <w:t>（</w:t>
      </w:r>
      <w:bookmarkEnd w:id="29"/>
      <w:r>
        <w:rPr>
          <w:rFonts w:hint="eastAsia" w:ascii="仿宋_GB2312" w:eastAsia="仿宋_GB2312" w:hAnsiTheme="minorEastAsia"/>
          <w:sz w:val="28"/>
          <w:szCs w:val="28"/>
        </w:rPr>
        <w:t>五）年度考核低于70分。</w:t>
      </w:r>
    </w:p>
    <w:p>
      <w:pPr>
        <w:spacing w:line="560" w:lineRule="exact"/>
        <w:ind w:firstLine="495" w:firstLineChars="176"/>
        <w:contextualSpacing/>
        <w:rPr>
          <w:rFonts w:hint="eastAsia" w:ascii="仿宋_GB2312" w:eastAsia="仿宋_GB2312" w:hAnsiTheme="minorEastAsia"/>
          <w:color w:val="000000" w:themeColor="text1"/>
          <w:sz w:val="28"/>
          <w:szCs w:val="28"/>
          <w:lang w:eastAsia="zh-CN"/>
          <w14:textFill>
            <w14:solidFill>
              <w14:schemeClr w14:val="tx1"/>
            </w14:solidFill>
          </w14:textFill>
        </w:rPr>
        <w:sectPr>
          <w:footerReference r:id="rId29" w:type="default"/>
          <w:footerReference r:id="rId30" w:type="even"/>
          <w:type w:val="continuous"/>
          <w:pgSz w:w="11900" w:h="16840"/>
          <w:pgMar w:top="1792" w:right="1497" w:bottom="2228" w:left="1484" w:header="0" w:footer="3" w:gutter="0"/>
          <w:pgNumType w:fmt="decimal"/>
          <w:cols w:space="720" w:num="1"/>
          <w:docGrid w:linePitch="360" w:charSpace="0"/>
        </w:sectPr>
      </w:pPr>
      <w:r>
        <w:rPr>
          <w:rFonts w:hint="eastAsia" w:ascii="仿宋_GB2312" w:eastAsia="仿宋_GB2312" w:hAnsiTheme="minorEastAsia"/>
          <w:b/>
          <w:sz w:val="28"/>
          <w:szCs w:val="28"/>
          <w:lang w:eastAsia="zh-CN"/>
        </w:rPr>
        <w:t>第三十二条</w:t>
      </w:r>
      <w:r>
        <w:rPr>
          <w:rFonts w:hint="eastAsia" w:ascii="仿宋_GB2312" w:eastAsia="仿宋_GB2312" w:hAnsiTheme="minorEastAsia"/>
          <w:color w:val="000000" w:themeColor="text1"/>
          <w:sz w:val="28"/>
          <w:szCs w:val="28"/>
          <w:lang w:eastAsia="zh-CN"/>
          <w14:textFill>
            <w14:solidFill>
              <w14:schemeClr w14:val="tx1"/>
            </w14:solidFill>
          </w14:textFill>
        </w:rPr>
        <w:t>第三方机构评审人员在实施评审业务中出现第三十一条描述情形或允许他人以本人名义执业的，3年内不得参与我区财政投资项目</w:t>
      </w:r>
    </w:p>
    <w:p>
      <w:pPr>
        <w:spacing w:line="560" w:lineRule="exact"/>
        <w:ind w:firstLine="492" w:firstLineChars="176"/>
        <w:contextualSpacing/>
        <w:rPr>
          <w:rFonts w:ascii="仿宋_GB2312" w:eastAsia="仿宋_GB2312" w:hAnsiTheme="minorEastAsia"/>
          <w:color w:val="000000" w:themeColor="text1"/>
          <w:sz w:val="28"/>
          <w:szCs w:val="28"/>
          <w:lang w:eastAsia="zh-CN"/>
          <w14:textFill>
            <w14:solidFill>
              <w14:schemeClr w14:val="tx1"/>
            </w14:solidFill>
          </w14:textFill>
        </w:rPr>
      </w:pPr>
      <w:r>
        <w:rPr>
          <w:rFonts w:hint="eastAsia" w:ascii="仿宋_GB2312" w:eastAsia="仿宋_GB2312" w:hAnsiTheme="minorEastAsia"/>
          <w:color w:val="000000" w:themeColor="text1"/>
          <w:sz w:val="28"/>
          <w:szCs w:val="28"/>
          <w:lang w:eastAsia="zh-CN"/>
          <w14:textFill>
            <w14:solidFill>
              <w14:schemeClr w14:val="tx1"/>
            </w14:solidFill>
          </w14:textFill>
        </w:rPr>
        <w:t>评审。</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 xml:space="preserve">第三十三条 </w:t>
      </w:r>
      <w:r>
        <w:rPr>
          <w:rFonts w:hint="eastAsia" w:ascii="仿宋_GB2312" w:eastAsia="仿宋_GB2312" w:hAnsiTheme="minorEastAsia"/>
          <w:color w:val="000000" w:themeColor="text1"/>
          <w:sz w:val="28"/>
          <w:szCs w:val="28"/>
          <w:lang w:eastAsia="zh-CN"/>
          <w14:textFill>
            <w14:solidFill>
              <w14:schemeClr w14:val="tx1"/>
            </w14:solidFill>
          </w14:textFill>
        </w:rPr>
        <w:t>对由于出现第三十、三十一条描述情形而终止工作并形成的未审结项目，由区财政局予以收回，且不支付评审费用，并重新委托。</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第三十四条</w:t>
      </w:r>
      <w:r>
        <w:rPr>
          <w:rFonts w:hint="eastAsia" w:ascii="仿宋_GB2312" w:eastAsia="仿宋_GB2312" w:hAnsiTheme="minorEastAsia"/>
          <w:sz w:val="28"/>
          <w:szCs w:val="28"/>
          <w:lang w:eastAsia="zh-CN"/>
        </w:rPr>
        <w:t xml:space="preserve"> 建立评审廉政风险防控机制。区财政局应当开展廉政风险教育，督促第三方机构及其系统备案人员在实施评审业务过程中，遵守法律法规和职业道德，加强风险防控。</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第三十五条</w:t>
      </w:r>
      <w:r>
        <w:rPr>
          <w:rFonts w:hint="eastAsia" w:ascii="仿宋_GB2312" w:eastAsia="仿宋_GB2312" w:hAnsiTheme="minorEastAsia"/>
          <w:sz w:val="28"/>
          <w:szCs w:val="28"/>
          <w:lang w:eastAsia="zh-CN"/>
        </w:rPr>
        <w:t xml:space="preserve"> 第三方机构因工作失误或存在违法违纪行为导致财政资金损失，应依照相关法律法规进行赔偿。区财政局应当通报行业主管部门，追究相应责任。涉嫌犯罪的，移送司法机关处理。</w:t>
      </w:r>
    </w:p>
    <w:p>
      <w:pPr>
        <w:spacing w:line="560" w:lineRule="exact"/>
        <w:ind w:firstLine="495" w:firstLineChars="176"/>
        <w:contextualSpacing/>
        <w:jc w:val="center"/>
        <w:rPr>
          <w:rFonts w:ascii="仿宋_GB2312" w:eastAsia="仿宋_GB2312" w:hAnsiTheme="minorEastAsia"/>
          <w:b/>
          <w:sz w:val="28"/>
          <w:szCs w:val="28"/>
          <w:lang w:eastAsia="zh-CN"/>
        </w:rPr>
      </w:pPr>
      <w:r>
        <w:rPr>
          <w:rFonts w:hint="eastAsia" w:ascii="仿宋_GB2312" w:eastAsia="仿宋_GB2312" w:hAnsiTheme="minorEastAsia"/>
          <w:b/>
          <w:sz w:val="28"/>
          <w:szCs w:val="28"/>
          <w:lang w:eastAsia="zh-CN"/>
        </w:rPr>
        <w:t>第九章 附则</w:t>
      </w:r>
    </w:p>
    <w:p>
      <w:pPr>
        <w:spacing w:line="560" w:lineRule="exact"/>
        <w:ind w:firstLine="495" w:firstLineChars="176"/>
        <w:contextualSpacing/>
        <w:rPr>
          <w:rFonts w:ascii="仿宋_GB2312" w:eastAsia="仿宋_GB2312" w:hAnsiTheme="minorEastAsia"/>
          <w:sz w:val="28"/>
          <w:szCs w:val="28"/>
          <w:lang w:eastAsia="zh-CN"/>
        </w:rPr>
      </w:pPr>
      <w:r>
        <w:rPr>
          <w:rFonts w:hint="eastAsia" w:ascii="仿宋_GB2312" w:eastAsia="仿宋_GB2312" w:hAnsiTheme="minorEastAsia"/>
          <w:b/>
          <w:sz w:val="28"/>
          <w:szCs w:val="28"/>
          <w:lang w:eastAsia="zh-CN"/>
        </w:rPr>
        <w:t xml:space="preserve">第三十六条 </w:t>
      </w:r>
      <w:r>
        <w:rPr>
          <w:rFonts w:hint="eastAsia" w:ascii="仿宋_GB2312" w:eastAsia="仿宋_GB2312" w:hAnsiTheme="minorEastAsia"/>
          <w:sz w:val="28"/>
          <w:szCs w:val="28"/>
          <w:lang w:eastAsia="zh-CN"/>
        </w:rPr>
        <w:t>本办法由南昌市西湖区财政局负责解释。原《关于修订&lt;西湖区财政投资评审中介机构管理办法&gt;的通知》（西财字〔2018〕35号）同时废止。</w:t>
      </w:r>
    </w:p>
    <w:p>
      <w:pPr>
        <w:spacing w:line="560" w:lineRule="exact"/>
        <w:ind w:firstLine="495" w:firstLineChars="176"/>
        <w:contextualSpacing/>
        <w:rPr>
          <w:rFonts w:ascii="仿宋_GB2312" w:eastAsia="仿宋_GB2312" w:hAnsiTheme="minorEastAsia"/>
          <w:sz w:val="28"/>
          <w:szCs w:val="28"/>
          <w:lang w:eastAsia="zh-CN"/>
        </w:rPr>
        <w:sectPr>
          <w:footerReference r:id="rId31" w:type="default"/>
          <w:footerReference r:id="rId32" w:type="even"/>
          <w:pgSz w:w="11900" w:h="16840"/>
          <w:pgMar w:top="1792" w:right="1497" w:bottom="2228" w:left="1484" w:header="0" w:footer="3" w:gutter="0"/>
          <w:pgNumType w:fmt="decimal" w:start="9"/>
          <w:cols w:space="720" w:num="1"/>
          <w:docGrid w:linePitch="360" w:charSpace="0"/>
        </w:sectPr>
      </w:pPr>
      <w:r>
        <w:rPr>
          <w:rFonts w:hint="eastAsia" w:ascii="仿宋_GB2312" w:eastAsia="仿宋_GB2312" w:hAnsiTheme="minorEastAsia"/>
          <w:b/>
          <w:sz w:val="28"/>
          <w:szCs w:val="28"/>
          <w:lang w:eastAsia="zh-CN"/>
        </w:rPr>
        <w:t>第三十七条</w:t>
      </w:r>
      <w:r>
        <w:rPr>
          <w:rFonts w:hint="eastAsia" w:ascii="仿宋_GB2312" w:eastAsia="仿宋_GB2312" w:hAnsiTheme="minorEastAsia"/>
          <w:sz w:val="28"/>
          <w:szCs w:val="28"/>
          <w:lang w:eastAsia="zh-CN"/>
        </w:rPr>
        <w:t xml:space="preserve"> 本办法自2023年</w:t>
      </w:r>
      <w:r>
        <w:rPr>
          <w:rFonts w:hint="eastAsia" w:ascii="仿宋_GB2312" w:eastAsia="仿宋_GB2312" w:hAnsiTheme="minorEastAsia"/>
          <w:sz w:val="28"/>
          <w:szCs w:val="28"/>
          <w:lang w:val="en-US" w:eastAsia="zh-CN"/>
        </w:rPr>
        <w:t>3</w:t>
      </w:r>
      <w:r>
        <w:rPr>
          <w:rFonts w:hint="eastAsia" w:ascii="仿宋_GB2312" w:eastAsia="仿宋_GB2312" w:hAnsiTheme="minorEastAsia"/>
          <w:sz w:val="28"/>
          <w:szCs w:val="28"/>
          <w:lang w:eastAsia="zh-CN"/>
        </w:rPr>
        <w:t>月</w:t>
      </w:r>
      <w:r>
        <w:rPr>
          <w:rFonts w:hint="eastAsia" w:ascii="仿宋_GB2312" w:eastAsia="仿宋_GB2312" w:hAnsiTheme="minorEastAsia"/>
          <w:sz w:val="28"/>
          <w:szCs w:val="28"/>
          <w:lang w:val="en-US" w:eastAsia="zh-CN"/>
        </w:rPr>
        <w:t>1</w:t>
      </w:r>
      <w:r>
        <w:rPr>
          <w:rFonts w:hint="eastAsia" w:ascii="仿宋_GB2312" w:eastAsia="仿宋_GB2312" w:hAnsiTheme="minorEastAsia"/>
          <w:sz w:val="28"/>
          <w:szCs w:val="28"/>
          <w:lang w:eastAsia="zh-CN"/>
        </w:rPr>
        <w:t>日起施</w:t>
      </w:r>
      <w:bookmarkStart w:id="30" w:name="_GoBack"/>
      <w:bookmarkEnd w:id="30"/>
      <w:r>
        <w:rPr>
          <w:rFonts w:hint="eastAsia" w:ascii="仿宋_GB2312" w:eastAsia="仿宋_GB2312" w:hAnsiTheme="minorEastAsia"/>
          <w:sz w:val="28"/>
          <w:szCs w:val="28"/>
          <w:lang w:eastAsia="zh-CN"/>
        </w:rPr>
        <w:t>行。</w:t>
      </w:r>
    </w:p>
    <w:p>
      <w:pPr>
        <w:spacing w:line="360" w:lineRule="auto"/>
        <w:ind w:firstLine="492" w:firstLineChars="176"/>
        <w:contextualSpacing/>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附表1</w:t>
      </w:r>
    </w:p>
    <w:p>
      <w:pPr>
        <w:spacing w:line="360" w:lineRule="auto"/>
        <w:ind w:firstLine="492" w:firstLineChars="176"/>
        <w:contextualSpacing/>
        <w:jc w:val="center"/>
        <w:rPr>
          <w:rFonts w:ascii="仿宋_GB2312" w:eastAsia="仿宋_GB2312" w:hAnsiTheme="minorEastAsia"/>
          <w:sz w:val="28"/>
          <w:szCs w:val="28"/>
          <w:lang w:eastAsia="zh-CN"/>
        </w:rPr>
      </w:pPr>
      <w:r>
        <w:rPr>
          <w:rFonts w:hint="eastAsia" w:ascii="仿宋_GB2312" w:eastAsia="仿宋_GB2312" w:hAnsiTheme="minorEastAsia"/>
          <w:sz w:val="28"/>
          <w:szCs w:val="28"/>
          <w:lang w:eastAsia="zh-CN"/>
        </w:rPr>
        <w:t>南昌市西湖区财政局投资评审第三方机构考核表</w:t>
      </w:r>
    </w:p>
    <w:p>
      <w:pPr>
        <w:spacing w:line="360" w:lineRule="auto"/>
        <w:ind w:firstLine="369" w:firstLineChars="176"/>
        <w:contextualSpacing/>
        <w:rPr>
          <w:rFonts w:ascii="仿宋_GB2312" w:eastAsia="仿宋_GB2312" w:hAnsiTheme="minorEastAsia"/>
          <w:sz w:val="21"/>
          <w:szCs w:val="21"/>
          <w:lang w:eastAsia="zh-CN"/>
        </w:rPr>
      </w:pPr>
      <w:r>
        <w:rPr>
          <w:rFonts w:hint="eastAsia" w:ascii="仿宋_GB2312" w:eastAsia="仿宋_GB2312" w:hAnsiTheme="minorEastAsia"/>
          <w:sz w:val="21"/>
          <w:szCs w:val="21"/>
          <w:lang w:eastAsia="zh-CN"/>
        </w:rPr>
        <w:t xml:space="preserve">第三方机构名称：                                          </w:t>
      </w:r>
      <w:r>
        <w:rPr>
          <w:rFonts w:hint="eastAsia" w:ascii="仿宋_GB2312" w:eastAsia="仿宋_GB2312" w:hAnsiTheme="minorEastAsia"/>
          <w:sz w:val="21"/>
          <w:szCs w:val="21"/>
          <w:lang w:eastAsia="zh-CN"/>
        </w:rPr>
        <w:tab/>
      </w:r>
      <w:r>
        <w:rPr>
          <w:rFonts w:hint="eastAsia" w:ascii="仿宋_GB2312" w:eastAsia="仿宋_GB2312" w:hAnsiTheme="minorEastAsia"/>
          <w:sz w:val="21"/>
          <w:szCs w:val="21"/>
          <w:lang w:eastAsia="zh-CN"/>
        </w:rPr>
        <w:t>考核年度:</w:t>
      </w:r>
    </w:p>
    <w:tbl>
      <w:tblPr>
        <w:tblStyle w:val="5"/>
        <w:tblW w:w="13537" w:type="dxa"/>
        <w:tblInd w:w="0" w:type="dxa"/>
        <w:tblLayout w:type="autofit"/>
        <w:tblCellMar>
          <w:top w:w="0" w:type="dxa"/>
          <w:left w:w="10" w:type="dxa"/>
          <w:bottom w:w="0" w:type="dxa"/>
          <w:right w:w="10" w:type="dxa"/>
        </w:tblCellMar>
      </w:tblPr>
      <w:tblGrid>
        <w:gridCol w:w="1286"/>
        <w:gridCol w:w="2358"/>
        <w:gridCol w:w="8323"/>
        <w:gridCol w:w="808"/>
        <w:gridCol w:w="762"/>
      </w:tblGrid>
      <w:tr>
        <w:tblPrEx>
          <w:tblCellMar>
            <w:top w:w="0" w:type="dxa"/>
            <w:left w:w="10" w:type="dxa"/>
            <w:bottom w:w="0" w:type="dxa"/>
            <w:right w:w="10" w:type="dxa"/>
          </w:tblCellMar>
        </w:tblPrEx>
        <w:trPr>
          <w:trHeight w:val="523" w:hRule="exact"/>
        </w:trPr>
        <w:tc>
          <w:tcPr>
            <w:tcW w:w="1286" w:type="dxa"/>
            <w:tcBorders>
              <w:top w:val="single" w:color="auto" w:sz="4" w:space="0"/>
              <w:lef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rPr>
            </w:pPr>
            <w:r>
              <w:rPr>
                <w:rFonts w:hint="eastAsia" w:ascii="仿宋_GB2312" w:eastAsia="仿宋_GB2312" w:hAnsiTheme="minorEastAsia"/>
                <w:sz w:val="18"/>
                <w:szCs w:val="18"/>
              </w:rPr>
              <w:t>考核项目</w:t>
            </w:r>
          </w:p>
        </w:tc>
        <w:tc>
          <w:tcPr>
            <w:tcW w:w="2358" w:type="dxa"/>
            <w:tcBorders>
              <w:top w:val="single" w:color="auto" w:sz="4" w:space="0"/>
              <w:lef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rPr>
            </w:pPr>
            <w:r>
              <w:rPr>
                <w:rFonts w:hint="eastAsia" w:ascii="仿宋_GB2312" w:eastAsia="仿宋_GB2312" w:hAnsiTheme="minorEastAsia"/>
                <w:sz w:val="18"/>
                <w:szCs w:val="18"/>
              </w:rPr>
              <w:t>考核内容</w:t>
            </w:r>
          </w:p>
        </w:tc>
        <w:tc>
          <w:tcPr>
            <w:tcW w:w="8323" w:type="dxa"/>
            <w:tcBorders>
              <w:top w:val="single" w:color="auto" w:sz="4" w:space="0"/>
              <w:lef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rPr>
            </w:pPr>
            <w:r>
              <w:rPr>
                <w:rFonts w:hint="eastAsia" w:ascii="仿宋_GB2312" w:eastAsia="仿宋_GB2312" w:hAnsiTheme="minorEastAsia"/>
                <w:sz w:val="18"/>
                <w:szCs w:val="18"/>
              </w:rPr>
              <w:t>评分标准</w:t>
            </w:r>
          </w:p>
        </w:tc>
        <w:tc>
          <w:tcPr>
            <w:tcW w:w="808" w:type="dxa"/>
            <w:tcBorders>
              <w:top w:val="single" w:color="auto" w:sz="4" w:space="0"/>
              <w:lef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rPr>
            </w:pPr>
            <w:r>
              <w:rPr>
                <w:rFonts w:hint="eastAsia" w:ascii="仿宋_GB2312" w:eastAsia="仿宋_GB2312" w:hAnsiTheme="minorEastAsia"/>
                <w:sz w:val="18"/>
                <w:szCs w:val="18"/>
              </w:rPr>
              <w:t>得分</w:t>
            </w:r>
          </w:p>
        </w:tc>
        <w:tc>
          <w:tcPr>
            <w:tcW w:w="762" w:type="dxa"/>
            <w:tcBorders>
              <w:top w:val="single" w:color="auto" w:sz="4" w:space="0"/>
              <w:left w:val="single" w:color="auto" w:sz="4" w:space="0"/>
              <w:righ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rPr>
            </w:pPr>
            <w:r>
              <w:rPr>
                <w:rFonts w:hint="eastAsia" w:ascii="仿宋_GB2312" w:eastAsia="仿宋_GB2312" w:hAnsiTheme="minorEastAsia"/>
                <w:sz w:val="18"/>
                <w:szCs w:val="18"/>
              </w:rPr>
              <w:t>备注</w:t>
            </w:r>
          </w:p>
        </w:tc>
      </w:tr>
      <w:tr>
        <w:tblPrEx>
          <w:tblCellMar>
            <w:top w:w="0" w:type="dxa"/>
            <w:left w:w="10" w:type="dxa"/>
            <w:bottom w:w="0" w:type="dxa"/>
            <w:right w:w="10" w:type="dxa"/>
          </w:tblCellMar>
        </w:tblPrEx>
        <w:trPr>
          <w:trHeight w:val="819" w:hRule="exact"/>
        </w:trPr>
        <w:tc>
          <w:tcPr>
            <w:tcW w:w="1286" w:type="dxa"/>
            <w:vMerge w:val="restart"/>
            <w:tcBorders>
              <w:top w:val="single" w:color="auto" w:sz="4" w:space="0"/>
              <w:lef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rPr>
            </w:pPr>
            <w:r>
              <w:rPr>
                <w:rFonts w:hint="eastAsia" w:ascii="仿宋_GB2312" w:eastAsia="仿宋_GB2312" w:hAnsiTheme="minorEastAsia"/>
                <w:sz w:val="18"/>
                <w:szCs w:val="18"/>
              </w:rPr>
              <w:t>一、日常考核 （40 分）</w:t>
            </w:r>
          </w:p>
        </w:tc>
        <w:tc>
          <w:tcPr>
            <w:tcW w:w="2358" w:type="dxa"/>
            <w:tcBorders>
              <w:top w:val="single" w:color="auto" w:sz="4" w:space="0"/>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rPr>
            </w:pPr>
            <w:r>
              <w:rPr>
                <w:rFonts w:hint="eastAsia" w:ascii="仿宋_GB2312" w:eastAsia="仿宋_GB2312" w:hAnsiTheme="minorEastAsia"/>
                <w:sz w:val="18"/>
                <w:szCs w:val="18"/>
              </w:rPr>
              <w:t>1.评审进度（20分）</w:t>
            </w:r>
          </w:p>
        </w:tc>
        <w:tc>
          <w:tcPr>
            <w:tcW w:w="8323"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未按本办法第十五条规定完成评审任务，每延迟1天扣1分。非第三方机构原因除外o对项目建设单位提供无明确事项及相应合理时间的延期说明，区财政局可以不</w:t>
            </w:r>
            <w:r>
              <w:rPr>
                <w:rFonts w:hint="eastAsia" w:ascii="仿宋_GB2312" w:hAnsiTheme="minorEastAsia" w:eastAsiaTheme="minorEastAsia"/>
                <w:sz w:val="18"/>
                <w:szCs w:val="18"/>
                <w:lang w:eastAsia="zh-CN"/>
              </w:rPr>
              <w:t>釆</w:t>
            </w:r>
            <w:r>
              <w:rPr>
                <w:rFonts w:hint="eastAsia" w:ascii="仿宋_GB2312" w:eastAsia="仿宋_GB2312" w:hAnsiTheme="minorEastAsia"/>
                <w:sz w:val="18"/>
                <w:szCs w:val="18"/>
                <w:lang w:eastAsia="zh-CN"/>
              </w:rPr>
              <w:t>纳。</w:t>
            </w:r>
          </w:p>
        </w:tc>
        <w:tc>
          <w:tcPr>
            <w:tcW w:w="808" w:type="dxa"/>
            <w:tcBorders>
              <w:top w:val="single" w:color="auto" w:sz="4" w:space="0"/>
              <w:lef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c>
          <w:tcPr>
            <w:tcW w:w="762" w:type="dxa"/>
            <w:tcBorders>
              <w:top w:val="single" w:color="auto" w:sz="4" w:space="0"/>
              <w:left w:val="single" w:color="auto" w:sz="4" w:space="0"/>
              <w:righ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858" w:hRule="exact"/>
        </w:trPr>
        <w:tc>
          <w:tcPr>
            <w:tcW w:w="1286" w:type="dxa"/>
            <w:vMerge w:val="continue"/>
            <w:tcBorders>
              <w:lef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lang w:eastAsia="zh-CN"/>
              </w:rPr>
            </w:pPr>
          </w:p>
        </w:tc>
        <w:tc>
          <w:tcPr>
            <w:tcW w:w="2358" w:type="dxa"/>
            <w:tcBorders>
              <w:top w:val="single" w:color="auto" w:sz="4" w:space="0"/>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rPr>
            </w:pPr>
            <w:r>
              <w:rPr>
                <w:rFonts w:hint="eastAsia" w:ascii="仿宋_GB2312" w:eastAsia="仿宋_GB2312" w:hAnsiTheme="minorEastAsia"/>
                <w:sz w:val="18"/>
                <w:szCs w:val="18"/>
              </w:rPr>
              <w:t>2.评审质量（5分）</w:t>
            </w:r>
          </w:p>
        </w:tc>
        <w:tc>
          <w:tcPr>
            <w:tcW w:w="8323"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备案时区财政局发现问题，经项目建设单位、第三方机构及所涉及的施工单位确认后，形成了新的核减，按照每新增核减4万元扣1分折算，直至扣完为止。</w:t>
            </w:r>
          </w:p>
        </w:tc>
        <w:tc>
          <w:tcPr>
            <w:tcW w:w="808" w:type="dxa"/>
            <w:tcBorders>
              <w:top w:val="single" w:color="auto" w:sz="4" w:space="0"/>
              <w:lef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c>
          <w:tcPr>
            <w:tcW w:w="762" w:type="dxa"/>
            <w:tcBorders>
              <w:top w:val="single" w:color="auto" w:sz="4" w:space="0"/>
              <w:left w:val="single" w:color="auto" w:sz="4" w:space="0"/>
              <w:righ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701" w:hRule="exact"/>
        </w:trPr>
        <w:tc>
          <w:tcPr>
            <w:tcW w:w="1286" w:type="dxa"/>
            <w:vMerge w:val="continue"/>
            <w:tcBorders>
              <w:lef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lang w:eastAsia="zh-CN"/>
              </w:rPr>
            </w:pPr>
          </w:p>
        </w:tc>
        <w:tc>
          <w:tcPr>
            <w:tcW w:w="2358" w:type="dxa"/>
            <w:tcBorders>
              <w:top w:val="single" w:color="auto" w:sz="4" w:space="0"/>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3.评审人员与备案人员匹配（5分）</w:t>
            </w:r>
          </w:p>
        </w:tc>
        <w:tc>
          <w:tcPr>
            <w:tcW w:w="8323"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凡出现1个评审人员不在备案人员之列的扣2分，直至扣完为止。</w:t>
            </w:r>
          </w:p>
        </w:tc>
        <w:tc>
          <w:tcPr>
            <w:tcW w:w="808" w:type="dxa"/>
            <w:tcBorders>
              <w:top w:val="single" w:color="auto" w:sz="4" w:space="0"/>
              <w:lef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c>
          <w:tcPr>
            <w:tcW w:w="762" w:type="dxa"/>
            <w:tcBorders>
              <w:top w:val="single" w:color="auto" w:sz="4" w:space="0"/>
              <w:left w:val="single" w:color="auto" w:sz="4" w:space="0"/>
              <w:righ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555" w:hRule="exact"/>
        </w:trPr>
        <w:tc>
          <w:tcPr>
            <w:tcW w:w="1286" w:type="dxa"/>
            <w:vMerge w:val="continue"/>
            <w:tcBorders>
              <w:lef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lang w:eastAsia="zh-CN"/>
              </w:rPr>
            </w:pPr>
          </w:p>
        </w:tc>
        <w:tc>
          <w:tcPr>
            <w:tcW w:w="2358" w:type="dxa"/>
            <w:tcBorders>
              <w:top w:val="single" w:color="auto" w:sz="4" w:space="0"/>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rPr>
            </w:pPr>
            <w:r>
              <w:rPr>
                <w:rFonts w:hint="eastAsia" w:ascii="仿宋_GB2312" w:eastAsia="仿宋_GB2312" w:hAnsiTheme="minorEastAsia"/>
                <w:sz w:val="18"/>
                <w:szCs w:val="18"/>
              </w:rPr>
              <w:t>4.备案资料完整 （5分）</w:t>
            </w:r>
          </w:p>
        </w:tc>
        <w:tc>
          <w:tcPr>
            <w:tcW w:w="8323"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能按本办法提交完整规范的备案资料得5分，每缺少一项或记录不完整扣1分，直至扣完为止。</w:t>
            </w:r>
          </w:p>
        </w:tc>
        <w:tc>
          <w:tcPr>
            <w:tcW w:w="808" w:type="dxa"/>
            <w:tcBorders>
              <w:top w:val="single" w:color="auto" w:sz="4" w:space="0"/>
              <w:lef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c>
          <w:tcPr>
            <w:tcW w:w="762" w:type="dxa"/>
            <w:tcBorders>
              <w:top w:val="single" w:color="auto" w:sz="4" w:space="0"/>
              <w:left w:val="single" w:color="auto" w:sz="4" w:space="0"/>
              <w:righ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857" w:hRule="exact"/>
        </w:trPr>
        <w:tc>
          <w:tcPr>
            <w:tcW w:w="1286" w:type="dxa"/>
            <w:vMerge w:val="continue"/>
            <w:tcBorders>
              <w:lef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lang w:eastAsia="zh-CN"/>
              </w:rPr>
            </w:pPr>
          </w:p>
        </w:tc>
        <w:tc>
          <w:tcPr>
            <w:tcW w:w="2358" w:type="dxa"/>
            <w:tcBorders>
              <w:top w:val="single" w:color="auto" w:sz="4" w:space="0"/>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rPr>
            </w:pPr>
            <w:r>
              <w:rPr>
                <w:rFonts w:hint="eastAsia" w:ascii="仿宋_GB2312" w:eastAsia="仿宋_GB2312" w:hAnsiTheme="minorEastAsia"/>
                <w:sz w:val="18"/>
                <w:szCs w:val="18"/>
              </w:rPr>
              <w:t>5.评审方案（5分）</w:t>
            </w:r>
          </w:p>
        </w:tc>
        <w:tc>
          <w:tcPr>
            <w:tcW w:w="8323"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评审方案主要从对项目分析全面性、针对性、人员配备合理性和评审关键时点明确性四个方面进行考核，评审方案好且执行到位的得5分，一般的得3分，差的得1分。</w:t>
            </w:r>
          </w:p>
        </w:tc>
        <w:tc>
          <w:tcPr>
            <w:tcW w:w="808" w:type="dxa"/>
            <w:tcBorders>
              <w:top w:val="single" w:color="auto" w:sz="4" w:space="0"/>
              <w:lef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c>
          <w:tcPr>
            <w:tcW w:w="762" w:type="dxa"/>
            <w:tcBorders>
              <w:top w:val="single" w:color="auto" w:sz="4" w:space="0"/>
              <w:left w:val="single" w:color="auto" w:sz="4" w:space="0"/>
              <w:righ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1395" w:hRule="exact"/>
        </w:trPr>
        <w:tc>
          <w:tcPr>
            <w:tcW w:w="1286" w:type="dxa"/>
            <w:tcBorders>
              <w:top w:val="single" w:color="auto" w:sz="4" w:space="0"/>
              <w:left w:val="single" w:color="auto" w:sz="4" w:space="0"/>
              <w:bottom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二、评审成效考核 （5分）</w:t>
            </w:r>
          </w:p>
        </w:tc>
        <w:tc>
          <w:tcPr>
            <w:tcW w:w="2358" w:type="dxa"/>
            <w:tcBorders>
              <w:top w:val="single" w:color="auto" w:sz="4" w:space="0"/>
              <w:left w:val="single" w:color="auto" w:sz="4" w:space="0"/>
              <w:bottom w:val="single" w:color="auto" w:sz="4" w:space="0"/>
            </w:tcBorders>
            <w:shd w:val="clear" w:color="auto" w:fill="FFFFFF"/>
            <w:vAlign w:val="center"/>
          </w:tcPr>
          <w:p>
            <w:pPr>
              <w:spacing w:line="360" w:lineRule="auto"/>
              <w:contextualSpacing/>
              <w:rPr>
                <w:rFonts w:ascii="仿宋_GB2312" w:eastAsia="仿宋_GB2312" w:hAnsiTheme="minorEastAsia"/>
                <w:sz w:val="18"/>
                <w:szCs w:val="18"/>
              </w:rPr>
            </w:pPr>
            <w:r>
              <w:rPr>
                <w:rFonts w:hint="eastAsia" w:ascii="仿宋_GB2312" w:eastAsia="仿宋_GB2312" w:hAnsiTheme="minorEastAsia"/>
                <w:sz w:val="18"/>
                <w:szCs w:val="18"/>
              </w:rPr>
              <w:t>1.评审成效（5分）</w:t>
            </w:r>
          </w:p>
        </w:tc>
        <w:tc>
          <w:tcPr>
            <w:tcW w:w="8323" w:type="dxa"/>
            <w:tcBorders>
              <w:top w:val="single" w:color="auto" w:sz="4" w:space="0"/>
              <w:left w:val="single" w:color="auto" w:sz="4" w:space="0"/>
              <w:bottom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按各机构年度综合审减率计分，年度综合审减率在15% （含）以上的，得5分：在 10% （含）至15%的，得4分；在5% （含）到10%的，得3分；在5%以下的，得2分。各 机构年度综合审减率=（年度机构评审项目总核减金额-区财政局核减金额）/年度机构评审项目总送审金额x 100%,合同价加变更签证的工程结算审减率计算基数为合同外造价。</w:t>
            </w:r>
          </w:p>
        </w:tc>
        <w:tc>
          <w:tcPr>
            <w:tcW w:w="808" w:type="dxa"/>
            <w:tcBorders>
              <w:top w:val="single" w:color="auto" w:sz="4" w:space="0"/>
              <w:left w:val="single" w:color="auto" w:sz="4" w:space="0"/>
              <w:bottom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c>
          <w:tcPr>
            <w:tcW w:w="762"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1044" w:hRule="exact"/>
        </w:trPr>
        <w:tc>
          <w:tcPr>
            <w:tcW w:w="1286" w:type="dxa"/>
            <w:vMerge w:val="restart"/>
            <w:tcBorders>
              <w:top w:val="single" w:color="auto" w:sz="4" w:space="0"/>
              <w:lef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rPr>
            </w:pPr>
            <w:r>
              <w:rPr>
                <w:rFonts w:hint="eastAsia" w:ascii="仿宋_GB2312" w:eastAsia="仿宋_GB2312" w:hAnsiTheme="minorEastAsia"/>
                <w:sz w:val="18"/>
                <w:szCs w:val="18"/>
              </w:rPr>
              <w:t>三、其它考核 （5分）</w:t>
            </w:r>
          </w:p>
        </w:tc>
        <w:tc>
          <w:tcPr>
            <w:tcW w:w="2358" w:type="dxa"/>
            <w:tcBorders>
              <w:top w:val="single" w:color="auto" w:sz="4" w:space="0"/>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rPr>
            </w:pPr>
            <w:r>
              <w:rPr>
                <w:rFonts w:hint="eastAsia" w:ascii="仿宋_GB2312" w:eastAsia="仿宋_GB2312" w:hAnsiTheme="minorEastAsia"/>
                <w:sz w:val="18"/>
                <w:szCs w:val="18"/>
              </w:rPr>
              <w:t>1.企业信用等级 （3分）</w:t>
            </w:r>
          </w:p>
        </w:tc>
        <w:tc>
          <w:tcPr>
            <w:tcW w:w="8323"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考核依据为中国建设工程造价管理协会的评定结果，信用等级为AAA级，得3分：AA 级，得2. 5分；A级，得2分；B级，得1.5分；无评级，得0分。</w:t>
            </w:r>
          </w:p>
        </w:tc>
        <w:tc>
          <w:tcPr>
            <w:tcW w:w="808" w:type="dxa"/>
            <w:tcBorders>
              <w:top w:val="single" w:color="auto" w:sz="4" w:space="0"/>
              <w:lef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c>
          <w:tcPr>
            <w:tcW w:w="762" w:type="dxa"/>
            <w:tcBorders>
              <w:top w:val="single" w:color="auto" w:sz="4" w:space="0"/>
              <w:left w:val="single" w:color="auto" w:sz="4" w:space="0"/>
              <w:righ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1268" w:hRule="atLeast"/>
        </w:trPr>
        <w:tc>
          <w:tcPr>
            <w:tcW w:w="1286" w:type="dxa"/>
            <w:vMerge w:val="continue"/>
            <w:tcBorders>
              <w:left w:val="single" w:color="auto" w:sz="4" w:space="0"/>
              <w:bottom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lang w:eastAsia="zh-CN"/>
              </w:rPr>
            </w:pPr>
          </w:p>
        </w:tc>
        <w:tc>
          <w:tcPr>
            <w:tcW w:w="2358" w:type="dxa"/>
            <w:tcBorders>
              <w:top w:val="single" w:color="auto" w:sz="4" w:space="0"/>
              <w:left w:val="single" w:color="auto" w:sz="4" w:space="0"/>
              <w:bottom w:val="single" w:color="auto" w:sz="4" w:space="0"/>
            </w:tcBorders>
            <w:shd w:val="clear" w:color="auto" w:fill="FFFFFF"/>
            <w:vAlign w:val="center"/>
          </w:tcPr>
          <w:p>
            <w:pPr>
              <w:spacing w:line="360" w:lineRule="auto"/>
              <w:contextualSpacing/>
              <w:rPr>
                <w:rFonts w:ascii="仿宋_GB2312" w:eastAsia="仿宋_GB2312" w:hAnsiTheme="minorEastAsia"/>
                <w:sz w:val="18"/>
                <w:szCs w:val="18"/>
              </w:rPr>
            </w:pPr>
            <w:r>
              <w:rPr>
                <w:rFonts w:hint="eastAsia" w:ascii="仿宋_GB2312" w:eastAsia="仿宋_GB2312" w:hAnsiTheme="minorEastAsia"/>
                <w:sz w:val="18"/>
                <w:szCs w:val="18"/>
              </w:rPr>
              <w:t>2.评审档案管理（2分）</w:t>
            </w:r>
          </w:p>
        </w:tc>
        <w:tc>
          <w:tcPr>
            <w:tcW w:w="8323" w:type="dxa"/>
            <w:tcBorders>
              <w:top w:val="single" w:color="auto" w:sz="4" w:space="0"/>
              <w:left w:val="single" w:color="auto" w:sz="4" w:space="0"/>
              <w:bottom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主要考核资料保存完整程度、查找便捷程度、档案管理信息化水平和档案保存硬件条件等方面，管理好的得2分，一般的得1分，差的得0分。</w:t>
            </w:r>
          </w:p>
        </w:tc>
        <w:tc>
          <w:tcPr>
            <w:tcW w:w="808" w:type="dxa"/>
            <w:tcBorders>
              <w:top w:val="single" w:color="auto" w:sz="4" w:space="0"/>
              <w:left w:val="single" w:color="auto" w:sz="4" w:space="0"/>
              <w:bottom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c>
          <w:tcPr>
            <w:tcW w:w="762"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lang w:eastAsia="zh-CN"/>
              </w:rPr>
            </w:pPr>
          </w:p>
        </w:tc>
      </w:tr>
    </w:tbl>
    <w:p>
      <w:pPr>
        <w:spacing w:line="360" w:lineRule="auto"/>
        <w:ind w:firstLine="369" w:firstLineChars="176"/>
        <w:contextualSpacing/>
        <w:rPr>
          <w:rFonts w:ascii="仿宋_GB2312" w:eastAsia="仿宋_GB2312" w:hAnsiTheme="minorEastAsia"/>
          <w:sz w:val="21"/>
          <w:szCs w:val="21"/>
          <w:lang w:eastAsia="zh-CN"/>
        </w:rPr>
      </w:pPr>
      <w:r>
        <w:rPr>
          <w:rFonts w:hint="eastAsia" w:ascii="仿宋_GB2312" w:eastAsia="仿宋_GB2312" w:hAnsiTheme="minorEastAsia"/>
          <w:sz w:val="21"/>
          <w:szCs w:val="21"/>
          <w:lang w:eastAsia="zh-CN"/>
        </w:rPr>
        <w:br w:type="page"/>
      </w:r>
    </w:p>
    <w:tbl>
      <w:tblPr>
        <w:tblStyle w:val="5"/>
        <w:tblW w:w="13365" w:type="dxa"/>
        <w:jc w:val="center"/>
        <w:tblLayout w:type="autofit"/>
        <w:tblCellMar>
          <w:top w:w="0" w:type="dxa"/>
          <w:left w:w="10" w:type="dxa"/>
          <w:bottom w:w="0" w:type="dxa"/>
          <w:right w:w="10" w:type="dxa"/>
        </w:tblCellMar>
      </w:tblPr>
      <w:tblGrid>
        <w:gridCol w:w="1596"/>
        <w:gridCol w:w="1363"/>
        <w:gridCol w:w="2718"/>
        <w:gridCol w:w="6125"/>
        <w:gridCol w:w="855"/>
        <w:gridCol w:w="708"/>
      </w:tblGrid>
      <w:tr>
        <w:tblPrEx>
          <w:tblCellMar>
            <w:top w:w="0" w:type="dxa"/>
            <w:left w:w="10" w:type="dxa"/>
            <w:bottom w:w="0" w:type="dxa"/>
            <w:right w:w="10" w:type="dxa"/>
          </w:tblCellMar>
        </w:tblPrEx>
        <w:trPr>
          <w:trHeight w:val="538" w:hRule="exact"/>
          <w:jc w:val="center"/>
        </w:trPr>
        <w:tc>
          <w:tcPr>
            <w:tcW w:w="2959" w:type="dxa"/>
            <w:gridSpan w:val="2"/>
            <w:tcBorders>
              <w:top w:val="single" w:color="auto" w:sz="4" w:space="0"/>
              <w:lef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rPr>
            </w:pPr>
            <w:r>
              <w:rPr>
                <w:rFonts w:hint="eastAsia" w:ascii="仿宋_GB2312" w:eastAsia="仿宋_GB2312" w:hAnsiTheme="minorEastAsia"/>
                <w:sz w:val="18"/>
                <w:szCs w:val="18"/>
              </w:rPr>
              <w:t>考核项目</w:t>
            </w:r>
          </w:p>
        </w:tc>
        <w:tc>
          <w:tcPr>
            <w:tcW w:w="2718" w:type="dxa"/>
            <w:tcBorders>
              <w:top w:val="single" w:color="auto" w:sz="4" w:space="0"/>
              <w:lef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rPr>
            </w:pPr>
            <w:r>
              <w:rPr>
                <w:rFonts w:hint="eastAsia" w:ascii="仿宋_GB2312" w:eastAsia="仿宋_GB2312" w:hAnsiTheme="minorEastAsia"/>
                <w:sz w:val="18"/>
                <w:szCs w:val="18"/>
              </w:rPr>
              <w:t>考核内容</w:t>
            </w:r>
          </w:p>
        </w:tc>
        <w:tc>
          <w:tcPr>
            <w:tcW w:w="6125" w:type="dxa"/>
            <w:tcBorders>
              <w:top w:val="single" w:color="auto" w:sz="4" w:space="0"/>
              <w:left w:val="single" w:color="auto" w:sz="4" w:space="0"/>
            </w:tcBorders>
            <w:shd w:val="clear" w:color="auto" w:fill="FFFFFF"/>
            <w:vAlign w:val="center"/>
          </w:tcPr>
          <w:p>
            <w:pPr>
              <w:spacing w:line="360" w:lineRule="auto"/>
              <w:ind w:firstLine="316" w:firstLineChars="176"/>
              <w:contextualSpacing/>
              <w:jc w:val="center"/>
              <w:rPr>
                <w:rFonts w:ascii="仿宋_GB2312" w:eastAsia="仿宋_GB2312" w:hAnsiTheme="minorEastAsia"/>
                <w:sz w:val="18"/>
                <w:szCs w:val="18"/>
              </w:rPr>
            </w:pPr>
            <w:r>
              <w:rPr>
                <w:rFonts w:hint="eastAsia" w:ascii="仿宋_GB2312" w:eastAsia="仿宋_GB2312" w:hAnsiTheme="minorEastAsia"/>
                <w:sz w:val="18"/>
                <w:szCs w:val="18"/>
              </w:rPr>
              <w:t>评分标准</w:t>
            </w:r>
          </w:p>
        </w:tc>
        <w:tc>
          <w:tcPr>
            <w:tcW w:w="855" w:type="dxa"/>
            <w:tcBorders>
              <w:top w:val="single" w:color="auto" w:sz="4" w:space="0"/>
              <w:lef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rPr>
            </w:pPr>
            <w:r>
              <w:rPr>
                <w:rFonts w:hint="eastAsia" w:ascii="仿宋_GB2312" w:eastAsia="仿宋_GB2312" w:hAnsiTheme="minorEastAsia"/>
                <w:sz w:val="18"/>
                <w:szCs w:val="18"/>
              </w:rPr>
              <w:t>得分</w:t>
            </w:r>
          </w:p>
        </w:tc>
        <w:tc>
          <w:tcPr>
            <w:tcW w:w="708" w:type="dxa"/>
            <w:tcBorders>
              <w:top w:val="single" w:color="auto" w:sz="4" w:space="0"/>
              <w:left w:val="single" w:color="auto" w:sz="4" w:space="0"/>
              <w:righ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rPr>
            </w:pPr>
            <w:r>
              <w:rPr>
                <w:rFonts w:hint="eastAsia" w:ascii="仿宋_GB2312" w:eastAsia="仿宋_GB2312" w:hAnsiTheme="minorEastAsia"/>
                <w:sz w:val="18"/>
                <w:szCs w:val="18"/>
              </w:rPr>
              <w:t>备注</w:t>
            </w:r>
          </w:p>
        </w:tc>
      </w:tr>
      <w:tr>
        <w:tblPrEx>
          <w:tblCellMar>
            <w:top w:w="0" w:type="dxa"/>
            <w:left w:w="10" w:type="dxa"/>
            <w:bottom w:w="0" w:type="dxa"/>
            <w:right w:w="10" w:type="dxa"/>
          </w:tblCellMar>
        </w:tblPrEx>
        <w:trPr>
          <w:trHeight w:val="600" w:hRule="exact"/>
          <w:jc w:val="center"/>
        </w:trPr>
        <w:tc>
          <w:tcPr>
            <w:tcW w:w="1596" w:type="dxa"/>
            <w:vMerge w:val="restart"/>
            <w:tcBorders>
              <w:top w:val="single" w:color="auto" w:sz="4" w:space="0"/>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rPr>
            </w:pPr>
            <w:r>
              <w:rPr>
                <w:rFonts w:hint="eastAsia" w:ascii="仿宋_GB2312" w:eastAsia="仿宋_GB2312" w:hAnsiTheme="minorEastAsia"/>
                <w:sz w:val="18"/>
                <w:szCs w:val="18"/>
              </w:rPr>
              <w:t>四、复核考核 （50 分）</w:t>
            </w:r>
          </w:p>
        </w:tc>
        <w:tc>
          <w:tcPr>
            <w:tcW w:w="1363" w:type="dxa"/>
            <w:vMerge w:val="restart"/>
            <w:tcBorders>
              <w:top w:val="single" w:color="auto" w:sz="4" w:space="0"/>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rPr>
            </w:pPr>
            <w:r>
              <w:rPr>
                <w:rFonts w:hint="eastAsia" w:ascii="仿宋_GB2312" w:eastAsia="仿宋_GB2312" w:hAnsiTheme="minorEastAsia"/>
                <w:sz w:val="18"/>
                <w:szCs w:val="18"/>
              </w:rPr>
              <w:t>（一）预算项目</w:t>
            </w:r>
          </w:p>
        </w:tc>
        <w:tc>
          <w:tcPr>
            <w:tcW w:w="2718" w:type="dxa"/>
            <w:tcBorders>
              <w:top w:val="single" w:color="auto" w:sz="4" w:space="0"/>
              <w:left w:val="single" w:color="auto" w:sz="4" w:space="0"/>
            </w:tcBorders>
            <w:shd w:val="clear" w:color="auto" w:fill="FFFFFF"/>
            <w:vAlign w:val="bottom"/>
          </w:tcPr>
          <w:p>
            <w:pPr>
              <w:spacing w:line="360" w:lineRule="auto"/>
              <w:ind w:left="-259" w:leftChars="-108" w:firstLine="316" w:firstLineChars="176"/>
              <w:contextualSpacing/>
              <w:rPr>
                <w:rFonts w:ascii="仿宋_GB2312" w:eastAsia="仿宋_GB2312" w:hAnsiTheme="minorEastAsia"/>
                <w:sz w:val="18"/>
                <w:szCs w:val="18"/>
              </w:rPr>
            </w:pPr>
            <w:r>
              <w:rPr>
                <w:rFonts w:hint="eastAsia" w:ascii="仿宋_GB2312" w:eastAsia="仿宋_GB2312" w:hAnsiTheme="minorEastAsia"/>
                <w:sz w:val="18"/>
                <w:szCs w:val="18"/>
              </w:rPr>
              <w:t>1.工程量计算（15分）</w:t>
            </w:r>
          </w:p>
        </w:tc>
        <w:tc>
          <w:tcPr>
            <w:tcW w:w="6125"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每出现一处工程量计算误差超过3%的，扣0.5分，直至扣完为止。</w:t>
            </w:r>
          </w:p>
        </w:tc>
        <w:tc>
          <w:tcPr>
            <w:tcW w:w="855" w:type="dxa"/>
            <w:tcBorders>
              <w:top w:val="single" w:color="auto" w:sz="4" w:space="0"/>
              <w:lef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c>
          <w:tcPr>
            <w:tcW w:w="708" w:type="dxa"/>
            <w:tcBorders>
              <w:top w:val="single" w:color="auto" w:sz="4" w:space="0"/>
              <w:left w:val="single" w:color="auto" w:sz="4" w:space="0"/>
              <w:right w:val="single" w:color="auto" w:sz="4" w:space="0"/>
            </w:tcBorders>
            <w:shd w:val="clear" w:color="auto" w:fill="FFFFFF"/>
          </w:tcPr>
          <w:p>
            <w:pPr>
              <w:spacing w:line="360" w:lineRule="auto"/>
              <w:contextualSpacing/>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706" w:hRule="exact"/>
          <w:jc w:val="center"/>
        </w:trPr>
        <w:tc>
          <w:tcPr>
            <w:tcW w:w="1596"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1363"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2718" w:type="dxa"/>
            <w:tcBorders>
              <w:top w:val="single" w:color="auto" w:sz="4" w:space="0"/>
              <w:left w:val="single" w:color="auto" w:sz="4" w:space="0"/>
            </w:tcBorders>
            <w:shd w:val="clear" w:color="auto" w:fill="FFFFFF"/>
            <w:vAlign w:val="bottom"/>
          </w:tcPr>
          <w:p>
            <w:pPr>
              <w:spacing w:line="360" w:lineRule="auto"/>
              <w:ind w:left="-259" w:leftChars="-108"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2.材料及设备询价（15 分）</w:t>
            </w:r>
          </w:p>
        </w:tc>
        <w:tc>
          <w:tcPr>
            <w:tcW w:w="6125" w:type="dxa"/>
            <w:tcBorders>
              <w:top w:val="single" w:color="auto" w:sz="4" w:space="0"/>
              <w:left w:val="single" w:color="auto" w:sz="4" w:space="0"/>
            </w:tcBorders>
            <w:shd w:val="clear" w:color="auto" w:fill="FFFFFF"/>
            <w:vAlign w:val="bottom"/>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每出现一处材料和设备询价误差（主要材料、设备价格对比造价信息、市场询价）超过15%的，扣1分，直至扣完为止。</w:t>
            </w:r>
          </w:p>
        </w:tc>
        <w:tc>
          <w:tcPr>
            <w:tcW w:w="855" w:type="dxa"/>
            <w:tcBorders>
              <w:top w:val="single" w:color="auto" w:sz="4" w:space="0"/>
              <w:lef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c>
          <w:tcPr>
            <w:tcW w:w="708" w:type="dxa"/>
            <w:tcBorders>
              <w:top w:val="single" w:color="auto" w:sz="4" w:space="0"/>
              <w:left w:val="single" w:color="auto" w:sz="4" w:space="0"/>
              <w:righ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610" w:hRule="exact"/>
          <w:jc w:val="center"/>
        </w:trPr>
        <w:tc>
          <w:tcPr>
            <w:tcW w:w="1596"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1363"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2718" w:type="dxa"/>
            <w:tcBorders>
              <w:top w:val="single" w:color="auto" w:sz="4" w:space="0"/>
              <w:left w:val="single" w:color="auto" w:sz="4" w:space="0"/>
            </w:tcBorders>
            <w:shd w:val="clear" w:color="auto" w:fill="FFFFFF"/>
            <w:vAlign w:val="center"/>
          </w:tcPr>
          <w:p>
            <w:pPr>
              <w:spacing w:line="360" w:lineRule="auto"/>
              <w:ind w:left="-259" w:leftChars="-108" w:firstLine="316" w:firstLineChars="176"/>
              <w:contextualSpacing/>
              <w:rPr>
                <w:rFonts w:ascii="仿宋_GB2312" w:eastAsia="仿宋_GB2312" w:hAnsiTheme="minorEastAsia"/>
                <w:sz w:val="18"/>
                <w:szCs w:val="18"/>
              </w:rPr>
            </w:pPr>
            <w:r>
              <w:rPr>
                <w:rFonts w:hint="eastAsia" w:ascii="仿宋_GB2312" w:eastAsia="仿宋_GB2312" w:hAnsiTheme="minorEastAsia"/>
                <w:sz w:val="18"/>
                <w:szCs w:val="18"/>
              </w:rPr>
              <w:t>3.定额套用（10分）</w:t>
            </w:r>
          </w:p>
        </w:tc>
        <w:tc>
          <w:tcPr>
            <w:tcW w:w="6125"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每出现一处定额套用错误，扣1分，直至扣完为止。</w:t>
            </w:r>
          </w:p>
        </w:tc>
        <w:tc>
          <w:tcPr>
            <w:tcW w:w="855" w:type="dxa"/>
            <w:tcBorders>
              <w:top w:val="single" w:color="auto" w:sz="4" w:space="0"/>
              <w:lef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c>
          <w:tcPr>
            <w:tcW w:w="708" w:type="dxa"/>
            <w:tcBorders>
              <w:top w:val="single" w:color="auto" w:sz="4" w:space="0"/>
              <w:left w:val="single" w:color="auto" w:sz="4" w:space="0"/>
              <w:righ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614" w:hRule="exact"/>
          <w:jc w:val="center"/>
        </w:trPr>
        <w:tc>
          <w:tcPr>
            <w:tcW w:w="1596"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1363"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2718" w:type="dxa"/>
            <w:tcBorders>
              <w:top w:val="single" w:color="auto" w:sz="4" w:space="0"/>
              <w:left w:val="single" w:color="auto" w:sz="4" w:space="0"/>
            </w:tcBorders>
            <w:shd w:val="clear" w:color="auto" w:fill="FFFFFF"/>
            <w:vAlign w:val="bottom"/>
          </w:tcPr>
          <w:p>
            <w:pPr>
              <w:spacing w:line="360" w:lineRule="auto"/>
              <w:ind w:left="-259" w:leftChars="-108" w:firstLine="316" w:firstLineChars="176"/>
              <w:contextualSpacing/>
              <w:rPr>
                <w:rFonts w:ascii="仿宋_GB2312" w:eastAsia="仿宋_GB2312" w:hAnsiTheme="minorEastAsia"/>
                <w:sz w:val="18"/>
                <w:szCs w:val="18"/>
              </w:rPr>
            </w:pPr>
            <w:r>
              <w:rPr>
                <w:rFonts w:hint="eastAsia" w:ascii="仿宋_GB2312" w:eastAsia="仿宋_GB2312" w:hAnsiTheme="minorEastAsia"/>
                <w:sz w:val="18"/>
                <w:szCs w:val="18"/>
              </w:rPr>
              <w:t>4,清单特征描述 （10 分）</w:t>
            </w:r>
          </w:p>
        </w:tc>
        <w:tc>
          <w:tcPr>
            <w:tcW w:w="6125"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每出现一处清单特征描述错误，扣0.5分，直至扣完为止。</w:t>
            </w:r>
          </w:p>
        </w:tc>
        <w:tc>
          <w:tcPr>
            <w:tcW w:w="855" w:type="dxa"/>
            <w:tcBorders>
              <w:top w:val="single" w:color="auto" w:sz="4" w:space="0"/>
              <w:lef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c>
          <w:tcPr>
            <w:tcW w:w="708" w:type="dxa"/>
            <w:tcBorders>
              <w:top w:val="single" w:color="auto" w:sz="4" w:space="0"/>
              <w:left w:val="single" w:color="auto" w:sz="4" w:space="0"/>
              <w:righ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619" w:hRule="exact"/>
          <w:jc w:val="center"/>
        </w:trPr>
        <w:tc>
          <w:tcPr>
            <w:tcW w:w="1596"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1363" w:type="dxa"/>
            <w:vMerge w:val="restart"/>
            <w:tcBorders>
              <w:top w:val="single" w:color="auto" w:sz="4" w:space="0"/>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rPr>
            </w:pPr>
            <w:r>
              <w:rPr>
                <w:rFonts w:hint="eastAsia" w:ascii="仿宋_GB2312" w:eastAsia="仿宋_GB2312" w:hAnsiTheme="minorEastAsia"/>
                <w:sz w:val="18"/>
                <w:szCs w:val="18"/>
              </w:rPr>
              <w:t>（二）结算项目</w:t>
            </w:r>
          </w:p>
        </w:tc>
        <w:tc>
          <w:tcPr>
            <w:tcW w:w="2718" w:type="dxa"/>
            <w:tcBorders>
              <w:top w:val="single" w:color="auto" w:sz="4" w:space="0"/>
              <w:left w:val="single" w:color="auto" w:sz="4" w:space="0"/>
            </w:tcBorders>
            <w:shd w:val="clear" w:color="auto" w:fill="FFFFFF"/>
            <w:vAlign w:val="bottom"/>
          </w:tcPr>
          <w:p>
            <w:pPr>
              <w:spacing w:line="360" w:lineRule="auto"/>
              <w:ind w:left="-259" w:leftChars="-108" w:firstLine="316" w:firstLineChars="176"/>
              <w:contextualSpacing/>
              <w:rPr>
                <w:rFonts w:ascii="仿宋_GB2312" w:eastAsia="仿宋_GB2312" w:hAnsiTheme="minorEastAsia"/>
                <w:sz w:val="18"/>
                <w:szCs w:val="18"/>
              </w:rPr>
            </w:pPr>
            <w:r>
              <w:rPr>
                <w:rFonts w:hint="eastAsia" w:ascii="仿宋_GB2312" w:eastAsia="仿宋_GB2312" w:hAnsiTheme="minorEastAsia"/>
                <w:sz w:val="18"/>
                <w:szCs w:val="18"/>
              </w:rPr>
              <w:t>1.工程量计算（15分）</w:t>
            </w:r>
          </w:p>
        </w:tc>
        <w:tc>
          <w:tcPr>
            <w:tcW w:w="6125"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每出现一处工程量计算误差超过3%的，扣0.5分，直至扣完为止。</w:t>
            </w:r>
          </w:p>
        </w:tc>
        <w:tc>
          <w:tcPr>
            <w:tcW w:w="855" w:type="dxa"/>
            <w:tcBorders>
              <w:top w:val="single" w:color="auto" w:sz="4" w:space="0"/>
              <w:lef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c>
          <w:tcPr>
            <w:tcW w:w="708" w:type="dxa"/>
            <w:tcBorders>
              <w:top w:val="single" w:color="auto" w:sz="4" w:space="0"/>
              <w:left w:val="single" w:color="auto" w:sz="4" w:space="0"/>
              <w:righ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619" w:hRule="exact"/>
          <w:jc w:val="center"/>
        </w:trPr>
        <w:tc>
          <w:tcPr>
            <w:tcW w:w="1596"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1363"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2718" w:type="dxa"/>
            <w:tcBorders>
              <w:top w:val="single" w:color="auto" w:sz="4" w:space="0"/>
              <w:left w:val="single" w:color="auto" w:sz="4" w:space="0"/>
            </w:tcBorders>
            <w:shd w:val="clear" w:color="auto" w:fill="FFFFFF"/>
            <w:vAlign w:val="bottom"/>
          </w:tcPr>
          <w:p>
            <w:pPr>
              <w:spacing w:line="360" w:lineRule="auto"/>
              <w:ind w:left="-259" w:leftChars="-108"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2.执行中标单价情况（10分）</w:t>
            </w:r>
          </w:p>
        </w:tc>
        <w:tc>
          <w:tcPr>
            <w:tcW w:w="6125"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每出现一处未执行中标单价的，扣1分，直至扣完为止。</w:t>
            </w:r>
          </w:p>
        </w:tc>
        <w:tc>
          <w:tcPr>
            <w:tcW w:w="855" w:type="dxa"/>
            <w:tcBorders>
              <w:top w:val="single" w:color="auto" w:sz="4" w:space="0"/>
              <w:lef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c>
          <w:tcPr>
            <w:tcW w:w="708" w:type="dxa"/>
            <w:tcBorders>
              <w:top w:val="single" w:color="auto" w:sz="4" w:space="0"/>
              <w:left w:val="single" w:color="auto" w:sz="4" w:space="0"/>
              <w:righ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614" w:hRule="exact"/>
          <w:jc w:val="center"/>
        </w:trPr>
        <w:tc>
          <w:tcPr>
            <w:tcW w:w="1596"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1363"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2718" w:type="dxa"/>
            <w:tcBorders>
              <w:top w:val="single" w:color="auto" w:sz="4" w:space="0"/>
              <w:left w:val="single" w:color="auto" w:sz="4" w:space="0"/>
            </w:tcBorders>
            <w:shd w:val="clear" w:color="auto" w:fill="FFFFFF"/>
            <w:vAlign w:val="bottom"/>
          </w:tcPr>
          <w:p>
            <w:pPr>
              <w:spacing w:line="360" w:lineRule="auto"/>
              <w:ind w:left="-259" w:leftChars="-108"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3.合同外组价情况（10分）</w:t>
            </w:r>
          </w:p>
        </w:tc>
        <w:tc>
          <w:tcPr>
            <w:tcW w:w="6125"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每出现一处合同外组价不合理的，扣0.5分，直至扣完为止。</w:t>
            </w:r>
          </w:p>
        </w:tc>
        <w:tc>
          <w:tcPr>
            <w:tcW w:w="855" w:type="dxa"/>
            <w:tcBorders>
              <w:top w:val="single" w:color="auto" w:sz="4" w:space="0"/>
              <w:lef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c>
          <w:tcPr>
            <w:tcW w:w="708" w:type="dxa"/>
            <w:tcBorders>
              <w:top w:val="single" w:color="auto" w:sz="4" w:space="0"/>
              <w:left w:val="single" w:color="auto" w:sz="4" w:space="0"/>
              <w:righ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610" w:hRule="exact"/>
          <w:jc w:val="center"/>
        </w:trPr>
        <w:tc>
          <w:tcPr>
            <w:tcW w:w="1596"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1363"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2718" w:type="dxa"/>
            <w:tcBorders>
              <w:top w:val="single" w:color="auto" w:sz="4" w:space="0"/>
              <w:left w:val="single" w:color="auto" w:sz="4" w:space="0"/>
            </w:tcBorders>
            <w:shd w:val="clear" w:color="auto" w:fill="FFFFFF"/>
            <w:vAlign w:val="bottom"/>
          </w:tcPr>
          <w:p>
            <w:pPr>
              <w:spacing w:line="360" w:lineRule="auto"/>
              <w:ind w:left="-259" w:leftChars="-108"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4.执行合同计价方式情 况（5分）</w:t>
            </w:r>
          </w:p>
        </w:tc>
        <w:tc>
          <w:tcPr>
            <w:tcW w:w="6125"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未按招标文件和合同约定的计价方式办理结算的，扣5分。</w:t>
            </w:r>
          </w:p>
        </w:tc>
        <w:tc>
          <w:tcPr>
            <w:tcW w:w="855" w:type="dxa"/>
            <w:tcBorders>
              <w:top w:val="single" w:color="auto" w:sz="4" w:space="0"/>
              <w:lef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c>
          <w:tcPr>
            <w:tcW w:w="708" w:type="dxa"/>
            <w:tcBorders>
              <w:top w:val="single" w:color="auto" w:sz="4" w:space="0"/>
              <w:left w:val="single" w:color="auto" w:sz="4" w:space="0"/>
              <w:righ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614" w:hRule="exact"/>
          <w:jc w:val="center"/>
        </w:trPr>
        <w:tc>
          <w:tcPr>
            <w:tcW w:w="1596"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1363"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2718" w:type="dxa"/>
            <w:tcBorders>
              <w:top w:val="single" w:color="auto" w:sz="4" w:space="0"/>
              <w:left w:val="single" w:color="auto" w:sz="4" w:space="0"/>
            </w:tcBorders>
            <w:shd w:val="clear" w:color="auto" w:fill="FFFFFF"/>
            <w:vAlign w:val="bottom"/>
          </w:tcPr>
          <w:p>
            <w:pPr>
              <w:spacing w:line="360" w:lineRule="auto"/>
              <w:ind w:left="-259" w:leftChars="-108"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5,执行有关政策情况（5分）</w:t>
            </w:r>
          </w:p>
        </w:tc>
        <w:tc>
          <w:tcPr>
            <w:tcW w:w="6125" w:type="dxa"/>
            <w:tcBorders>
              <w:top w:val="single" w:color="auto" w:sz="4" w:space="0"/>
              <w:left w:val="single" w:color="auto" w:sz="4" w:space="0"/>
            </w:tcBorders>
            <w:shd w:val="clear" w:color="auto" w:fill="FFFFFF"/>
            <w:vAlign w:val="bottom"/>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每出现一种未执行有关政策（合同风险包含在内的除外）的，扣2. 5分，直至扣完为止。</w:t>
            </w:r>
          </w:p>
        </w:tc>
        <w:tc>
          <w:tcPr>
            <w:tcW w:w="855" w:type="dxa"/>
            <w:tcBorders>
              <w:top w:val="single" w:color="auto" w:sz="4" w:space="0"/>
              <w:lef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c>
          <w:tcPr>
            <w:tcW w:w="708" w:type="dxa"/>
            <w:tcBorders>
              <w:top w:val="single" w:color="auto" w:sz="4" w:space="0"/>
              <w:left w:val="single" w:color="auto" w:sz="4" w:space="0"/>
              <w:righ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934" w:hRule="exact"/>
          <w:jc w:val="center"/>
        </w:trPr>
        <w:tc>
          <w:tcPr>
            <w:tcW w:w="1596"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1363" w:type="dxa"/>
            <w:vMerge w:val="continue"/>
            <w:tcBorders>
              <w:left w:val="single" w:color="auto" w:sz="4" w:space="0"/>
            </w:tcBorders>
            <w:shd w:val="clear" w:color="auto" w:fill="FFFFFF"/>
            <w:vAlign w:val="center"/>
          </w:tcPr>
          <w:p>
            <w:pPr>
              <w:spacing w:line="360" w:lineRule="auto"/>
              <w:contextualSpacing/>
              <w:rPr>
                <w:rFonts w:ascii="仿宋_GB2312" w:eastAsia="仿宋_GB2312" w:hAnsiTheme="minorEastAsia"/>
                <w:sz w:val="18"/>
                <w:szCs w:val="18"/>
                <w:lang w:eastAsia="zh-CN"/>
              </w:rPr>
            </w:pPr>
          </w:p>
        </w:tc>
        <w:tc>
          <w:tcPr>
            <w:tcW w:w="2718" w:type="dxa"/>
            <w:tcBorders>
              <w:top w:val="single" w:color="auto" w:sz="4" w:space="0"/>
              <w:left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6.执行竣工计价资料情况（5分）</w:t>
            </w:r>
          </w:p>
        </w:tc>
        <w:tc>
          <w:tcPr>
            <w:tcW w:w="6125" w:type="dxa"/>
            <w:tcBorders>
              <w:top w:val="single" w:color="auto" w:sz="4" w:space="0"/>
              <w:left w:val="single" w:color="auto" w:sz="4" w:space="0"/>
            </w:tcBorders>
            <w:shd w:val="clear" w:color="auto" w:fill="FFFFFF"/>
            <w:vAlign w:val="center"/>
          </w:tcPr>
          <w:p>
            <w:pPr>
              <w:spacing w:line="360" w:lineRule="auto"/>
              <w:ind w:firstLine="316" w:firstLineChars="176"/>
              <w:contextualSpacing/>
              <w:rPr>
                <w:rFonts w:ascii="仿宋_GB2312" w:eastAsia="仿宋_GB2312" w:hAnsiTheme="minorEastAsia"/>
                <w:sz w:val="18"/>
                <w:szCs w:val="18"/>
                <w:lang w:eastAsia="zh-CN"/>
              </w:rPr>
            </w:pPr>
            <w:r>
              <w:rPr>
                <w:rFonts w:hint="eastAsia" w:ascii="仿宋_GB2312" w:eastAsia="仿宋_GB2312" w:hAnsiTheme="minorEastAsia"/>
                <w:sz w:val="18"/>
                <w:szCs w:val="18"/>
                <w:lang w:eastAsia="zh-CN"/>
              </w:rPr>
              <w:t>每出现一处竣工计价资料手续不完善又计入造价的，扣1分，直至扣完为止。</w:t>
            </w:r>
          </w:p>
        </w:tc>
        <w:tc>
          <w:tcPr>
            <w:tcW w:w="855" w:type="dxa"/>
            <w:tcBorders>
              <w:top w:val="single" w:color="auto" w:sz="4" w:space="0"/>
              <w:lef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c>
          <w:tcPr>
            <w:tcW w:w="708" w:type="dxa"/>
            <w:tcBorders>
              <w:top w:val="single" w:color="auto" w:sz="4" w:space="0"/>
              <w:left w:val="single" w:color="auto" w:sz="4" w:space="0"/>
              <w:righ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lang w:eastAsia="zh-CN"/>
              </w:rPr>
            </w:pPr>
          </w:p>
        </w:tc>
      </w:tr>
      <w:tr>
        <w:tblPrEx>
          <w:tblCellMar>
            <w:top w:w="0" w:type="dxa"/>
            <w:left w:w="10" w:type="dxa"/>
            <w:bottom w:w="0" w:type="dxa"/>
            <w:right w:w="10" w:type="dxa"/>
          </w:tblCellMar>
        </w:tblPrEx>
        <w:trPr>
          <w:trHeight w:val="562" w:hRule="exact"/>
          <w:jc w:val="center"/>
        </w:trPr>
        <w:tc>
          <w:tcPr>
            <w:tcW w:w="2959" w:type="dxa"/>
            <w:gridSpan w:val="2"/>
            <w:tcBorders>
              <w:top w:val="single" w:color="auto" w:sz="4" w:space="0"/>
              <w:left w:val="single" w:color="auto" w:sz="4" w:space="0"/>
            </w:tcBorders>
            <w:shd w:val="clear" w:color="auto" w:fill="FFFFFF"/>
          </w:tcPr>
          <w:p>
            <w:pPr>
              <w:spacing w:line="360" w:lineRule="auto"/>
              <w:contextualSpacing/>
              <w:rPr>
                <w:rFonts w:ascii="仿宋_GB2312" w:eastAsia="仿宋_GB2312" w:hAnsiTheme="minorEastAsia"/>
                <w:sz w:val="18"/>
                <w:szCs w:val="18"/>
                <w:lang w:eastAsia="zh-CN"/>
              </w:rPr>
            </w:pPr>
          </w:p>
        </w:tc>
        <w:tc>
          <w:tcPr>
            <w:tcW w:w="2718" w:type="dxa"/>
            <w:tcBorders>
              <w:top w:val="single" w:color="auto" w:sz="4" w:space="0"/>
              <w:left w:val="single" w:color="auto" w:sz="4" w:space="0"/>
            </w:tcBorders>
            <w:shd w:val="clear" w:color="auto" w:fill="FFFFFF"/>
            <w:vAlign w:val="center"/>
          </w:tcPr>
          <w:p>
            <w:pPr>
              <w:spacing w:line="360" w:lineRule="auto"/>
              <w:ind w:left="-259" w:leftChars="-108" w:firstLine="316" w:firstLineChars="176"/>
              <w:contextualSpacing/>
              <w:rPr>
                <w:rFonts w:ascii="仿宋_GB2312" w:eastAsia="仿宋_GB2312" w:hAnsiTheme="minorEastAsia"/>
                <w:sz w:val="18"/>
                <w:szCs w:val="18"/>
              </w:rPr>
            </w:pPr>
            <w:r>
              <w:rPr>
                <w:rFonts w:hint="eastAsia" w:ascii="仿宋_GB2312" w:eastAsia="仿宋_GB2312" w:hAnsiTheme="minorEastAsia"/>
                <w:sz w:val="18"/>
                <w:szCs w:val="18"/>
              </w:rPr>
              <w:t>得分小计：</w:t>
            </w:r>
          </w:p>
        </w:tc>
        <w:tc>
          <w:tcPr>
            <w:tcW w:w="6125" w:type="dxa"/>
            <w:tcBorders>
              <w:top w:val="single" w:color="auto" w:sz="4" w:space="0"/>
              <w:lef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rPr>
            </w:pPr>
          </w:p>
        </w:tc>
        <w:tc>
          <w:tcPr>
            <w:tcW w:w="855" w:type="dxa"/>
            <w:tcBorders>
              <w:top w:val="single" w:color="auto" w:sz="4" w:space="0"/>
              <w:lef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rPr>
            </w:pPr>
          </w:p>
        </w:tc>
        <w:tc>
          <w:tcPr>
            <w:tcW w:w="708" w:type="dxa"/>
            <w:tcBorders>
              <w:top w:val="single" w:color="auto" w:sz="4" w:space="0"/>
              <w:left w:val="single" w:color="auto" w:sz="4" w:space="0"/>
              <w:righ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rPr>
            </w:pPr>
          </w:p>
        </w:tc>
      </w:tr>
      <w:tr>
        <w:tblPrEx>
          <w:tblCellMar>
            <w:top w:w="0" w:type="dxa"/>
            <w:left w:w="10" w:type="dxa"/>
            <w:bottom w:w="0" w:type="dxa"/>
            <w:right w:w="10" w:type="dxa"/>
          </w:tblCellMar>
        </w:tblPrEx>
        <w:trPr>
          <w:trHeight w:val="638" w:hRule="exact"/>
          <w:jc w:val="center"/>
        </w:trPr>
        <w:tc>
          <w:tcPr>
            <w:tcW w:w="5677" w:type="dxa"/>
            <w:gridSpan w:val="3"/>
            <w:tcBorders>
              <w:top w:val="single" w:color="auto" w:sz="4" w:space="0"/>
              <w:left w:val="single" w:color="auto" w:sz="4" w:space="0"/>
              <w:bottom w:val="single" w:color="auto" w:sz="4" w:space="0"/>
            </w:tcBorders>
            <w:shd w:val="clear" w:color="auto" w:fill="FFFFFF"/>
            <w:vAlign w:val="center"/>
          </w:tcPr>
          <w:p>
            <w:pPr>
              <w:spacing w:line="360" w:lineRule="auto"/>
              <w:contextualSpacing/>
              <w:jc w:val="center"/>
              <w:rPr>
                <w:rFonts w:ascii="仿宋_GB2312" w:eastAsia="仿宋_GB2312" w:hAnsiTheme="minorEastAsia"/>
                <w:sz w:val="18"/>
                <w:szCs w:val="18"/>
              </w:rPr>
            </w:pPr>
            <w:r>
              <w:rPr>
                <w:rFonts w:hint="eastAsia" w:ascii="仿宋_GB2312" w:eastAsia="仿宋_GB2312" w:hAnsiTheme="minorEastAsia"/>
                <w:sz w:val="18"/>
                <w:szCs w:val="18"/>
              </w:rPr>
              <w:t>年度考核总得分</w:t>
            </w:r>
          </w:p>
        </w:tc>
        <w:tc>
          <w:tcPr>
            <w:tcW w:w="6125" w:type="dxa"/>
            <w:tcBorders>
              <w:top w:val="single" w:color="auto" w:sz="4" w:space="0"/>
              <w:left w:val="single" w:color="auto" w:sz="4" w:space="0"/>
              <w:bottom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rPr>
            </w:pPr>
          </w:p>
        </w:tc>
        <w:tc>
          <w:tcPr>
            <w:tcW w:w="855" w:type="dxa"/>
            <w:tcBorders>
              <w:top w:val="single" w:color="auto" w:sz="4" w:space="0"/>
              <w:left w:val="single" w:color="auto" w:sz="4" w:space="0"/>
              <w:bottom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rPr>
            </w:pPr>
          </w:p>
        </w:tc>
        <w:tc>
          <w:tcPr>
            <w:tcW w:w="708" w:type="dxa"/>
            <w:tcBorders>
              <w:top w:val="single" w:color="auto" w:sz="4" w:space="0"/>
              <w:left w:val="single" w:color="auto" w:sz="4" w:space="0"/>
              <w:bottom w:val="single" w:color="auto" w:sz="4" w:space="0"/>
              <w:right w:val="single" w:color="auto" w:sz="4" w:space="0"/>
            </w:tcBorders>
            <w:shd w:val="clear" w:color="auto" w:fill="FFFFFF"/>
          </w:tcPr>
          <w:p>
            <w:pPr>
              <w:spacing w:line="360" w:lineRule="auto"/>
              <w:ind w:firstLine="316" w:firstLineChars="176"/>
              <w:contextualSpacing/>
              <w:rPr>
                <w:rFonts w:ascii="仿宋_GB2312" w:eastAsia="仿宋_GB2312" w:hAnsiTheme="minorEastAsia"/>
                <w:sz w:val="18"/>
                <w:szCs w:val="18"/>
              </w:rPr>
            </w:pPr>
          </w:p>
        </w:tc>
      </w:tr>
    </w:tbl>
    <w:p>
      <w:pPr>
        <w:spacing w:line="360" w:lineRule="auto"/>
        <w:contextualSpacing/>
        <w:rPr>
          <w:rFonts w:ascii="仿宋_GB2312" w:eastAsia="仿宋_GB2312" w:hAnsiTheme="minorEastAsia"/>
          <w:sz w:val="28"/>
          <w:szCs w:val="28"/>
        </w:rPr>
      </w:pPr>
    </w:p>
    <w:sectPr>
      <w:footerReference r:id="rId35" w:type="first"/>
      <w:footerReference r:id="rId33" w:type="default"/>
      <w:footerReference r:id="rId34" w:type="even"/>
      <w:pgSz w:w="16840" w:h="11900" w:orient="landscape"/>
      <w:pgMar w:top="867" w:right="1364" w:bottom="1075" w:left="1575" w:header="0" w:footer="3" w:gutter="0"/>
      <w:pgNumType w:fmt="decimal"/>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ge">
                <wp:posOffset>9827260</wp:posOffset>
              </wp:positionV>
              <wp:extent cx="527050" cy="121920"/>
              <wp:effectExtent l="0" t="0" r="0" b="0"/>
              <wp:wrapNone/>
              <wp:docPr id="2" name="Shape 17"/>
              <wp:cNvGraphicFramePr/>
              <a:graphic xmlns:a="http://schemas.openxmlformats.org/drawingml/2006/main">
                <a:graphicData uri="http://schemas.microsoft.com/office/word/2010/wordprocessingShape">
                  <wps:wsp>
                    <wps:cNvSpPr txBox="1"/>
                    <wps:spPr>
                      <a:xfrm>
                        <a:off x="0" y="0"/>
                        <a:ext cx="527050" cy="121920"/>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7" o:spid="_x0000_s1026" o:spt="202" type="#_x0000_t202" style="position:absolute;left:0pt;margin-top:773.8pt;height:9.6pt;width:41.5pt;mso-position-horizontal:right;mso-position-horizontal-relative:margin;mso-position-vertical-relative:page;mso-wrap-style:none;z-index:251660288;mso-width-relative:page;mso-height-relative:page;" filled="f" stroked="f" coordsize="21600,21600" o:gfxdata="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&#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7I7To1AAAAAkBAAAPAAAAAAAAAAEAIAAAACIAAABk&#10;cnMvZG93bnJldi54bWxQSwECFAAUAAAACACHTuJA1IpVLdEBAAC5AwAADgAAAAAAAAABACAAAAAj&#10;AQAAZHJzL2Uyb0RvYy54bWxQSwUGAAAAAAYABgBZAQAAZgU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ge">
                <wp:posOffset>9827260</wp:posOffset>
              </wp:positionV>
              <wp:extent cx="524510" cy="125095"/>
              <wp:effectExtent l="0" t="0" r="0" b="0"/>
              <wp:wrapNone/>
              <wp:docPr id="3" name="Shape 19"/>
              <wp:cNvGraphicFramePr/>
              <a:graphic xmlns:a="http://schemas.openxmlformats.org/drawingml/2006/main">
                <a:graphicData uri="http://schemas.microsoft.com/office/word/2010/wordprocessingShape">
                  <wps:wsp>
                    <wps:cNvSpPr txBox="1"/>
                    <wps:spPr>
                      <a:xfrm>
                        <a:off x="0" y="0"/>
                        <a:ext cx="5245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9" o:spid="_x0000_s1026" o:spt="202" type="#_x0000_t202" style="position:absolute;left:0pt;margin-top:773.8pt;height:9.85pt;width:41.3pt;mso-position-horizontal:right;mso-position-horizontal-relative:margin;mso-position-vertical-relative:page;mso-wrap-style:none;z-index:251661312;mso-width-relative:page;mso-height-relative:page;" filled="f" stroked="f" coordsize="21600,21600" o:gfxdata="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QLAlitUAAAAJAQAADwAAAAAAAAABACAAAAAiAAAA&#10;ZHJzL2Rvd25yZXYueG1sUEsBAhQAFAAAAAgAh07iQK9MifHRAQAAuQMAAA4AAAAAAAAAAQAgAAAA&#10;JAEAAGRycy9lMm9Eb2MueG1sUEsFBgAAAAAGAAYAWQEAAGcFA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ge">
                <wp:posOffset>9827260</wp:posOffset>
              </wp:positionV>
              <wp:extent cx="435610" cy="125095"/>
              <wp:effectExtent l="0" t="0" r="0" b="0"/>
              <wp:wrapNone/>
              <wp:docPr id="1" name="Shape 21"/>
              <wp:cNvGraphicFramePr/>
              <a:graphic xmlns:a="http://schemas.openxmlformats.org/drawingml/2006/main">
                <a:graphicData uri="http://schemas.microsoft.com/office/word/2010/wordprocessingShape">
                  <wps:wsp>
                    <wps:cNvSpPr txBox="1"/>
                    <wps:spPr>
                      <a:xfrm>
                        <a:off x="0" y="0"/>
                        <a:ext cx="4356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1">
                      <a:spAutoFit/>
                    </wps:bodyPr>
                  </wps:wsp>
                </a:graphicData>
              </a:graphic>
            </wp:anchor>
          </w:drawing>
        </mc:Choice>
        <mc:Fallback>
          <w:pict>
            <v:shape id="Shape 21" o:spid="_x0000_s1026" o:spt="202" type="#_x0000_t202" style="position:absolute;left:0pt;margin-top:773.8pt;height:9.85pt;width:34.3pt;mso-position-horizontal:right;mso-position-horizontal-relative:margin;mso-position-vertical-relative:page;mso-wrap-style:none;z-index:251659264;mso-width-relative:page;mso-height-relative:page;" filled="f" stroked="f" coordsize="21600,21600" o:gfxdata="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P1z9m9UAAAAJAQAADwAAAAAAAAABACAAAAAiAAAA&#10;ZHJzL2Rvd25yZXYueG1sUEsBAhQAFAAAAAgAh07iQN74xfnRAQAAuQMAAA4AAAAAAAAAAQAgAAAA&#10;JAEAAGRycy9lMm9Eb2MueG1sUEsFBgAAAAAGAAYAWQEAAGcFA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6432" behindDoc="0" locked="0" layoutInCell="1" allowOverlap="1">
              <wp:simplePos x="0" y="0"/>
              <wp:positionH relativeFrom="margin">
                <wp:align>left</wp:align>
              </wp:positionH>
              <wp:positionV relativeFrom="page">
                <wp:posOffset>9827260</wp:posOffset>
              </wp:positionV>
              <wp:extent cx="527050" cy="121920"/>
              <wp:effectExtent l="0" t="0" r="0" b="0"/>
              <wp:wrapNone/>
              <wp:docPr id="8" name="Shape 17"/>
              <wp:cNvGraphicFramePr/>
              <a:graphic xmlns:a="http://schemas.openxmlformats.org/drawingml/2006/main">
                <a:graphicData uri="http://schemas.microsoft.com/office/word/2010/wordprocessingShape">
                  <wps:wsp>
                    <wps:cNvSpPr txBox="1"/>
                    <wps:spPr>
                      <a:xfrm>
                        <a:off x="0" y="0"/>
                        <a:ext cx="527050" cy="121920"/>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7" o:spid="_x0000_s1026" o:spt="202" type="#_x0000_t202" style="position:absolute;left:0pt;margin-top:773.8pt;height:9.6pt;width:41.5pt;mso-position-horizontal:left;mso-position-horizontal-relative:margin;mso-position-vertical-relative:page;mso-wrap-style:none;z-index:251666432;mso-width-relative:page;mso-height-relative:page;" filled="f" stroked="f" coordsize="21600,21600" o:gfxdata="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&#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7I7To1AAAAAkBAAAPAAAAAAAAAAEAIAAAACIAAABk&#10;cnMvZG93bnJldi54bWxQSwECFAAUAAAACACHTuJAB8CmjdEBAAC5AwAADgAAAAAAAAABACAAAAAj&#10;AQAAZHJzL2Uyb0RvYy54bWxQSwUGAAAAAAYABgBZAQAAZgU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7456" behindDoc="0" locked="0" layoutInCell="1" allowOverlap="1">
              <wp:simplePos x="0" y="0"/>
              <wp:positionH relativeFrom="margin">
                <wp:align>left</wp:align>
              </wp:positionH>
              <wp:positionV relativeFrom="page">
                <wp:posOffset>9827260</wp:posOffset>
              </wp:positionV>
              <wp:extent cx="524510" cy="125095"/>
              <wp:effectExtent l="0" t="0" r="0" b="0"/>
              <wp:wrapNone/>
              <wp:docPr id="9" name="Shape 19"/>
              <wp:cNvGraphicFramePr/>
              <a:graphic xmlns:a="http://schemas.openxmlformats.org/drawingml/2006/main">
                <a:graphicData uri="http://schemas.microsoft.com/office/word/2010/wordprocessingShape">
                  <wps:wsp>
                    <wps:cNvSpPr txBox="1"/>
                    <wps:spPr>
                      <a:xfrm>
                        <a:off x="0" y="0"/>
                        <a:ext cx="5245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9" o:spid="_x0000_s1026" o:spt="202" type="#_x0000_t202" style="position:absolute;left:0pt;margin-top:773.8pt;height:9.85pt;width:41.3pt;mso-position-horizontal:left;mso-position-horizontal-relative:margin;mso-position-vertical-relative:page;mso-wrap-style:none;z-index:251667456;mso-width-relative:page;mso-height-relative:page;" filled="f" stroked="f" coordsize="21600,21600" o:gfxdata="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&#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AsCWK1QAAAAkBAAAPAAAAAAAAAAEAIAAAACIAAABk&#10;cnMvZG93bnJldi54bWxQSwECFAAUAAAACACHTuJAfAZ6UdABAAC5AwAADgAAAAAAAAABACAAAAAk&#10;AQAAZHJzL2Uyb0RvYy54bWxQSwUGAAAAAAYABgBZAQAAZgU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8480" behindDoc="0" locked="0" layoutInCell="1" allowOverlap="1">
              <wp:simplePos x="0" y="0"/>
              <wp:positionH relativeFrom="margin">
                <wp:align>left</wp:align>
              </wp:positionH>
              <wp:positionV relativeFrom="page">
                <wp:posOffset>9827260</wp:posOffset>
              </wp:positionV>
              <wp:extent cx="435610" cy="125095"/>
              <wp:effectExtent l="0" t="0" r="0" b="0"/>
              <wp:wrapNone/>
              <wp:docPr id="10" name="Shape 21"/>
              <wp:cNvGraphicFramePr/>
              <a:graphic xmlns:a="http://schemas.openxmlformats.org/drawingml/2006/main">
                <a:graphicData uri="http://schemas.microsoft.com/office/word/2010/wordprocessingShape">
                  <wps:wsp>
                    <wps:cNvSpPr txBox="1"/>
                    <wps:spPr>
                      <a:xfrm>
                        <a:off x="0" y="0"/>
                        <a:ext cx="4356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1">
                      <a:spAutoFit/>
                    </wps:bodyPr>
                  </wps:wsp>
                </a:graphicData>
              </a:graphic>
            </wp:anchor>
          </w:drawing>
        </mc:Choice>
        <mc:Fallback>
          <w:pict>
            <v:shape id="Shape 21" o:spid="_x0000_s1026" o:spt="202" type="#_x0000_t202" style="position:absolute;left:0pt;margin-top:773.8pt;height:9.85pt;width:34.3pt;mso-position-horizontal:left;mso-position-horizontal-relative:margin;mso-position-vertical-relative:page;mso-wrap-style:none;z-index:251668480;mso-width-relative:page;mso-height-relative:page;" filled="f" stroked="f" coordsize="21600,21600" o:gfxdata="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XP2b1QAAAAkBAAAPAAAAAAAAAAEAIAAAACIAAABk&#10;cnMvZG93bnJldi54bWxQSwECFAAUAAAACACHTuJAjYvI79ABAAC6AwAADgAAAAAAAAABACAAAAAk&#10;AQAAZHJzL2Uyb0RvYy54bWxQSwUGAAAAAAYABgBZAQAAZgU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ge">
                <wp:posOffset>9827260</wp:posOffset>
              </wp:positionV>
              <wp:extent cx="527050" cy="121920"/>
              <wp:effectExtent l="0" t="0" r="0" b="0"/>
              <wp:wrapNone/>
              <wp:docPr id="11" name="Shape 17"/>
              <wp:cNvGraphicFramePr/>
              <a:graphic xmlns:a="http://schemas.openxmlformats.org/drawingml/2006/main">
                <a:graphicData uri="http://schemas.microsoft.com/office/word/2010/wordprocessingShape">
                  <wps:wsp>
                    <wps:cNvSpPr txBox="1"/>
                    <wps:spPr>
                      <a:xfrm>
                        <a:off x="0" y="0"/>
                        <a:ext cx="527050" cy="121920"/>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7" o:spid="_x0000_s1026" o:spt="202" type="#_x0000_t202" style="position:absolute;left:0pt;margin-top:773.8pt;height:9.6pt;width:41.5pt;mso-position-horizontal:right;mso-position-horizontal-relative:margin;mso-position-vertical-relative:page;mso-wrap-style:none;z-index:251669504;mso-width-relative:page;mso-height-relative:page;" filled="f" stroked="f" coordsize="21600,21600" o:gfxdata="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7I7To1AAAAAkBAAAPAAAAAAAAAAEAIAAAACIAAABk&#10;cnMvZG93bnJldi54bWxQSwECFAAUAAAACACHTuJA1+y4rdEBAAC6AwAADgAAAAAAAAABACAAAAAj&#10;AQAAZHJzL2Uyb0RvYy54bWxQSwUGAAAAAAYABgBZAQAAZgU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ge">
                <wp:posOffset>9827260</wp:posOffset>
              </wp:positionV>
              <wp:extent cx="524510" cy="125095"/>
              <wp:effectExtent l="0" t="0" r="0" b="0"/>
              <wp:wrapNone/>
              <wp:docPr id="12" name="Shape 19"/>
              <wp:cNvGraphicFramePr/>
              <a:graphic xmlns:a="http://schemas.openxmlformats.org/drawingml/2006/main">
                <a:graphicData uri="http://schemas.microsoft.com/office/word/2010/wordprocessingShape">
                  <wps:wsp>
                    <wps:cNvSpPr txBox="1"/>
                    <wps:spPr>
                      <a:xfrm>
                        <a:off x="0" y="0"/>
                        <a:ext cx="5245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9" o:spid="_x0000_s1026" o:spt="202" type="#_x0000_t202" style="position:absolute;left:0pt;margin-top:773.8pt;height:9.85pt;width:41.3pt;mso-position-horizontal:right;mso-position-horizontal-relative:margin;mso-position-vertical-relative:page;mso-wrap-style:none;z-index:251670528;mso-width-relative:page;mso-height-relative:page;" filled="f" stroked="f" coordsize="21600,21600" o:gfxdata="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QLAlitUAAAAJAQAADwAAAAAAAAABACAAAAAiAAAA&#10;ZHJzL2Rvd25yZXYueG1sUEsBAhQAFAAAAAgAh07iQPw/hOfRAQAAugMAAA4AAAAAAAAAAQAgAAAA&#10;JAEAAGRycy9lMm9Eb2MueG1sUEsFBgAAAAAGAAYAWQEAAGcFA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ge">
                <wp:posOffset>9827260</wp:posOffset>
              </wp:positionV>
              <wp:extent cx="435610" cy="125095"/>
              <wp:effectExtent l="0" t="0" r="0" b="0"/>
              <wp:wrapNone/>
              <wp:docPr id="13" name="Shape 21"/>
              <wp:cNvGraphicFramePr/>
              <a:graphic xmlns:a="http://schemas.openxmlformats.org/drawingml/2006/main">
                <a:graphicData uri="http://schemas.microsoft.com/office/word/2010/wordprocessingShape">
                  <wps:wsp>
                    <wps:cNvSpPr txBox="1"/>
                    <wps:spPr>
                      <a:xfrm>
                        <a:off x="0" y="0"/>
                        <a:ext cx="4356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1">
                      <a:spAutoFit/>
                    </wps:bodyPr>
                  </wps:wsp>
                </a:graphicData>
              </a:graphic>
            </wp:anchor>
          </w:drawing>
        </mc:Choice>
        <mc:Fallback>
          <w:pict>
            <v:shape id="Shape 21" o:spid="_x0000_s1026" o:spt="202" type="#_x0000_t202" style="position:absolute;left:0pt;margin-top:773.8pt;height:9.85pt;width:34.3pt;mso-position-horizontal:right;mso-position-horizontal-relative:margin;mso-position-vertical-relative:page;mso-wrap-style:none;z-index:251671552;mso-width-relative:page;mso-height-relative:page;" filled="f" stroked="f" coordsize="21600,21600" o:gfxdata="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P1z9m9UAAAAJAQAADwAAAAAAAAABACAAAAAiAAAA&#10;ZHJzL2Rvd25yZXYueG1sUEsBAhQAFAAAAAgAh07iQHWUWDLRAQAAugMAAA4AAAAAAAAAAQAgAAAA&#10;JAEAAGRycy9lMm9Eb2MueG1sUEsFBgAAAAAGAAYAWQEAAGcFA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72576" behindDoc="0" locked="0" layoutInCell="1" allowOverlap="1">
              <wp:simplePos x="0" y="0"/>
              <wp:positionH relativeFrom="margin">
                <wp:align>left</wp:align>
              </wp:positionH>
              <wp:positionV relativeFrom="page">
                <wp:posOffset>9827260</wp:posOffset>
              </wp:positionV>
              <wp:extent cx="527050" cy="121920"/>
              <wp:effectExtent l="0" t="0" r="0" b="0"/>
              <wp:wrapNone/>
              <wp:docPr id="14" name="Shape 17"/>
              <wp:cNvGraphicFramePr/>
              <a:graphic xmlns:a="http://schemas.openxmlformats.org/drawingml/2006/main">
                <a:graphicData uri="http://schemas.microsoft.com/office/word/2010/wordprocessingShape">
                  <wps:wsp>
                    <wps:cNvSpPr txBox="1"/>
                    <wps:spPr>
                      <a:xfrm>
                        <a:off x="0" y="0"/>
                        <a:ext cx="527050" cy="121920"/>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7" o:spid="_x0000_s1026" o:spt="202" type="#_x0000_t202" style="position:absolute;left:0pt;margin-top:773.8pt;height:9.6pt;width:41.5pt;mso-position-horizontal:left;mso-position-horizontal-relative:margin;mso-position-vertical-relative:page;mso-wrap-style:none;z-index:251672576;mso-width-relative:page;mso-height-relative:page;" filled="f" stroked="f" coordsize="21600,21600" o:gfxdata="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7I7To1AAAAAkBAAAPAAAAAAAAAAEAIAAAACIAAABk&#10;cnMvZG93bnJldi54bWxQSwECFAAUAAAACACHTuJAnsp5ENEBAAC6AwAADgAAAAAAAAABACAAAAAj&#10;AQAAZHJzL2Uyb0RvYy54bWxQSwUGAAAAAAYABgBZAQAAZgU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ge">
                <wp:posOffset>9827260</wp:posOffset>
              </wp:positionV>
              <wp:extent cx="524510" cy="125095"/>
              <wp:effectExtent l="0" t="0" r="0" b="0"/>
              <wp:wrapNone/>
              <wp:docPr id="15" name="Shape 19"/>
              <wp:cNvGraphicFramePr/>
              <a:graphic xmlns:a="http://schemas.openxmlformats.org/drawingml/2006/main">
                <a:graphicData uri="http://schemas.microsoft.com/office/word/2010/wordprocessingShape">
                  <wps:wsp>
                    <wps:cNvSpPr txBox="1"/>
                    <wps:spPr>
                      <a:xfrm>
                        <a:off x="0" y="0"/>
                        <a:ext cx="5245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9" o:spid="_x0000_s1026" o:spt="202" type="#_x0000_t202" style="position:absolute;left:0pt;margin-top:773.8pt;height:9.85pt;width:41.3pt;mso-position-horizontal:left;mso-position-horizontal-relative:margin;mso-position-vertical-relative:page;mso-wrap-style:none;z-index:251673600;mso-width-relative:page;mso-height-relative:page;" filled="f" stroked="f" coordsize="21600,21600" o:gfxdata="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QLAlitUAAAAJAQAADwAAAAAAAAABACAAAAAiAAAA&#10;ZHJzL2Rvd25yZXYueG1sUEsBAhQAFAAAAAgAh07iQOUMpczRAQAAugMAAA4AAAAAAAAAAQAgAAAA&#10;JAEAAGRycy9lMm9Eb2MueG1sUEsFBgAAAAAGAAYAWQEAAGcFA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74624" behindDoc="0" locked="0" layoutInCell="1" allowOverlap="1">
              <wp:simplePos x="0" y="0"/>
              <wp:positionH relativeFrom="margin">
                <wp:align>left</wp:align>
              </wp:positionH>
              <wp:positionV relativeFrom="page">
                <wp:posOffset>9827260</wp:posOffset>
              </wp:positionV>
              <wp:extent cx="435610" cy="125095"/>
              <wp:effectExtent l="0" t="0" r="0" b="0"/>
              <wp:wrapNone/>
              <wp:docPr id="16" name="Shape 21"/>
              <wp:cNvGraphicFramePr/>
              <a:graphic xmlns:a="http://schemas.openxmlformats.org/drawingml/2006/main">
                <a:graphicData uri="http://schemas.microsoft.com/office/word/2010/wordprocessingShape">
                  <wps:wsp>
                    <wps:cNvSpPr txBox="1"/>
                    <wps:spPr>
                      <a:xfrm>
                        <a:off x="0" y="0"/>
                        <a:ext cx="4356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1">
                      <a:spAutoFit/>
                    </wps:bodyPr>
                  </wps:wsp>
                </a:graphicData>
              </a:graphic>
            </wp:anchor>
          </w:drawing>
        </mc:Choice>
        <mc:Fallback>
          <w:pict>
            <v:shape id="Shape 21" o:spid="_x0000_s1026" o:spt="202" type="#_x0000_t202" style="position:absolute;left:0pt;margin-top:773.8pt;height:9.85pt;width:34.3pt;mso-position-horizontal:left;mso-position-horizontal-relative:margin;mso-position-vertical-relative:page;mso-wrap-style:none;z-index:251674624;mso-width-relative:page;mso-height-relative:page;" filled="f" stroked="f" coordsize="21600,21600" o:gfxdata="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XP2b1QAAAAkBAAAPAAAAAAAAAAEAIAAAACIAAABk&#10;cnMvZG93bnJldi54bWxQSwECFAAUAAAACACHTuJAPLKZj9ABAAC6AwAADgAAAAAAAAABACAAAAAk&#10;AQAAZHJzL2Uyb0RvYy54bWxQSwUGAAAAAAYABgBZAQAAZgU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75648" behindDoc="0" locked="0" layoutInCell="1" allowOverlap="1">
              <wp:simplePos x="0" y="0"/>
              <wp:positionH relativeFrom="margin">
                <wp:align>right</wp:align>
              </wp:positionH>
              <wp:positionV relativeFrom="page">
                <wp:posOffset>9827260</wp:posOffset>
              </wp:positionV>
              <wp:extent cx="527050" cy="121920"/>
              <wp:effectExtent l="0" t="0" r="0" b="0"/>
              <wp:wrapNone/>
              <wp:docPr id="17" name="Shape 17"/>
              <wp:cNvGraphicFramePr/>
              <a:graphic xmlns:a="http://schemas.openxmlformats.org/drawingml/2006/main">
                <a:graphicData uri="http://schemas.microsoft.com/office/word/2010/wordprocessingShape">
                  <wps:wsp>
                    <wps:cNvSpPr txBox="1"/>
                    <wps:spPr>
                      <a:xfrm>
                        <a:off x="0" y="0"/>
                        <a:ext cx="527050" cy="121920"/>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7" o:spid="_x0000_s1026" o:spt="202" type="#_x0000_t202" style="position:absolute;left:0pt;margin-top:773.8pt;height:9.6pt;width:41.5pt;mso-position-horizontal:right;mso-position-horizontal-relative:margin;mso-position-vertical-relative:page;mso-wrap-style:none;z-index:251675648;mso-width-relative:page;mso-height-relative:page;" filled="f" stroked="f" coordsize="21600,21600" o:gfxdata="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&#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sjtOjUAAAACQEAAA8AAAAAAAAAAQAgAAAAIgAAAGRy&#10;cy9kb3ducmV2LnhtbFBLAQIUABQAAAAIAIdO4kBm1enN0AEAALoDAAAOAAAAAAAAAAEAIAAAACMB&#10;AABkcnMvZTJvRG9jLnhtbFBLBQYAAAAABgAGAFkBAABlBQ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76672" behindDoc="0" locked="0" layoutInCell="1" allowOverlap="1">
              <wp:simplePos x="0" y="0"/>
              <wp:positionH relativeFrom="margin">
                <wp:align>right</wp:align>
              </wp:positionH>
              <wp:positionV relativeFrom="page">
                <wp:posOffset>9827260</wp:posOffset>
              </wp:positionV>
              <wp:extent cx="524510" cy="125095"/>
              <wp:effectExtent l="0" t="0" r="0" b="0"/>
              <wp:wrapNone/>
              <wp:docPr id="18" name="Shape 19"/>
              <wp:cNvGraphicFramePr/>
              <a:graphic xmlns:a="http://schemas.openxmlformats.org/drawingml/2006/main">
                <a:graphicData uri="http://schemas.microsoft.com/office/word/2010/wordprocessingShape">
                  <wps:wsp>
                    <wps:cNvSpPr txBox="1"/>
                    <wps:spPr>
                      <a:xfrm>
                        <a:off x="0" y="0"/>
                        <a:ext cx="5245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9" o:spid="_x0000_s1026" o:spt="202" type="#_x0000_t202" style="position:absolute;left:0pt;margin-top:773.8pt;height:9.85pt;width:41.3pt;mso-position-horizontal:right;mso-position-horizontal-relative:margin;mso-position-vertical-relative:page;mso-wrap-style:none;z-index:251676672;mso-width-relative:page;mso-height-relative:page;" filled="f" stroked="f" coordsize="21600,21600" o:gfxdata="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QLAlitUAAAAJAQAADwAAAAAAAAABACAAAAAiAAAA&#10;ZHJzL2Rvd25yZXYueG1sUEsBAhQAFAAAAAgAh07iQC91d0fRAQAAugMAAA4AAAAAAAAAAQAgAAAA&#10;JAEAAGRycy9lMm9Eb2MueG1sUEsFBgAAAAAGAAYAWQEAAGcFA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77696" behindDoc="0" locked="0" layoutInCell="1" allowOverlap="1">
              <wp:simplePos x="0" y="0"/>
              <wp:positionH relativeFrom="margin">
                <wp:align>right</wp:align>
              </wp:positionH>
              <wp:positionV relativeFrom="page">
                <wp:posOffset>9827260</wp:posOffset>
              </wp:positionV>
              <wp:extent cx="435610" cy="125095"/>
              <wp:effectExtent l="0" t="0" r="0" b="0"/>
              <wp:wrapNone/>
              <wp:docPr id="19" name="Shape 21"/>
              <wp:cNvGraphicFramePr/>
              <a:graphic xmlns:a="http://schemas.openxmlformats.org/drawingml/2006/main">
                <a:graphicData uri="http://schemas.microsoft.com/office/word/2010/wordprocessingShape">
                  <wps:wsp>
                    <wps:cNvSpPr txBox="1"/>
                    <wps:spPr>
                      <a:xfrm>
                        <a:off x="0" y="0"/>
                        <a:ext cx="4356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1">
                      <a:spAutoFit/>
                    </wps:bodyPr>
                  </wps:wsp>
                </a:graphicData>
              </a:graphic>
            </wp:anchor>
          </w:drawing>
        </mc:Choice>
        <mc:Fallback>
          <w:pict>
            <v:shape id="Shape 21" o:spid="_x0000_s1026" o:spt="202" type="#_x0000_t202" style="position:absolute;left:0pt;margin-top:773.8pt;height:9.85pt;width:34.3pt;mso-position-horizontal:right;mso-position-horizontal-relative:margin;mso-position-vertical-relative:page;mso-wrap-style:none;z-index:251677696;mso-width-relative:page;mso-height-relative:page;" filled="f" stroked="f" coordsize="21600,21600" o:gfxdata="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P1z9m9UAAAAJAQAADwAAAAAAAAABACAAAAAiAAAA&#10;ZHJzL2Rvd25yZXYueG1sUEsBAhQAFAAAAAgAh07iQKbeq5LRAQAAugMAAA4AAAAAAAAAAQAgAAAA&#10;JAEAAGRycy9lMm9Eb2MueG1sUEsFBgAAAAAGAAYAWQEAAGcFA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78720" behindDoc="0" locked="0" layoutInCell="1" allowOverlap="1">
              <wp:simplePos x="0" y="0"/>
              <wp:positionH relativeFrom="margin">
                <wp:align>left</wp:align>
              </wp:positionH>
              <wp:positionV relativeFrom="page">
                <wp:posOffset>9827260</wp:posOffset>
              </wp:positionV>
              <wp:extent cx="527050" cy="121920"/>
              <wp:effectExtent l="0" t="0" r="0" b="0"/>
              <wp:wrapNone/>
              <wp:docPr id="20" name="Shape 17"/>
              <wp:cNvGraphicFramePr/>
              <a:graphic xmlns:a="http://schemas.openxmlformats.org/drawingml/2006/main">
                <a:graphicData uri="http://schemas.microsoft.com/office/word/2010/wordprocessingShape">
                  <wps:wsp>
                    <wps:cNvSpPr txBox="1"/>
                    <wps:spPr>
                      <a:xfrm>
                        <a:off x="0" y="0"/>
                        <a:ext cx="527050" cy="121920"/>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7" o:spid="_x0000_s1026" o:spt="202" type="#_x0000_t202" style="position:absolute;left:0pt;margin-top:773.8pt;height:9.6pt;width:41.5pt;mso-position-horizontal:left;mso-position-horizontal-relative:margin;mso-position-vertical-relative:page;mso-wrap-style:none;z-index:251678720;mso-width-relative:page;mso-height-relative:page;" filled="f" stroked="f" coordsize="21600,21600" o:gfxdata="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7I7To1AAAAAkBAAAPAAAAAAAAAAEAIAAAACIAAABk&#10;cnMvZG93bnJldi54bWxQSwECFAAUAAAACACHTuJATgxzVdEBAAC6AwAADgAAAAAAAAABACAAAAAj&#10;AQAAZHJzL2Uyb0RvYy54bWxQSwUGAAAAAAYABgBZAQAAZgU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ge">
                <wp:posOffset>9827260</wp:posOffset>
              </wp:positionV>
              <wp:extent cx="524510" cy="125095"/>
              <wp:effectExtent l="0" t="0" r="0" b="0"/>
              <wp:wrapNone/>
              <wp:docPr id="21" name="Shape 19"/>
              <wp:cNvGraphicFramePr/>
              <a:graphic xmlns:a="http://schemas.openxmlformats.org/drawingml/2006/main">
                <a:graphicData uri="http://schemas.microsoft.com/office/word/2010/wordprocessingShape">
                  <wps:wsp>
                    <wps:cNvSpPr txBox="1"/>
                    <wps:spPr>
                      <a:xfrm>
                        <a:off x="0" y="0"/>
                        <a:ext cx="5245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9" o:spid="_x0000_s1026" o:spt="202" type="#_x0000_t202" style="position:absolute;left:0pt;margin-top:773.8pt;height:9.85pt;width:41.3pt;mso-position-horizontal:left;mso-position-horizontal-relative:margin;mso-position-vertical-relative:page;mso-wrap-style:none;z-index:251679744;mso-width-relative:page;mso-height-relative:page;" filled="f" stroked="f" coordsize="21600,21600" o:gfxdata="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ECwJYrVAAAACQEAAA8AAAAAAAAAAQAgAAAAIgAA&#10;AGRycy9kb3ducmV2LnhtbFBLAQIUABQAAAAIAIdO4kA1yq+J0gEAALoDAAAOAAAAAAAAAAEAIAAA&#10;ACQBAABkcnMvZTJvRG9jLnhtbFBLBQYAAAAABgAGAFkBAABoBQ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ge">
                <wp:posOffset>9827260</wp:posOffset>
              </wp:positionV>
              <wp:extent cx="435610" cy="125095"/>
              <wp:effectExtent l="0" t="0" r="0" b="0"/>
              <wp:wrapNone/>
              <wp:docPr id="22" name="Shape 21"/>
              <wp:cNvGraphicFramePr/>
              <a:graphic xmlns:a="http://schemas.openxmlformats.org/drawingml/2006/main">
                <a:graphicData uri="http://schemas.microsoft.com/office/word/2010/wordprocessingShape">
                  <wps:wsp>
                    <wps:cNvSpPr txBox="1"/>
                    <wps:spPr>
                      <a:xfrm>
                        <a:off x="0" y="0"/>
                        <a:ext cx="4356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1">
                      <a:spAutoFit/>
                    </wps:bodyPr>
                  </wps:wsp>
                </a:graphicData>
              </a:graphic>
            </wp:anchor>
          </w:drawing>
        </mc:Choice>
        <mc:Fallback>
          <w:pict>
            <v:shape id="Shape 21" o:spid="_x0000_s1026" o:spt="202" type="#_x0000_t202" style="position:absolute;left:0pt;margin-top:773.8pt;height:9.85pt;width:34.3pt;mso-position-horizontal:left;mso-position-horizontal-relative:margin;mso-position-vertical-relative:page;mso-wrap-style:none;z-index:251680768;mso-width-relative:page;mso-height-relative:page;" filled="f" stroked="f" coordsize="21600,21600" o:gfxdata="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9c/ZvVAAAACQEAAA8AAAAAAAAAAQAgAAAAIgAA&#10;AGRycy9kb3ducmV2LnhtbFBLAQIUABQAAAAIAIdO4kDsdJPK0gEAALoDAAAOAAAAAAAAAAEAIAAA&#10;ACQBAABkcnMvZTJvRG9jLnhtbFBLBQYAAAAABgAGAFkBAABoBQ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81792" behindDoc="0" locked="0" layoutInCell="1" allowOverlap="1">
              <wp:simplePos x="0" y="0"/>
              <wp:positionH relativeFrom="margin">
                <wp:align>right</wp:align>
              </wp:positionH>
              <wp:positionV relativeFrom="page">
                <wp:posOffset>9827260</wp:posOffset>
              </wp:positionV>
              <wp:extent cx="527050" cy="121920"/>
              <wp:effectExtent l="0" t="0" r="0" b="0"/>
              <wp:wrapNone/>
              <wp:docPr id="23" name="Shape 17"/>
              <wp:cNvGraphicFramePr/>
              <a:graphic xmlns:a="http://schemas.openxmlformats.org/drawingml/2006/main">
                <a:graphicData uri="http://schemas.microsoft.com/office/word/2010/wordprocessingShape">
                  <wps:wsp>
                    <wps:cNvSpPr txBox="1"/>
                    <wps:spPr>
                      <a:xfrm>
                        <a:off x="0" y="0"/>
                        <a:ext cx="527050" cy="121920"/>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7" o:spid="_x0000_s1026" o:spt="202" type="#_x0000_t202" style="position:absolute;left:0pt;margin-top:773.8pt;height:9.6pt;width:41.5pt;mso-position-horizontal:right;mso-position-horizontal-relative:margin;mso-position-vertical-relative:page;mso-wrap-style:none;z-index:251681792;mso-width-relative:page;mso-height-relative:page;" filled="f" stroked="f" coordsize="21600,21600" o:gfxdata="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uyO06NQAAAAJAQAADwAAAAAAAAABACAAAAAiAAAA&#10;ZHJzL2Rvd25yZXYueG1sUEsBAhQAFAAAAAgAh07iQLYT44jSAQAAugMAAA4AAAAAAAAAAQAgAAAA&#10;IwEAAGRycy9lMm9Eb2MueG1sUEsFBgAAAAAGAAYAWQEAAGcFA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82816" behindDoc="0" locked="0" layoutInCell="1" allowOverlap="1">
              <wp:simplePos x="0" y="0"/>
              <wp:positionH relativeFrom="margin">
                <wp:align>right</wp:align>
              </wp:positionH>
              <wp:positionV relativeFrom="page">
                <wp:posOffset>9827260</wp:posOffset>
              </wp:positionV>
              <wp:extent cx="524510" cy="125095"/>
              <wp:effectExtent l="0" t="0" r="0" b="0"/>
              <wp:wrapNone/>
              <wp:docPr id="24" name="Shape 19"/>
              <wp:cNvGraphicFramePr/>
              <a:graphic xmlns:a="http://schemas.openxmlformats.org/drawingml/2006/main">
                <a:graphicData uri="http://schemas.microsoft.com/office/word/2010/wordprocessingShape">
                  <wps:wsp>
                    <wps:cNvSpPr txBox="1"/>
                    <wps:spPr>
                      <a:xfrm>
                        <a:off x="0" y="0"/>
                        <a:ext cx="5245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9" o:spid="_x0000_s1026" o:spt="202" type="#_x0000_t202" style="position:absolute;left:0pt;margin-top:773.8pt;height:9.85pt;width:41.3pt;mso-position-horizontal:right;mso-position-horizontal-relative:margin;mso-position-vertical-relative:page;mso-wrap-style:none;z-index:251682816;mso-width-relative:page;mso-height-relative:page;" filled="f" stroked="f" coordsize="21600,21600" o:gfxdata="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ECwJYrVAAAACQEAAA8AAAAAAAAAAQAgAAAAIgAA&#10;AGRycy9kb3ducmV2LnhtbFBLAQIUABQAAAAIAIdO4kB87G400gEAALoDAAAOAAAAAAAAAAEAIAAA&#10;ACQBAABkcnMvZTJvRG9jLnhtbFBLBQYAAAAABgAGAFkBAABoBQ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83840" behindDoc="0" locked="0" layoutInCell="1" allowOverlap="1">
              <wp:simplePos x="0" y="0"/>
              <wp:positionH relativeFrom="margin">
                <wp:align>right</wp:align>
              </wp:positionH>
              <wp:positionV relativeFrom="page">
                <wp:posOffset>9827260</wp:posOffset>
              </wp:positionV>
              <wp:extent cx="435610" cy="125095"/>
              <wp:effectExtent l="0" t="0" r="0" b="0"/>
              <wp:wrapNone/>
              <wp:docPr id="25" name="Shape 21"/>
              <wp:cNvGraphicFramePr/>
              <a:graphic xmlns:a="http://schemas.openxmlformats.org/drawingml/2006/main">
                <a:graphicData uri="http://schemas.microsoft.com/office/word/2010/wordprocessingShape">
                  <wps:wsp>
                    <wps:cNvSpPr txBox="1"/>
                    <wps:spPr>
                      <a:xfrm>
                        <a:off x="0" y="0"/>
                        <a:ext cx="4356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1">
                      <a:spAutoFit/>
                    </wps:bodyPr>
                  </wps:wsp>
                </a:graphicData>
              </a:graphic>
            </wp:anchor>
          </w:drawing>
        </mc:Choice>
        <mc:Fallback>
          <w:pict>
            <v:shape id="Shape 21" o:spid="_x0000_s1026" o:spt="202" type="#_x0000_t202" style="position:absolute;left:0pt;margin-top:773.8pt;height:9.85pt;width:34.3pt;mso-position-horizontal:right;mso-position-horizontal-relative:margin;mso-position-vertical-relative:page;mso-wrap-style:none;z-index:251683840;mso-width-relative:page;mso-height-relative:page;" filled="f" stroked="f" coordsize="21600,21600" o:gfxdata="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9c/ZvVAAAACQEAAA8AAAAAAAAAAQAgAAAAIgAA&#10;AGRycy9kb3ducmV2LnhtbFBLAQIUABQAAAAIAIdO4kD1R7Lh0gEAALoDAAAOAAAAAAAAAAEAIAAA&#10;ACQBAABkcnMvZTJvRG9jLnhtbFBLBQYAAAAABgAGAFkBAABoBQ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84864" behindDoc="0" locked="0" layoutInCell="1" allowOverlap="1">
              <wp:simplePos x="0" y="0"/>
              <wp:positionH relativeFrom="margin">
                <wp:align>left</wp:align>
              </wp:positionH>
              <wp:positionV relativeFrom="page">
                <wp:posOffset>9827260</wp:posOffset>
              </wp:positionV>
              <wp:extent cx="527050" cy="121920"/>
              <wp:effectExtent l="0" t="0" r="0" b="0"/>
              <wp:wrapNone/>
              <wp:docPr id="26" name="Shape 17"/>
              <wp:cNvGraphicFramePr/>
              <a:graphic xmlns:a="http://schemas.openxmlformats.org/drawingml/2006/main">
                <a:graphicData uri="http://schemas.microsoft.com/office/word/2010/wordprocessingShape">
                  <wps:wsp>
                    <wps:cNvSpPr txBox="1"/>
                    <wps:spPr>
                      <a:xfrm>
                        <a:off x="0" y="0"/>
                        <a:ext cx="527050" cy="121920"/>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7" o:spid="_x0000_s1026" o:spt="202" type="#_x0000_t202" style="position:absolute;left:0pt;margin-top:773.8pt;height:9.6pt;width:41.5pt;mso-position-horizontal:left;mso-position-horizontal-relative:margin;mso-position-vertical-relative:page;mso-wrap-style:none;z-index:251684864;mso-width-relative:page;mso-height-relative:page;" filled="f" stroked="f" coordsize="21600,21600" o:gfxdata="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uyO06NQAAAAJAQAADwAAAAAAAAABACAAAAAiAAAA&#10;ZHJzL2Rvd25yZXYueG1sUEsBAhQAFAAAAAgAh07iQP81IjXSAQAAugMAAA4AAAAAAAAAAQAgAAAA&#10;IwEAAGRycy9lMm9Eb2MueG1sUEsFBgAAAAAGAAYAWQEAAGcFA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85888" behindDoc="0" locked="0" layoutInCell="1" allowOverlap="1">
              <wp:simplePos x="0" y="0"/>
              <wp:positionH relativeFrom="margin">
                <wp:align>left</wp:align>
              </wp:positionH>
              <wp:positionV relativeFrom="page">
                <wp:posOffset>9827260</wp:posOffset>
              </wp:positionV>
              <wp:extent cx="524510" cy="125095"/>
              <wp:effectExtent l="0" t="0" r="0" b="0"/>
              <wp:wrapNone/>
              <wp:docPr id="27" name="Shape 19"/>
              <wp:cNvGraphicFramePr/>
              <a:graphic xmlns:a="http://schemas.openxmlformats.org/drawingml/2006/main">
                <a:graphicData uri="http://schemas.microsoft.com/office/word/2010/wordprocessingShape">
                  <wps:wsp>
                    <wps:cNvSpPr txBox="1"/>
                    <wps:spPr>
                      <a:xfrm>
                        <a:off x="0" y="0"/>
                        <a:ext cx="5245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wps:txbx>
                    <wps:bodyPr vert="horz" wrap="none" lIns="0" tIns="0" rIns="0" bIns="0" anchor="t" anchorCtr="0" upright="1">
                      <a:spAutoFit/>
                    </wps:bodyPr>
                  </wps:wsp>
                </a:graphicData>
              </a:graphic>
            </wp:anchor>
          </w:drawing>
        </mc:Choice>
        <mc:Fallback>
          <w:pict>
            <v:shape id="Shape 19" o:spid="_x0000_s1026" o:spt="202" type="#_x0000_t202" style="position:absolute;left:0pt;margin-top:773.8pt;height:9.85pt;width:41.3pt;mso-position-horizontal:left;mso-position-horizontal-relative:margin;mso-position-vertical-relative:page;mso-wrap-style:none;z-index:251685888;mso-width-relative:page;mso-height-relative:page;" filled="f" stroked="f" coordsize="21600,21600" o:gfxdata="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ECwJYrVAAAACQEAAA8AAAAAAAAAAQAgAAAAIgAA&#10;AGRycy9kb3ducmV2LnhtbFBLAQIUABQAAAAIAIdO4kCE8/7p0gEAALoDAAAOAAAAAAAAAAEAIAAA&#10;ACQBAABkcnMvZTJvRG9jLnhtbFBLBQYAAAAABgAGAFkBAABoBQ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ge">
                <wp:posOffset>9827260</wp:posOffset>
              </wp:positionV>
              <wp:extent cx="435610" cy="125095"/>
              <wp:effectExtent l="0" t="0" r="0" b="0"/>
              <wp:wrapNone/>
              <wp:docPr id="28" name="Shape 21"/>
              <wp:cNvGraphicFramePr/>
              <a:graphic xmlns:a="http://schemas.openxmlformats.org/drawingml/2006/main">
                <a:graphicData uri="http://schemas.microsoft.com/office/word/2010/wordprocessingShape">
                  <wps:wsp>
                    <wps:cNvSpPr txBox="1"/>
                    <wps:spPr>
                      <a:xfrm>
                        <a:off x="0" y="0"/>
                        <a:ext cx="43561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1">
                      <a:spAutoFit/>
                    </wps:bodyPr>
                  </wps:wsp>
                </a:graphicData>
              </a:graphic>
            </wp:anchor>
          </w:drawing>
        </mc:Choice>
        <mc:Fallback>
          <w:pict>
            <v:shape id="Shape 21" o:spid="_x0000_s1026" o:spt="202" type="#_x0000_t202" style="position:absolute;left:0pt;margin-top:773.8pt;height:9.85pt;width:34.3pt;mso-position-horizontal:left;mso-position-horizontal-relative:margin;mso-position-vertical-relative:page;mso-wrap-style:none;z-index:251686912;mso-width-relative:page;mso-height-relative:page;" filled="f" stroked="f" coordsize="21600,21600" o:gfxdata="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9c/ZvVAAAACQEAAA8AAAAAAAAAAQAgAAAAIgAA&#10;AGRycy9kb3ducmV2LnhtbFBLAQIUABQAAAAIAIdO4kA/PmBq0gEAALoDAAAOAAAAAAAAAAEAIAAA&#10;ACQBAABkcnMvZTJvRG9jLnhtbFBLBQYAAAAABgAGAFkBAABoBQ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ge">
                <wp:posOffset>9827260</wp:posOffset>
              </wp:positionV>
              <wp:extent cx="527050" cy="125095"/>
              <wp:effectExtent l="0" t="0" r="0" b="0"/>
              <wp:wrapNone/>
              <wp:docPr id="4" name="Shape 23"/>
              <wp:cNvGraphicFramePr/>
              <a:graphic xmlns:a="http://schemas.openxmlformats.org/drawingml/2006/main">
                <a:graphicData uri="http://schemas.microsoft.com/office/word/2010/wordprocessingShape">
                  <wps:wsp>
                    <wps:cNvSpPr txBox="1"/>
                    <wps:spPr>
                      <a:xfrm>
                        <a:off x="0" y="0"/>
                        <a:ext cx="52705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9</w:t>
                          </w:r>
                          <w:r>
                            <w:fldChar w:fldCharType="end"/>
                          </w:r>
                          <w:r>
                            <w:t xml:space="preserve"> —</w:t>
                          </w:r>
                        </w:p>
                      </w:txbxContent>
                    </wps:txbx>
                    <wps:bodyPr vert="horz" wrap="none" lIns="0" tIns="0" rIns="0" bIns="0" anchor="t" anchorCtr="0" upright="1">
                      <a:spAutoFit/>
                    </wps:bodyPr>
                  </wps:wsp>
                </a:graphicData>
              </a:graphic>
            </wp:anchor>
          </w:drawing>
        </mc:Choice>
        <mc:Fallback>
          <w:pict>
            <v:shape id="Shape 23" o:spid="_x0000_s1026" o:spt="202" type="#_x0000_t202" style="position:absolute;left:0pt;margin-top:773.8pt;height:9.85pt;width:41.5pt;mso-position-horizontal:left;mso-position-horizontal-relative:margin;mso-position-vertical-relative:page;mso-wrap-style:none;z-index:251662336;mso-width-relative:page;mso-height-relative:page;" filled="f" stroked="f" coordsize="21600,21600" o:gfxdata="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RgyQn1AAAAAkBAAAPAAAAAAAAAAEAIAAAACIAAABk&#10;cnMvZG93bnJldi54bWxQSwECFAAUAAAACACHTuJAdl4oGdEBAAC5AwAADgAAAAAAAAABACAAAAAj&#10;AQAAZHJzL2Uyb0RvYy54bWxQSwUGAAAAAAYABgBZAQAAZgU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9</w:t>
                    </w:r>
                    <w:r>
                      <w:fldChar w:fldCharType="end"/>
                    </w:r>
                    <w:r>
                      <w:t xml:space="preserve"> —</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ge">
                <wp:posOffset>9827260</wp:posOffset>
              </wp:positionV>
              <wp:extent cx="524510" cy="121920"/>
              <wp:effectExtent l="0" t="0" r="0" b="0"/>
              <wp:wrapNone/>
              <wp:docPr id="5" name="Shape 25"/>
              <wp:cNvGraphicFramePr/>
              <a:graphic xmlns:a="http://schemas.openxmlformats.org/drawingml/2006/main">
                <a:graphicData uri="http://schemas.microsoft.com/office/word/2010/wordprocessingShape">
                  <wps:wsp>
                    <wps:cNvSpPr txBox="1"/>
                    <wps:spPr>
                      <a:xfrm>
                        <a:off x="0" y="0"/>
                        <a:ext cx="524510" cy="121920"/>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1">
                      <a:spAutoFit/>
                    </wps:bodyPr>
                  </wps:wsp>
                </a:graphicData>
              </a:graphic>
            </wp:anchor>
          </w:drawing>
        </mc:Choice>
        <mc:Fallback>
          <w:pict>
            <v:shape id="Shape 25" o:spid="_x0000_s1026" o:spt="202" type="#_x0000_t202" style="position:absolute;left:0pt;margin-top:773.8pt;height:9.6pt;width:41.3pt;mso-position-horizontal:left;mso-position-horizontal-relative:margin;mso-position-vertical-relative:page;mso-wrap-style:none;z-index:251663360;mso-width-relative:page;mso-height-relative:page;" filled="f" stroked="f" coordsize="21600,21600" o:gfxdata="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hC1RdUAAAAJAQAADwAAAAAAAAABACAAAAAiAAAA&#10;ZHJzL2Rvd25yZXYueG1sUEsBAhQAFAAAAAgAh07iQKO/vkLRAQAAuQMAAA4AAAAAAAAAAQAgAAAA&#10;JAEAAGRycy9lMm9Eb2MueG1sUEsFBgAAAAAGAAYAWQEAAGcFA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87936" behindDoc="0" locked="0" layoutInCell="1" allowOverlap="1">
              <wp:simplePos x="0" y="0"/>
              <wp:positionH relativeFrom="margin">
                <wp:align>right</wp:align>
              </wp:positionH>
              <wp:positionV relativeFrom="page">
                <wp:posOffset>9827260</wp:posOffset>
              </wp:positionV>
              <wp:extent cx="527050" cy="125095"/>
              <wp:effectExtent l="0" t="0" r="0" b="0"/>
              <wp:wrapNone/>
              <wp:docPr id="29" name="Shape 23"/>
              <wp:cNvGraphicFramePr/>
              <a:graphic xmlns:a="http://schemas.openxmlformats.org/drawingml/2006/main">
                <a:graphicData uri="http://schemas.microsoft.com/office/word/2010/wordprocessingShape">
                  <wps:wsp>
                    <wps:cNvSpPr txBox="1"/>
                    <wps:spPr>
                      <a:xfrm>
                        <a:off x="0" y="0"/>
                        <a:ext cx="527050" cy="125095"/>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9</w:t>
                          </w:r>
                          <w:r>
                            <w:fldChar w:fldCharType="end"/>
                          </w:r>
                          <w:r>
                            <w:t xml:space="preserve"> —</w:t>
                          </w:r>
                        </w:p>
                      </w:txbxContent>
                    </wps:txbx>
                    <wps:bodyPr vert="horz" wrap="none" lIns="0" tIns="0" rIns="0" bIns="0" anchor="t" anchorCtr="0" upright="1">
                      <a:spAutoFit/>
                    </wps:bodyPr>
                  </wps:wsp>
                </a:graphicData>
              </a:graphic>
            </wp:anchor>
          </w:drawing>
        </mc:Choice>
        <mc:Fallback>
          <w:pict>
            <v:shape id="Shape 23" o:spid="_x0000_s1026" o:spt="202" type="#_x0000_t202" style="position:absolute;left:0pt;margin-top:773.8pt;height:9.85pt;width:41.5pt;mso-position-horizontal:right;mso-position-horizontal-relative:margin;mso-position-vertical-relative:page;mso-wrap-style:none;z-index:251687936;mso-width-relative:page;mso-height-relative:page;" filled="f" stroked="f" coordsize="21600,21600" o:gfxdata="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0YMkJ9QAAAAJAQAADwAAAAAAAAABACAAAAAiAAAA&#10;ZHJzL2Rvd25yZXYueG1sUEsBAhQAFAAAAAgAh07iQHa0PHzSAQAAugMAAA4AAAAAAAAAAQAgAAAA&#10;IwEAAGRycy9lMm9Eb2MueG1sUEsFBgAAAAAGAAYAWQEAAGcFA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9</w:t>
                    </w:r>
                    <w:r>
                      <w:fldChar w:fldCharType="end"/>
                    </w:r>
                    <w:r>
                      <w:t xml:space="preserve"> —</w:t>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88960" behindDoc="0" locked="0" layoutInCell="1" allowOverlap="1">
              <wp:simplePos x="0" y="0"/>
              <wp:positionH relativeFrom="margin">
                <wp:align>right</wp:align>
              </wp:positionH>
              <wp:positionV relativeFrom="page">
                <wp:posOffset>9827260</wp:posOffset>
              </wp:positionV>
              <wp:extent cx="524510" cy="121920"/>
              <wp:effectExtent l="0" t="0" r="0" b="0"/>
              <wp:wrapNone/>
              <wp:docPr id="30" name="Shape 25"/>
              <wp:cNvGraphicFramePr/>
              <a:graphic xmlns:a="http://schemas.openxmlformats.org/drawingml/2006/main">
                <a:graphicData uri="http://schemas.microsoft.com/office/word/2010/wordprocessingShape">
                  <wps:wsp>
                    <wps:cNvSpPr txBox="1"/>
                    <wps:spPr>
                      <a:xfrm>
                        <a:off x="0" y="0"/>
                        <a:ext cx="524510" cy="121920"/>
                      </a:xfrm>
                      <a:prstGeom prst="rect">
                        <a:avLst/>
                      </a:prstGeom>
                      <a:noFill/>
                      <a:ln>
                        <a:noFill/>
                      </a:ln>
                    </wps:spPr>
                    <wps:txbx>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1">
                      <a:spAutoFit/>
                    </wps:bodyPr>
                  </wps:wsp>
                </a:graphicData>
              </a:graphic>
            </wp:anchor>
          </w:drawing>
        </mc:Choice>
        <mc:Fallback>
          <w:pict>
            <v:shape id="Shape 25" o:spid="_x0000_s1026" o:spt="202" type="#_x0000_t202" style="position:absolute;left:0pt;margin-top:773.8pt;height:9.6pt;width:41.3pt;mso-position-horizontal:right;mso-position-horizontal-relative:margin;mso-position-vertical-relative:page;mso-wrap-style:none;z-index:251688960;mso-width-relative:page;mso-height-relative:page;" filled="f" stroked="f" coordsize="21600,21600" o:gfxdata="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hC1RdUAAAAJAQAADwAAAAAAAAABACAAAAAiAAAA&#10;ZHJzL2Rvd25yZXYueG1sUEsBAhQAFAAAAAgAh07iQPBR/8nRAQAAugMAAA4AAAAAAAAAAQAgAAAA&#10;JAEAAGRycy9lMm9Eb2MueG1sUEsFBgAAAAAGAAYAWQEAAGcFAAAAAA==&#10;">
              <v:fill on="f" focussize="0,0"/>
              <v:stroke on="f"/>
              <v:imagedata o:title=""/>
              <o:lock v:ext="edit" aspectratio="f"/>
              <v:textbox inset="0mm,0mm,0mm,0mm" style="mso-fit-shape-to-text:t;">
                <w:txbxContent>
                  <w:p>
                    <w:pPr>
                      <w:pStyle w:val="1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ge">
                <wp:posOffset>9827260</wp:posOffset>
              </wp:positionV>
              <wp:extent cx="582295" cy="140335"/>
              <wp:effectExtent l="0" t="0" r="0" b="0"/>
              <wp:wrapNone/>
              <wp:docPr id="6" name="Shape 27"/>
              <wp:cNvGraphicFramePr/>
              <a:graphic xmlns:a="http://schemas.openxmlformats.org/drawingml/2006/main">
                <a:graphicData uri="http://schemas.microsoft.com/office/word/2010/wordprocessingShape">
                  <wps:wsp>
                    <wps:cNvSpPr txBox="1"/>
                    <wps:spPr>
                      <a:xfrm>
                        <a:off x="0" y="0"/>
                        <a:ext cx="582295" cy="140335"/>
                      </a:xfrm>
                      <a:prstGeom prst="rect">
                        <a:avLst/>
                      </a:prstGeom>
                      <a:noFill/>
                      <a:ln>
                        <a:noFill/>
                      </a:ln>
                    </wps:spPr>
                    <wps:txbx>
                      <w:txbxContent>
                        <w:p>
                          <w:pPr>
                            <w:pStyle w:val="17"/>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11</w:t>
                          </w:r>
                          <w:r>
                            <w:rPr>
                              <w:sz w:val="22"/>
                              <w:szCs w:val="22"/>
                            </w:rPr>
                            <w:fldChar w:fldCharType="end"/>
                          </w:r>
                          <w:r>
                            <w:rPr>
                              <w:sz w:val="22"/>
                              <w:szCs w:val="22"/>
                            </w:rPr>
                            <w:t xml:space="preserve"> —</w:t>
                          </w:r>
                        </w:p>
                      </w:txbxContent>
                    </wps:txbx>
                    <wps:bodyPr vert="horz" wrap="none" lIns="0" tIns="0" rIns="0" bIns="0" anchor="t" anchorCtr="0" upright="1">
                      <a:spAutoFit/>
                    </wps:bodyPr>
                  </wps:wsp>
                </a:graphicData>
              </a:graphic>
            </wp:anchor>
          </w:drawing>
        </mc:Choice>
        <mc:Fallback>
          <w:pict>
            <v:shape id="Shape 27" o:spid="_x0000_s1026" o:spt="202" type="#_x0000_t202" style="position:absolute;left:0pt;margin-top:773.8pt;height:11.05pt;width:45.85pt;mso-position-horizontal:right;mso-position-horizontal-relative:margin;mso-position-vertical-relative:page;mso-wrap-style:none;z-index:251664384;mso-width-relative:page;mso-height-relative:page;" filled="f" stroked="f" coordsize="21600,21600" o:gfxdata="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o4vRT1QAAAAkBAAAPAAAAAAAAAAEAIAAAACIA&#10;AABkcnMvZG93bnJldi54bWxQSwECFAAUAAAACACHTuJA/+ld39MBAAC5AwAADgAAAAAAAAABACAA&#10;AAAkAQAAZHJzL2Uyb0RvYy54bWxQSwUGAAAAAAYABgBZAQAAaQUAAAAA&#10;">
              <v:fill on="f" focussize="0,0"/>
              <v:stroke on="f"/>
              <v:imagedata o:title=""/>
              <o:lock v:ext="edit" aspectratio="f"/>
              <v:textbox inset="0mm,0mm,0mm,0mm" style="mso-fit-shape-to-text:t;">
                <w:txbxContent>
                  <w:p>
                    <w:pPr>
                      <w:pStyle w:val="17"/>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11</w:t>
                    </w:r>
                    <w:r>
                      <w:rPr>
                        <w:sz w:val="22"/>
                        <w:szCs w:val="22"/>
                      </w:rPr>
                      <w:fldChar w:fldCharType="end"/>
                    </w:r>
                    <w:r>
                      <w:rPr>
                        <w:sz w:val="22"/>
                        <w:szCs w:val="22"/>
                      </w:rPr>
                      <w:t xml:space="preserve"> —</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ge">
                <wp:posOffset>9827260</wp:posOffset>
              </wp:positionV>
              <wp:extent cx="582295" cy="140335"/>
              <wp:effectExtent l="0" t="0" r="0" b="0"/>
              <wp:wrapNone/>
              <wp:docPr id="7" name="Shape 29"/>
              <wp:cNvGraphicFramePr/>
              <a:graphic xmlns:a="http://schemas.openxmlformats.org/drawingml/2006/main">
                <a:graphicData uri="http://schemas.microsoft.com/office/word/2010/wordprocessingShape">
                  <wps:wsp>
                    <wps:cNvSpPr txBox="1"/>
                    <wps:spPr>
                      <a:xfrm>
                        <a:off x="0" y="0"/>
                        <a:ext cx="582295" cy="140335"/>
                      </a:xfrm>
                      <a:prstGeom prst="rect">
                        <a:avLst/>
                      </a:prstGeom>
                      <a:noFill/>
                      <a:ln>
                        <a:noFill/>
                      </a:ln>
                    </wps:spPr>
                    <wps:txbx>
                      <w:txbxContent>
                        <w:p>
                          <w:pPr>
                            <w:pStyle w:val="17"/>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r>
                            <w:rPr>
                              <w:sz w:val="22"/>
                              <w:szCs w:val="22"/>
                            </w:rPr>
                            <w:t xml:space="preserve"> —</w:t>
                          </w:r>
                        </w:p>
                      </w:txbxContent>
                    </wps:txbx>
                    <wps:bodyPr vert="horz" wrap="none" lIns="0" tIns="0" rIns="0" bIns="0" anchor="t" anchorCtr="0" upright="1">
                      <a:spAutoFit/>
                    </wps:bodyPr>
                  </wps:wsp>
                </a:graphicData>
              </a:graphic>
            </wp:anchor>
          </w:drawing>
        </mc:Choice>
        <mc:Fallback>
          <w:pict>
            <v:shape id="Shape 29" o:spid="_x0000_s1026" o:spt="202" type="#_x0000_t202" style="position:absolute;left:0pt;margin-top:773.8pt;height:11.05pt;width:45.85pt;mso-position-horizontal:right;mso-position-horizontal-relative:margin;mso-position-vertical-relative:page;mso-wrap-style:none;z-index:251665408;mso-width-relative:page;mso-height-relative:page;" filled="f" stroked="f" coordsize="21600,21600" o:gfxdata="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o4vRT1QAAAAkBAAAPAAAAAAAAAAEAIAAAACIA&#10;AABkcnMvZG93bnJldi54bWxQSwECFAAUAAAACACHTuJA5d2onNMBAAC5AwAADgAAAAAAAAABACAA&#10;AAAkAQAAZHJzL2Uyb0RvYy54bWxQSwUGAAAAAAYABgBZAQAAaQUAAAAA&#10;">
              <v:fill on="f" focussize="0,0"/>
              <v:stroke on="f"/>
              <v:imagedata o:title=""/>
              <o:lock v:ext="edit" aspectratio="f"/>
              <v:textbox inset="0mm,0mm,0mm,0mm" style="mso-fit-shape-to-text:t;">
                <w:txbxContent>
                  <w:p>
                    <w:pPr>
                      <w:pStyle w:val="17"/>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r>
                      <w:rPr>
                        <w:sz w:val="22"/>
                        <w:szCs w:val="22"/>
                      </w:rPr>
                      <w:t xml:space="preserve"> —</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evenAndOddHeaders w:val="1"/>
  <w:drawingGridHorizontalSpacing w:val="181"/>
  <w:drawingGridVerticalSpacing w:val="181"/>
  <w:characterSpacingControl w:val="compressPunctuation"/>
  <w:hdrShapeDefaults>
    <o:shapelayout v:ext="edit">
      <o:idmap v:ext="edit" data="1"/>
    </o:shapelayout>
  </w:hdrShapeDefault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kODc2ZTRkZDlmNmI5MTk3ZDAwZDEzNTY4OTExMzAifQ=="/>
  </w:docVars>
  <w:rsids>
    <w:rsidRoot w:val="003B44F2"/>
    <w:rsid w:val="00032308"/>
    <w:rsid w:val="000473D2"/>
    <w:rsid w:val="000A532E"/>
    <w:rsid w:val="001301DA"/>
    <w:rsid w:val="001312BC"/>
    <w:rsid w:val="001439BB"/>
    <w:rsid w:val="0017352A"/>
    <w:rsid w:val="00182CC6"/>
    <w:rsid w:val="00197B61"/>
    <w:rsid w:val="001A0671"/>
    <w:rsid w:val="001A0EDF"/>
    <w:rsid w:val="00225B6A"/>
    <w:rsid w:val="002521E6"/>
    <w:rsid w:val="00254510"/>
    <w:rsid w:val="00257452"/>
    <w:rsid w:val="00282179"/>
    <w:rsid w:val="002E1BEC"/>
    <w:rsid w:val="00360049"/>
    <w:rsid w:val="003901AF"/>
    <w:rsid w:val="0039669B"/>
    <w:rsid w:val="003B44F2"/>
    <w:rsid w:val="00405CB3"/>
    <w:rsid w:val="00416B33"/>
    <w:rsid w:val="00451D4F"/>
    <w:rsid w:val="00497E39"/>
    <w:rsid w:val="004A5E37"/>
    <w:rsid w:val="004C0E4B"/>
    <w:rsid w:val="004E4E3D"/>
    <w:rsid w:val="00592500"/>
    <w:rsid w:val="005B1659"/>
    <w:rsid w:val="00686A3A"/>
    <w:rsid w:val="006A50F5"/>
    <w:rsid w:val="006B266A"/>
    <w:rsid w:val="006E32FF"/>
    <w:rsid w:val="00701AA7"/>
    <w:rsid w:val="00753D46"/>
    <w:rsid w:val="00760EBD"/>
    <w:rsid w:val="00761D50"/>
    <w:rsid w:val="00775DE2"/>
    <w:rsid w:val="00776B2F"/>
    <w:rsid w:val="00794163"/>
    <w:rsid w:val="007D32C0"/>
    <w:rsid w:val="007E1336"/>
    <w:rsid w:val="00853FDA"/>
    <w:rsid w:val="008C291C"/>
    <w:rsid w:val="008F4A05"/>
    <w:rsid w:val="009144C1"/>
    <w:rsid w:val="00963475"/>
    <w:rsid w:val="00976231"/>
    <w:rsid w:val="00990E3B"/>
    <w:rsid w:val="009A18A3"/>
    <w:rsid w:val="009B1821"/>
    <w:rsid w:val="009B1877"/>
    <w:rsid w:val="00A571D2"/>
    <w:rsid w:val="00A94E82"/>
    <w:rsid w:val="00AD1106"/>
    <w:rsid w:val="00B162EC"/>
    <w:rsid w:val="00B32E8D"/>
    <w:rsid w:val="00B3339F"/>
    <w:rsid w:val="00BD5BCE"/>
    <w:rsid w:val="00C34EB5"/>
    <w:rsid w:val="00C350F7"/>
    <w:rsid w:val="00CA48AC"/>
    <w:rsid w:val="00CB5291"/>
    <w:rsid w:val="00CC64F1"/>
    <w:rsid w:val="00CF3EA1"/>
    <w:rsid w:val="00D36572"/>
    <w:rsid w:val="00D66CCA"/>
    <w:rsid w:val="00D70905"/>
    <w:rsid w:val="00D7179A"/>
    <w:rsid w:val="00D82943"/>
    <w:rsid w:val="00DA3ECA"/>
    <w:rsid w:val="00DB1CD0"/>
    <w:rsid w:val="00E6341E"/>
    <w:rsid w:val="00E66300"/>
    <w:rsid w:val="00E679E4"/>
    <w:rsid w:val="00EA793E"/>
    <w:rsid w:val="00EE55CD"/>
    <w:rsid w:val="00F54840"/>
    <w:rsid w:val="00F550EA"/>
    <w:rsid w:val="00FE3FE0"/>
    <w:rsid w:val="05524699"/>
    <w:rsid w:val="07140111"/>
    <w:rsid w:val="0A1B398D"/>
    <w:rsid w:val="10D17073"/>
    <w:rsid w:val="1E62130A"/>
    <w:rsid w:val="283A39F4"/>
    <w:rsid w:val="285036BF"/>
    <w:rsid w:val="2A796283"/>
    <w:rsid w:val="2B6471F9"/>
    <w:rsid w:val="2F406849"/>
    <w:rsid w:val="388452AA"/>
    <w:rsid w:val="3DFC4E7F"/>
    <w:rsid w:val="430D368B"/>
    <w:rsid w:val="440525B4"/>
    <w:rsid w:val="525B4C52"/>
    <w:rsid w:val="5D4B4042"/>
    <w:rsid w:val="5E027586"/>
    <w:rsid w:val="65861A1B"/>
    <w:rsid w:val="65E9543A"/>
    <w:rsid w:val="65EE16DE"/>
    <w:rsid w:val="6ABC3CA5"/>
    <w:rsid w:val="70D2369A"/>
    <w:rsid w:val="73BF1B3F"/>
    <w:rsid w:val="73E13004"/>
    <w:rsid w:val="79632EB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7"/>
    <w:qFormat/>
    <w:uiPriority w:val="0"/>
    <w:pPr>
      <w:tabs>
        <w:tab w:val="center" w:pos="4153"/>
        <w:tab w:val="right" w:pos="8306"/>
      </w:tabs>
      <w:snapToGrid w:val="0"/>
    </w:pPr>
    <w:rPr>
      <w:rFonts w:eastAsia="宋体"/>
      <w:color w:val="auto"/>
      <w:kern w:val="2"/>
      <w:sz w:val="18"/>
      <w:szCs w:val="20"/>
      <w:lang w:eastAsia="zh-CN" w:bidi="ar-SA"/>
    </w:rPr>
  </w:style>
  <w:style w:type="paragraph" w:styleId="3">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25"/>
    <w:qFormat/>
    <w:uiPriority w:val="0"/>
    <w:pPr>
      <w:spacing w:before="240" w:after="60"/>
      <w:jc w:val="center"/>
      <w:outlineLvl w:val="0"/>
    </w:pPr>
    <w:rPr>
      <w:rFonts w:eastAsia="宋体" w:asciiTheme="majorHAnsi" w:hAnsiTheme="majorHAnsi" w:cstheme="majorBidi"/>
      <w:b/>
      <w:bCs/>
      <w:sz w:val="32"/>
      <w:szCs w:val="32"/>
    </w:rPr>
  </w:style>
  <w:style w:type="character" w:styleId="7">
    <w:name w:val="page number"/>
    <w:basedOn w:val="6"/>
    <w:qFormat/>
    <w:uiPriority w:val="0"/>
  </w:style>
  <w:style w:type="character" w:customStyle="1" w:styleId="8">
    <w:name w:val="Heading #1|1_"/>
    <w:basedOn w:val="6"/>
    <w:link w:val="9"/>
    <w:qFormat/>
    <w:uiPriority w:val="0"/>
    <w:rPr>
      <w:rFonts w:ascii="宋体" w:hAnsi="宋体" w:eastAsia="宋体" w:cs="宋体"/>
      <w:color w:val="F96351"/>
      <w:sz w:val="98"/>
      <w:szCs w:val="98"/>
      <w:u w:val="none"/>
      <w:shd w:val="clear" w:color="auto" w:fill="auto"/>
      <w:lang w:val="zh-TW" w:eastAsia="zh-TW" w:bidi="zh-TW"/>
    </w:rPr>
  </w:style>
  <w:style w:type="paragraph" w:customStyle="1" w:styleId="9">
    <w:name w:val="Heading #1|1"/>
    <w:basedOn w:val="1"/>
    <w:link w:val="8"/>
    <w:qFormat/>
    <w:uiPriority w:val="0"/>
    <w:pPr>
      <w:spacing w:after="780"/>
      <w:jc w:val="center"/>
      <w:outlineLvl w:val="0"/>
    </w:pPr>
    <w:rPr>
      <w:rFonts w:ascii="宋体" w:hAnsi="宋体" w:eastAsia="宋体" w:cs="宋体"/>
      <w:color w:val="F96351"/>
      <w:sz w:val="98"/>
      <w:szCs w:val="98"/>
      <w:lang w:val="zh-TW" w:eastAsia="zh-TW" w:bidi="zh-TW"/>
    </w:rPr>
  </w:style>
  <w:style w:type="character" w:customStyle="1" w:styleId="10">
    <w:name w:val="Header or footer|2_"/>
    <w:basedOn w:val="6"/>
    <w:link w:val="11"/>
    <w:qFormat/>
    <w:uiPriority w:val="0"/>
    <w:rPr>
      <w:sz w:val="20"/>
      <w:szCs w:val="20"/>
      <w:u w:val="none"/>
      <w:shd w:val="clear" w:color="auto" w:fill="auto"/>
      <w:lang w:val="zh-TW" w:eastAsia="zh-TW" w:bidi="zh-TW"/>
    </w:rPr>
  </w:style>
  <w:style w:type="paragraph" w:customStyle="1" w:styleId="11">
    <w:name w:val="Header or footer|2"/>
    <w:basedOn w:val="1"/>
    <w:link w:val="10"/>
    <w:qFormat/>
    <w:uiPriority w:val="0"/>
    <w:rPr>
      <w:sz w:val="20"/>
      <w:szCs w:val="20"/>
      <w:lang w:val="zh-TW" w:eastAsia="zh-TW" w:bidi="zh-TW"/>
    </w:rPr>
  </w:style>
  <w:style w:type="character" w:customStyle="1" w:styleId="12">
    <w:name w:val="Body text|1_"/>
    <w:basedOn w:val="6"/>
    <w:link w:val="13"/>
    <w:qFormat/>
    <w:uiPriority w:val="0"/>
    <w:rPr>
      <w:rFonts w:ascii="宋体" w:hAnsi="宋体" w:eastAsia="宋体" w:cs="宋体"/>
      <w:sz w:val="28"/>
      <w:szCs w:val="28"/>
      <w:u w:val="none"/>
      <w:shd w:val="clear" w:color="auto" w:fill="auto"/>
      <w:lang w:val="zh-TW" w:eastAsia="zh-TW" w:bidi="zh-TW"/>
    </w:rPr>
  </w:style>
  <w:style w:type="paragraph" w:customStyle="1" w:styleId="13">
    <w:name w:val="Body text|1"/>
    <w:basedOn w:val="1"/>
    <w:link w:val="12"/>
    <w:qFormat/>
    <w:uiPriority w:val="0"/>
    <w:pPr>
      <w:spacing w:line="451" w:lineRule="auto"/>
      <w:ind w:firstLine="400"/>
    </w:pPr>
    <w:rPr>
      <w:rFonts w:ascii="宋体" w:hAnsi="宋体" w:eastAsia="宋体" w:cs="宋体"/>
      <w:sz w:val="28"/>
      <w:szCs w:val="28"/>
      <w:lang w:val="zh-TW" w:eastAsia="zh-TW" w:bidi="zh-TW"/>
    </w:rPr>
  </w:style>
  <w:style w:type="character" w:customStyle="1" w:styleId="14">
    <w:name w:val="Heading #2|1_"/>
    <w:basedOn w:val="6"/>
    <w:link w:val="15"/>
    <w:qFormat/>
    <w:uiPriority w:val="0"/>
    <w:rPr>
      <w:rFonts w:ascii="宋体" w:hAnsi="宋体" w:eastAsia="宋体" w:cs="宋体"/>
      <w:sz w:val="44"/>
      <w:szCs w:val="44"/>
      <w:u w:val="none"/>
      <w:shd w:val="clear" w:color="auto" w:fill="auto"/>
      <w:lang w:val="zh-TW" w:eastAsia="zh-TW" w:bidi="zh-TW"/>
    </w:rPr>
  </w:style>
  <w:style w:type="paragraph" w:customStyle="1" w:styleId="15">
    <w:name w:val="Heading #2|1"/>
    <w:basedOn w:val="1"/>
    <w:link w:val="14"/>
    <w:qFormat/>
    <w:uiPriority w:val="0"/>
    <w:pPr>
      <w:spacing w:before="300" w:after="660" w:line="730" w:lineRule="exact"/>
      <w:jc w:val="center"/>
      <w:outlineLvl w:val="1"/>
    </w:pPr>
    <w:rPr>
      <w:rFonts w:ascii="宋体" w:hAnsi="宋体" w:eastAsia="宋体" w:cs="宋体"/>
      <w:sz w:val="44"/>
      <w:szCs w:val="44"/>
      <w:lang w:val="zh-TW" w:eastAsia="zh-TW" w:bidi="zh-TW"/>
    </w:rPr>
  </w:style>
  <w:style w:type="character" w:customStyle="1" w:styleId="16">
    <w:name w:val="Header or footer|1_"/>
    <w:basedOn w:val="6"/>
    <w:link w:val="17"/>
    <w:qFormat/>
    <w:uiPriority w:val="0"/>
    <w:rPr>
      <w:rFonts w:ascii="宋体" w:hAnsi="宋体" w:eastAsia="宋体" w:cs="宋体"/>
      <w:sz w:val="26"/>
      <w:szCs w:val="26"/>
      <w:u w:val="none"/>
      <w:shd w:val="clear" w:color="auto" w:fill="auto"/>
    </w:rPr>
  </w:style>
  <w:style w:type="paragraph" w:customStyle="1" w:styleId="17">
    <w:name w:val="Header or footer|1"/>
    <w:basedOn w:val="1"/>
    <w:link w:val="16"/>
    <w:qFormat/>
    <w:uiPriority w:val="0"/>
    <w:rPr>
      <w:rFonts w:ascii="宋体" w:hAnsi="宋体" w:eastAsia="宋体" w:cs="宋体"/>
      <w:sz w:val="26"/>
      <w:szCs w:val="26"/>
    </w:rPr>
  </w:style>
  <w:style w:type="character" w:customStyle="1" w:styleId="18">
    <w:name w:val="Body text|2_"/>
    <w:basedOn w:val="6"/>
    <w:link w:val="19"/>
    <w:qFormat/>
    <w:uiPriority w:val="0"/>
    <w:rPr>
      <w:rFonts w:ascii="宋体" w:hAnsi="宋体" w:eastAsia="宋体" w:cs="宋体"/>
      <w:sz w:val="34"/>
      <w:szCs w:val="34"/>
      <w:u w:val="none"/>
      <w:shd w:val="clear" w:color="auto" w:fill="auto"/>
      <w:lang w:val="zh-TW" w:eastAsia="zh-TW" w:bidi="zh-TW"/>
    </w:rPr>
  </w:style>
  <w:style w:type="paragraph" w:customStyle="1" w:styleId="19">
    <w:name w:val="Body text|2"/>
    <w:basedOn w:val="1"/>
    <w:link w:val="18"/>
    <w:qFormat/>
    <w:uiPriority w:val="0"/>
    <w:pPr>
      <w:spacing w:after="280"/>
      <w:jc w:val="center"/>
    </w:pPr>
    <w:rPr>
      <w:rFonts w:ascii="宋体" w:hAnsi="宋体" w:eastAsia="宋体" w:cs="宋体"/>
      <w:sz w:val="34"/>
      <w:szCs w:val="34"/>
      <w:lang w:val="zh-TW" w:eastAsia="zh-TW" w:bidi="zh-TW"/>
    </w:rPr>
  </w:style>
  <w:style w:type="character" w:customStyle="1" w:styleId="20">
    <w:name w:val="Table caption|1_"/>
    <w:basedOn w:val="6"/>
    <w:link w:val="21"/>
    <w:qFormat/>
    <w:uiPriority w:val="0"/>
    <w:rPr>
      <w:rFonts w:ascii="宋体" w:hAnsi="宋体" w:eastAsia="宋体" w:cs="宋体"/>
      <w:sz w:val="22"/>
      <w:szCs w:val="22"/>
      <w:u w:val="none"/>
      <w:shd w:val="clear" w:color="auto" w:fill="auto"/>
      <w:lang w:val="zh-TW" w:eastAsia="zh-TW" w:bidi="zh-TW"/>
    </w:rPr>
  </w:style>
  <w:style w:type="paragraph" w:customStyle="1" w:styleId="21">
    <w:name w:val="Table caption|1"/>
    <w:basedOn w:val="1"/>
    <w:link w:val="20"/>
    <w:qFormat/>
    <w:uiPriority w:val="0"/>
    <w:rPr>
      <w:rFonts w:ascii="宋体" w:hAnsi="宋体" w:eastAsia="宋体" w:cs="宋体"/>
      <w:sz w:val="22"/>
      <w:szCs w:val="22"/>
      <w:lang w:val="zh-TW" w:eastAsia="zh-TW" w:bidi="zh-TW"/>
    </w:rPr>
  </w:style>
  <w:style w:type="character" w:customStyle="1" w:styleId="22">
    <w:name w:val="Other|1_"/>
    <w:basedOn w:val="6"/>
    <w:link w:val="23"/>
    <w:qFormat/>
    <w:uiPriority w:val="0"/>
    <w:rPr>
      <w:rFonts w:ascii="宋体" w:hAnsi="宋体" w:eastAsia="宋体" w:cs="宋体"/>
      <w:sz w:val="28"/>
      <w:szCs w:val="28"/>
      <w:u w:val="none"/>
      <w:shd w:val="clear" w:color="auto" w:fill="auto"/>
      <w:lang w:val="zh-TW" w:eastAsia="zh-TW" w:bidi="zh-TW"/>
    </w:rPr>
  </w:style>
  <w:style w:type="paragraph" w:customStyle="1" w:styleId="23">
    <w:name w:val="Other|1"/>
    <w:basedOn w:val="1"/>
    <w:link w:val="22"/>
    <w:qFormat/>
    <w:uiPriority w:val="0"/>
    <w:pPr>
      <w:spacing w:line="451" w:lineRule="auto"/>
      <w:ind w:firstLine="400"/>
    </w:pPr>
    <w:rPr>
      <w:rFonts w:ascii="宋体" w:hAnsi="宋体" w:eastAsia="宋体" w:cs="宋体"/>
      <w:sz w:val="28"/>
      <w:szCs w:val="28"/>
      <w:lang w:val="zh-TW" w:eastAsia="zh-TW" w:bidi="zh-TW"/>
    </w:rPr>
  </w:style>
  <w:style w:type="character" w:customStyle="1" w:styleId="24">
    <w:name w:val="页眉 Char"/>
    <w:basedOn w:val="6"/>
    <w:link w:val="3"/>
    <w:qFormat/>
    <w:uiPriority w:val="0"/>
    <w:rPr>
      <w:rFonts w:eastAsia="Times New Roman"/>
      <w:color w:val="000000"/>
      <w:sz w:val="18"/>
      <w:szCs w:val="18"/>
      <w:lang w:eastAsia="en-US" w:bidi="en-US"/>
    </w:rPr>
  </w:style>
  <w:style w:type="character" w:customStyle="1" w:styleId="25">
    <w:name w:val="标题 Char"/>
    <w:basedOn w:val="6"/>
    <w:link w:val="4"/>
    <w:qFormat/>
    <w:uiPriority w:val="0"/>
    <w:rPr>
      <w:rFonts w:eastAsia="宋体" w:asciiTheme="majorHAnsi" w:hAnsiTheme="majorHAnsi" w:cstheme="majorBidi"/>
      <w:b/>
      <w:bCs/>
      <w:color w:val="000000"/>
      <w:sz w:val="32"/>
      <w:szCs w:val="32"/>
      <w:lang w:eastAsia="en-US" w:bidi="en-US"/>
    </w:rPr>
  </w:style>
  <w:style w:type="character" w:customStyle="1" w:styleId="26">
    <w:name w:val="不明显参考1"/>
    <w:basedOn w:val="6"/>
    <w:qFormat/>
    <w:uiPriority w:val="31"/>
    <w:rPr>
      <w:smallCaps/>
      <w:color w:val="C0504D" w:themeColor="accent2"/>
      <w:u w:val="single"/>
      <w14:textFill>
        <w14:solidFill>
          <w14:schemeClr w14:val="accent2"/>
        </w14:solidFill>
      </w14:textFill>
    </w:rPr>
  </w:style>
  <w:style w:type="character" w:customStyle="1" w:styleId="27">
    <w:name w:val="页脚 Char"/>
    <w:basedOn w:val="6"/>
    <w:link w:val="2"/>
    <w:qFormat/>
    <w:uiPriority w:val="0"/>
    <w:rPr>
      <w:rFonts w:eastAsia="宋体"/>
      <w:kern w:val="2"/>
      <w:sz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theme" Target="theme/theme1.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5756</Words>
  <Characters>5943</Characters>
  <Lines>44</Lines>
  <Paragraphs>12</Paragraphs>
  <TotalTime>13</TotalTime>
  <ScaleCrop>false</ScaleCrop>
  <LinksUpToDate>false</LinksUpToDate>
  <CharactersWithSpaces>6055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2023-03-06T03:10:00Z</dcterms:created>
  <dc:creator>Administrator</dc:creator>
  <cp:lastModifiedBy>︶︿︶</cp:lastModifiedBy>
  <cp:lastPrinted>2023-03-06T07:54:57Z</cp:lastPrinted>
  <dcterms:modified xsi:type="dcterms:W3CDTF">2023-03-06T07:58:54Z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19FEECCBCD424B50995D4D458BBF64B6</vt:lpwstr>
  </property>
</Properties>
</file>