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jc w:val="center"/>
        <w:textAlignment w:val="auto"/>
        <w:rPr>
          <w:rFonts w:hint="eastAsia" w:ascii="方正小标宋简体" w:hAnsi="华文中宋" w:eastAsia="方正小标宋简体"/>
          <w:b/>
          <w:color w:val="FF0000"/>
          <w:spacing w:val="-11"/>
          <w:w w:val="45"/>
          <w:sz w:val="140"/>
          <w:szCs w:val="160"/>
        </w:rPr>
      </w:pPr>
    </w:p>
    <w:p>
      <w:pPr>
        <w:keepNext w:val="0"/>
        <w:keepLines w:val="0"/>
        <w:pageBreakBefore w:val="0"/>
        <w:widowControl w:val="0"/>
        <w:kinsoku/>
        <w:wordWrap/>
        <w:overflowPunct/>
        <w:topLinePunct w:val="0"/>
        <w:autoSpaceDE/>
        <w:autoSpaceDN/>
        <w:bidi w:val="0"/>
        <w:jc w:val="center"/>
        <w:textAlignment w:val="auto"/>
        <w:rPr>
          <w:rFonts w:hint="eastAsia" w:ascii="方正小标宋简体" w:hAnsi="华文中宋" w:eastAsia="方正小标宋简体"/>
          <w:b/>
          <w:color w:val="FF0000"/>
          <w:spacing w:val="-11"/>
          <w:w w:val="45"/>
          <w:sz w:val="140"/>
          <w:szCs w:val="160"/>
        </w:rPr>
      </w:pPr>
      <w:r>
        <w:rPr>
          <w:rFonts w:hint="eastAsia" w:ascii="方正小标宋简体" w:hAnsi="华文中宋" w:eastAsia="方正小标宋简体"/>
          <w:b/>
          <w:color w:val="FF0000"/>
          <w:spacing w:val="-11"/>
          <w:w w:val="45"/>
          <w:sz w:val="140"/>
          <w:szCs w:val="160"/>
        </w:rPr>
        <w:t xml:space="preserve"> </w:t>
      </w:r>
    </w:p>
    <w:p>
      <w:pPr>
        <w:pStyle w:val="2"/>
        <w:keepNext w:val="0"/>
        <w:keepLines w:val="0"/>
        <w:pageBreakBefore w:val="0"/>
        <w:widowControl w:val="0"/>
        <w:kinsoku/>
        <w:wordWrap/>
        <w:overflowPunct/>
        <w:topLinePunct w:val="0"/>
        <w:autoSpaceDE/>
        <w:autoSpaceDN/>
        <w:bidi w:val="0"/>
        <w:textAlignment w:val="auto"/>
        <w:rPr>
          <w:rFonts w:hint="eastAsia"/>
        </w:rPr>
      </w:pPr>
      <w:bookmarkStart w:id="0" w:name="_GoBack"/>
      <w:r>
        <w:rPr>
          <w:rFonts w:hint="eastAsia" w:ascii="仿宋_GB2312" w:eastAsia="仿宋_GB2312"/>
          <w:bCs/>
          <w:sz w:val="32"/>
          <w:szCs w:val="32"/>
        </w:rPr>
        <w:t>湾管办</w:t>
      </w:r>
      <w:r>
        <w:rPr>
          <w:rFonts w:hint="eastAsia" w:ascii="仿宋_GB2312" w:eastAsia="仿宋_GB2312"/>
          <w:bCs/>
          <w:sz w:val="32"/>
          <w:szCs w:val="32"/>
          <w:lang w:val="en-US" w:eastAsia="zh-CN"/>
        </w:rPr>
        <w:t>字</w:t>
      </w:r>
      <w:r>
        <w:rPr>
          <w:rFonts w:hint="eastAsia" w:ascii="仿宋_GB2312" w:eastAsia="仿宋_GB2312"/>
          <w:bCs/>
          <w:sz w:val="32"/>
          <w:szCs w:val="32"/>
        </w:rPr>
        <w:t>〔202</w:t>
      </w:r>
      <w:r>
        <w:rPr>
          <w:rFonts w:hint="eastAsia" w:ascii="仿宋_GB2312" w:eastAsia="仿宋_GB2312"/>
          <w:bCs/>
          <w:sz w:val="32"/>
          <w:szCs w:val="32"/>
          <w:lang w:val="en-US" w:eastAsia="zh-CN"/>
        </w:rPr>
        <w:t>4</w:t>
      </w:r>
      <w:r>
        <w:rPr>
          <w:rFonts w:hint="eastAsia" w:ascii="仿宋_GB2312" w:eastAsia="仿宋_GB2312"/>
          <w:bCs/>
          <w:sz w:val="32"/>
          <w:szCs w:val="32"/>
        </w:rPr>
        <w:t>〕</w:t>
      </w:r>
      <w:r>
        <w:rPr>
          <w:rFonts w:hint="eastAsia" w:ascii="仿宋_GB2312" w:eastAsia="仿宋_GB2312"/>
          <w:bCs/>
          <w:sz w:val="32"/>
          <w:szCs w:val="32"/>
          <w:lang w:val="en-US" w:eastAsia="zh-CN"/>
        </w:rPr>
        <w:t>52</w:t>
      </w:r>
      <w:r>
        <w:rPr>
          <w:rFonts w:hint="eastAsia" w:ascii="仿宋_GB2312" w:eastAsia="仿宋_GB2312"/>
          <w:bCs/>
          <w:sz w:val="32"/>
          <w:szCs w:val="32"/>
        </w:rPr>
        <w:t>号</w:t>
      </w:r>
      <w:bookmarkEnd w:id="0"/>
      <w:r>
        <w:rPr>
          <w:rFonts w:ascii="楷体_GB2312" w:hAnsi="华文中宋" w:eastAsia="楷体_GB2312"/>
          <w:b/>
          <w:sz w:val="44"/>
          <w:szCs w:val="44"/>
        </w:rPr>
        <w:t xml:space="preserve"> </w:t>
      </w:r>
    </w:p>
    <w:p>
      <w:pPr>
        <w:keepNext w:val="0"/>
        <w:keepLines w:val="0"/>
        <w:pageBreakBefore w:val="0"/>
        <w:widowControl w:val="0"/>
        <w:kinsoku/>
        <w:wordWrap/>
        <w:overflowPunct/>
        <w:topLinePunct w:val="0"/>
        <w:autoSpaceDE/>
        <w:autoSpaceDN/>
        <w:bidi w:val="0"/>
        <w:spacing w:line="600" w:lineRule="exact"/>
        <w:jc w:val="center"/>
        <w:textAlignment w:val="auto"/>
        <w:rPr>
          <w:rFonts w:ascii="楷体" w:hAnsi="楷体" w:eastAsia="楷体"/>
          <w:bCs/>
          <w:sz w:val="32"/>
          <w:szCs w:val="32"/>
        </w:rPr>
      </w:pPr>
      <w:r>
        <w:rPr>
          <w:rFonts w:ascii="楷体_GB2312" w:hAnsi="华文中宋" w:eastAsia="楷体_GB2312"/>
          <w:b/>
          <w:sz w:val="44"/>
          <w:szCs w:val="44"/>
        </w:rPr>
        <w:t xml:space="preserve">   </w:t>
      </w:r>
    </w:p>
    <w:p>
      <w:pPr>
        <w:pStyle w:val="2"/>
        <w:keepNext w:val="0"/>
        <w:keepLines w:val="0"/>
        <w:pageBreakBefore w:val="0"/>
        <w:widowControl w:val="0"/>
        <w:kinsoku/>
        <w:wordWrap/>
        <w:overflowPunct/>
        <w:topLinePunct w:val="0"/>
        <w:autoSpaceDE/>
        <w:autoSpaceDN/>
        <w:bidi w:val="0"/>
        <w:jc w:val="both"/>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hanging="1760" w:hangingChars="40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中共湾里管理局工委  湾里管理局办公室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hanging="7" w:firstLine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关于</w:t>
      </w:r>
      <w:r>
        <w:rPr>
          <w:rFonts w:hint="eastAsia" w:ascii="方正小标宋简体" w:hAnsi="方正小标宋简体" w:eastAsia="方正小标宋简体" w:cs="方正小标宋简体"/>
          <w:b w:val="0"/>
          <w:bCs w:val="0"/>
          <w:sz w:val="44"/>
          <w:szCs w:val="44"/>
        </w:rPr>
        <w:t>印发湾里管理局进一步完善医疗卫生</w:t>
      </w:r>
    </w:p>
    <w:p>
      <w:pPr>
        <w:keepNext w:val="0"/>
        <w:keepLines w:val="0"/>
        <w:pageBreakBefore w:val="0"/>
        <w:widowControl w:val="0"/>
        <w:kinsoku/>
        <w:wordWrap/>
        <w:overflowPunct/>
        <w:topLinePunct w:val="0"/>
        <w:autoSpaceDE/>
        <w:autoSpaceDN/>
        <w:bidi w:val="0"/>
        <w:adjustRightInd/>
        <w:snapToGrid/>
        <w:spacing w:line="560" w:lineRule="exact"/>
        <w:ind w:left="0" w:leftChars="0" w:hanging="7" w:firstLineChars="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服务体系的实施方案</w:t>
      </w:r>
      <w:r>
        <w:rPr>
          <w:rFonts w:hint="eastAsia" w:ascii="方正小标宋简体" w:hAnsi="方正小标宋简体" w:eastAsia="方正小标宋简体" w:cs="方正小标宋简体"/>
          <w:b w:val="0"/>
          <w:bCs w:val="0"/>
          <w:sz w:val="44"/>
          <w:szCs w:val="44"/>
          <w:lang w:eastAsia="zh-CN"/>
        </w:rPr>
        <w:t>的通知</w:t>
      </w:r>
    </w:p>
    <w:p>
      <w:pPr>
        <w:pStyle w:val="7"/>
        <w:keepNext w:val="0"/>
        <w:keepLines w:val="0"/>
        <w:pageBreakBefore w:val="0"/>
        <w:widowControl w:val="0"/>
        <w:kinsoku/>
        <w:wordWrap/>
        <w:overflowPunct/>
        <w:topLinePunct w:val="0"/>
        <w:autoSpaceDE/>
        <w:autoSpaceDN/>
        <w:bidi w:val="0"/>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lang w:eastAsia="zh-CN"/>
        </w:rPr>
      </w:pPr>
      <w:r>
        <w:rPr>
          <w:rFonts w:hint="eastAsia" w:ascii="仿宋_GB2312" w:hAnsi="仿宋_GB2312" w:eastAsia="仿宋_GB2312" w:cs="仿宋_GB2312"/>
          <w:color w:val="auto"/>
          <w:kern w:val="2"/>
          <w:sz w:val="32"/>
          <w:szCs w:val="32"/>
          <w:lang w:val="en-US" w:eastAsia="zh-CN"/>
        </w:rPr>
        <w:t>各镇、街道，洗药湖管理处，罗亭工业园管委会，管理局各部门，驻局有关单位</w:t>
      </w:r>
      <w:r>
        <w:rPr>
          <w:rFonts w:hint="eastAsia" w:ascii="仿宋_GB2312" w:hAnsi="仿宋_GB2312" w:eastAsia="仿宋_GB2312" w:cs="仿宋_GB2312"/>
          <w:color w:val="auto"/>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pPr>
      <w:r>
        <w:rPr>
          <w:rFonts w:hint="eastAsia" w:ascii="仿宋_GB2312" w:hAnsi="仿宋_GB2312" w:eastAsia="仿宋_GB2312" w:cs="仿宋_GB2312"/>
          <w:sz w:val="32"/>
          <w:szCs w:val="32"/>
        </w:rPr>
        <w:t>《湾里管理局进一步完善医疗卫生服务体系的实施方案》已经</w:t>
      </w:r>
      <w:r>
        <w:rPr>
          <w:rFonts w:hint="eastAsia" w:ascii="仿宋_GB2312" w:hAnsi="宋体" w:eastAsia="仿宋_GB2312"/>
          <w:sz w:val="32"/>
          <w:szCs w:val="32"/>
          <w:lang w:eastAsia="zh-CN"/>
        </w:rPr>
        <w:t>中共湾里管理局工委</w:t>
      </w:r>
      <w:r>
        <w:rPr>
          <w:rFonts w:hint="eastAsia" w:ascii="仿宋_GB2312" w:hAnsi="宋体" w:eastAsia="仿宋_GB2312"/>
          <w:sz w:val="32"/>
          <w:szCs w:val="32"/>
          <w:lang w:val="en-US" w:eastAsia="zh-CN"/>
        </w:rPr>
        <w:t>2024年第15次会议和</w:t>
      </w:r>
      <w:r>
        <w:rPr>
          <w:rFonts w:hint="eastAsia" w:ascii="仿宋_GB2312" w:hAnsi="宋体" w:eastAsia="仿宋_GB2312"/>
          <w:sz w:val="32"/>
          <w:szCs w:val="32"/>
        </w:rPr>
        <w:t>202</w:t>
      </w:r>
      <w:r>
        <w:rPr>
          <w:rFonts w:hint="eastAsia" w:ascii="仿宋_GB2312" w:hAnsi="宋体" w:eastAsia="仿宋_GB2312"/>
          <w:sz w:val="32"/>
          <w:szCs w:val="32"/>
          <w:lang w:val="en-US" w:eastAsia="zh-CN"/>
        </w:rPr>
        <w:t>4</w:t>
      </w:r>
      <w:r>
        <w:rPr>
          <w:rFonts w:hint="eastAsia" w:ascii="仿宋_GB2312" w:hAnsi="宋体" w:eastAsia="仿宋_GB2312"/>
          <w:sz w:val="32"/>
          <w:szCs w:val="32"/>
        </w:rPr>
        <w:t>年</w:t>
      </w:r>
      <w:r>
        <w:rPr>
          <w:rFonts w:hint="eastAsia" w:ascii="仿宋_GB2312" w:hAnsi="仿宋_GB2312" w:eastAsia="仿宋_GB2312" w:cs="仿宋_GB2312"/>
          <w:kern w:val="2"/>
          <w:sz w:val="32"/>
          <w:szCs w:val="32"/>
        </w:rPr>
        <w:t>湾里</w:t>
      </w:r>
      <w:r>
        <w:rPr>
          <w:rFonts w:hint="eastAsia" w:ascii="仿宋_GB2312" w:hAnsi="宋体" w:eastAsia="仿宋_GB2312"/>
          <w:sz w:val="32"/>
          <w:szCs w:val="32"/>
        </w:rPr>
        <w:t>管理局第</w:t>
      </w:r>
      <w:r>
        <w:rPr>
          <w:rFonts w:hint="eastAsia" w:ascii="仿宋_GB2312" w:hAnsi="宋体" w:eastAsia="仿宋_GB2312"/>
          <w:sz w:val="32"/>
          <w:szCs w:val="32"/>
          <w:lang w:val="en-US" w:eastAsia="zh-CN"/>
        </w:rPr>
        <w:t>22</w:t>
      </w:r>
      <w:r>
        <w:rPr>
          <w:rFonts w:hint="eastAsia" w:ascii="仿宋_GB2312" w:hAnsi="宋体" w:eastAsia="仿宋_GB2312"/>
          <w:sz w:val="32"/>
          <w:szCs w:val="32"/>
        </w:rPr>
        <w:t>次局长办公会议</w:t>
      </w:r>
      <w:r>
        <w:rPr>
          <w:rFonts w:hint="eastAsia" w:ascii="仿宋_GB2312" w:hAnsi="仿宋_GB2312" w:eastAsia="仿宋_GB2312" w:cs="仿宋_GB2312"/>
          <w:kern w:val="2"/>
          <w:sz w:val="32"/>
          <w:szCs w:val="32"/>
        </w:rPr>
        <w:t>研究同意</w:t>
      </w:r>
      <w:r>
        <w:rPr>
          <w:rFonts w:hint="eastAsia" w:ascii="仿宋_GB2312" w:hAnsi="仿宋_GB2312" w:eastAsia="仿宋_GB2312" w:cs="仿宋_GB2312"/>
          <w:sz w:val="32"/>
          <w:szCs w:val="32"/>
        </w:rPr>
        <w:t>，现印发给你们，请认真遵照执行。</w:t>
      </w:r>
    </w:p>
    <w:tbl>
      <w:tblPr>
        <w:tblStyle w:val="8"/>
        <w:tblpPr w:leftFromText="180" w:rightFromText="180" w:vertAnchor="text" w:horzAnchor="page" w:tblpX="4991" w:tblpY="199"/>
        <w:tblOverlap w:val="never"/>
        <w:tblW w:w="0" w:type="auto"/>
        <w:tblInd w:w="0" w:type="dxa"/>
        <w:tblLayout w:type="fixed"/>
        <w:tblCellMar>
          <w:top w:w="0" w:type="dxa"/>
          <w:left w:w="108" w:type="dxa"/>
          <w:bottom w:w="0" w:type="dxa"/>
          <w:right w:w="108" w:type="dxa"/>
        </w:tblCellMar>
      </w:tblPr>
      <w:tblGrid>
        <w:gridCol w:w="4093"/>
        <w:gridCol w:w="1289"/>
      </w:tblGrid>
      <w:tr>
        <w:tblPrEx>
          <w:tblCellMar>
            <w:top w:w="0" w:type="dxa"/>
            <w:left w:w="108" w:type="dxa"/>
            <w:bottom w:w="0" w:type="dxa"/>
            <w:right w:w="108" w:type="dxa"/>
          </w:tblCellMar>
        </w:tblPrEx>
        <w:tc>
          <w:tcPr>
            <w:tcW w:w="4093"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中共南昌市湾里管理局工委</w:t>
            </w:r>
          </w:p>
        </w:tc>
        <w:tc>
          <w:tcPr>
            <w:tcW w:w="128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办公室</w:t>
            </w:r>
          </w:p>
        </w:tc>
      </w:tr>
      <w:tr>
        <w:tblPrEx>
          <w:tblCellMar>
            <w:top w:w="0" w:type="dxa"/>
            <w:left w:w="108" w:type="dxa"/>
            <w:bottom w:w="0" w:type="dxa"/>
            <w:right w:w="108" w:type="dxa"/>
          </w:tblCellMar>
        </w:tblPrEx>
        <w:tc>
          <w:tcPr>
            <w:tcW w:w="4093" w:type="dxa"/>
            <w:noWrap w:val="0"/>
            <w:vAlign w:val="top"/>
          </w:tcPr>
          <w:p>
            <w:pPr>
              <w:keepNext w:val="0"/>
              <w:keepLines w:val="0"/>
              <w:pageBreakBefore w:val="0"/>
              <w:widowControl w:val="0"/>
              <w:kinsoku/>
              <w:wordWrap/>
              <w:overflowPunct/>
              <w:topLinePunct w:val="0"/>
              <w:autoSpaceDE/>
              <w:autoSpaceDN/>
              <w:bidi w:val="0"/>
              <w:adjustRightInd/>
              <w:snapToGrid/>
              <w:spacing w:line="480" w:lineRule="exact"/>
              <w:jc w:val="distribute"/>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南昌市湾里管理局</w:t>
            </w:r>
          </w:p>
        </w:tc>
        <w:tc>
          <w:tcPr>
            <w:tcW w:w="12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sz w:val="32"/>
                <w:szCs w:val="32"/>
              </w:rPr>
            </w:pPr>
          </w:p>
        </w:tc>
      </w:tr>
      <w:tr>
        <w:tblPrEx>
          <w:tblCellMar>
            <w:top w:w="0" w:type="dxa"/>
            <w:left w:w="108" w:type="dxa"/>
            <w:bottom w:w="0" w:type="dxa"/>
            <w:right w:w="108" w:type="dxa"/>
          </w:tblCellMar>
        </w:tblPrEx>
        <w:tc>
          <w:tcPr>
            <w:tcW w:w="5382" w:type="dxa"/>
            <w:gridSpan w:val="2"/>
            <w:noWrap w:val="0"/>
            <w:vAlign w:val="top"/>
          </w:tcPr>
          <w:p>
            <w:pPr>
              <w:keepNext w:val="0"/>
              <w:keepLines w:val="0"/>
              <w:pageBreakBefore w:val="0"/>
              <w:widowControl w:val="0"/>
              <w:kinsoku/>
              <w:wordWrap/>
              <w:overflowPunct/>
              <w:topLinePunct w:val="0"/>
              <w:autoSpaceDE/>
              <w:autoSpaceDN/>
              <w:bidi w:val="0"/>
              <w:adjustRightInd/>
              <w:snapToGrid/>
              <w:spacing w:line="480" w:lineRule="exact"/>
              <w:ind w:firstLine="1280" w:firstLineChars="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tc>
      </w:tr>
    </w:tbl>
    <w:p>
      <w:pPr>
        <w:keepNext w:val="0"/>
        <w:keepLines w:val="0"/>
        <w:pageBreakBefore w:val="0"/>
        <w:widowControl w:val="0"/>
        <w:kinsoku/>
        <w:wordWrap/>
        <w:overflowPunct/>
        <w:topLinePunct w:val="0"/>
        <w:autoSpaceDE/>
        <w:autoSpaceDN/>
        <w:bidi w:val="0"/>
        <w:spacing w:line="560" w:lineRule="exact"/>
        <w:ind w:firstLine="4160" w:firstLineChars="1300"/>
        <w:textAlignment w:val="auto"/>
        <w:rPr>
          <w:rFonts w:hint="eastAsia" w:ascii="方正小标宋简体" w:hAnsi="方正小标宋简体" w:eastAsia="方正小标宋简体" w:cs="方正小标宋简体"/>
          <w:b/>
          <w:bCs/>
          <w:w w:val="90"/>
          <w:sz w:val="44"/>
          <w:szCs w:val="44"/>
        </w:rPr>
      </w:pPr>
      <w:r>
        <w:rPr>
          <w:rFonts w:hint="eastAsia" w:ascii="仿宋_GB2312" w:hAnsi="仿宋_GB2312"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textAlignment w:val="auto"/>
      </w:pP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bCs/>
          <w:sz w:val="32"/>
          <w:szCs w:val="32"/>
          <w:lang w:eastAsia="zh-CN"/>
        </w:rPr>
      </w:pPr>
    </w:p>
    <w:p>
      <w:pPr>
        <w:keepNext w:val="0"/>
        <w:keepLines w:val="0"/>
        <w:pageBreakBefore w:val="0"/>
        <w:widowControl w:val="0"/>
        <w:kinsoku/>
        <w:wordWrap/>
        <w:overflowPunct/>
        <w:topLinePunct w:val="0"/>
        <w:autoSpaceDE/>
        <w:autoSpaceDN/>
        <w:bidi w:val="0"/>
        <w:spacing w:line="580" w:lineRule="exact"/>
        <w:textAlignment w:val="auto"/>
        <w:rPr>
          <w:rFonts w:hint="eastAsia" w:ascii="方正小标宋简体" w:hAnsi="方正小标宋简体" w:eastAsia="方正小标宋简体" w:cs="方正小标宋简体"/>
          <w:bCs/>
          <w:sz w:val="44"/>
          <w:szCs w:val="44"/>
        </w:rPr>
      </w:pPr>
      <w:r>
        <w:rPr>
          <w:rFonts w:hint="eastAsia" w:ascii="仿宋_GB2312" w:hAnsi="仿宋_GB2312" w:eastAsia="仿宋_GB2312" w:cs="仿宋_GB2312"/>
          <w:bCs/>
          <w:sz w:val="32"/>
          <w:szCs w:val="32"/>
          <w:lang w:eastAsia="zh-CN"/>
        </w:rPr>
        <w:t>（此件</w:t>
      </w:r>
      <w:r>
        <w:rPr>
          <w:rFonts w:hint="eastAsia" w:ascii="仿宋_GB2312" w:hAnsi="仿宋_GB2312" w:eastAsia="仿宋_GB2312" w:cs="仿宋_GB2312"/>
          <w:bCs/>
          <w:sz w:val="32"/>
          <w:szCs w:val="32"/>
          <w:lang w:val="en-US" w:eastAsia="zh-CN"/>
        </w:rPr>
        <w:t>依申请</w:t>
      </w:r>
      <w:r>
        <w:rPr>
          <w:rFonts w:hint="eastAsia" w:ascii="仿宋_GB2312" w:hAnsi="仿宋_GB2312" w:eastAsia="仿宋_GB2312" w:cs="仿宋_GB2312"/>
          <w:bCs/>
          <w:sz w:val="32"/>
          <w:szCs w:val="32"/>
          <w:lang w:eastAsia="zh-CN"/>
        </w:rPr>
        <w:t>公开）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right="0"/>
        <w:jc w:val="center"/>
        <w:textAlignment w:val="auto"/>
        <w:rPr>
          <w:rFonts w:hint="eastAsia" w:ascii="方正小标宋简体" w:hAnsi="方正小标宋简体" w:eastAsia="方正小标宋简体" w:cs="方正小标宋简体"/>
          <w:kern w:val="2"/>
          <w:sz w:val="44"/>
          <w:szCs w:val="44"/>
          <w:lang w:val="en-US" w:eastAsia="zh-CN" w:bidi="ar"/>
        </w:rPr>
      </w:pPr>
      <w:r>
        <w:rPr>
          <w:rFonts w:hint="eastAsia" w:ascii="方正小标宋简体" w:hAnsi="方正小标宋简体" w:eastAsia="方正小标宋简体" w:cs="方正小标宋简体"/>
          <w:kern w:val="2"/>
          <w:sz w:val="44"/>
          <w:szCs w:val="44"/>
          <w:lang w:val="en-US" w:eastAsia="zh-CN" w:bidi="ar"/>
        </w:rPr>
        <w:t>湾里管理局进一步完善医疗卫生服务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right="0"/>
        <w:jc w:val="center"/>
        <w:textAlignment w:val="auto"/>
        <w:rPr>
          <w:rFonts w:hint="eastAsia" w:ascii="仿宋_GB2312" w:hAnsi="Times New Roman" w:eastAsia="仿宋_GB2312" w:cs="仿宋_GB2312"/>
          <w:kern w:val="2"/>
          <w:sz w:val="32"/>
          <w:szCs w:val="32"/>
          <w:lang w:val="en-US" w:eastAsia="zh-CN" w:bidi="ar"/>
        </w:rPr>
      </w:pPr>
      <w:r>
        <w:rPr>
          <w:rFonts w:hint="eastAsia" w:ascii="方正小标宋简体" w:hAnsi="方正小标宋简体" w:eastAsia="方正小标宋简体" w:cs="方正小标宋简体"/>
          <w:kern w:val="2"/>
          <w:sz w:val="44"/>
          <w:szCs w:val="44"/>
          <w:lang w:val="en-US" w:eastAsia="zh-CN" w:bidi="ar"/>
        </w:rPr>
        <w:t>体系的实施方案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right="0"/>
        <w:jc w:val="both"/>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为贯彻落实《中共中央办公厅 国务院办公厅印发〈关于进一步完善医疗卫生服务体系的意见〉的通知》《江西省人民政府办公厅关于进一步完善医疗卫生服务体系的实施意见》和《南昌市人民政府办公室关于印发〈南昌市进一步完善医疗卫生服务体系的实施方案〉的通知》等精神，推动全局建立优质高效的医疗卫生服务体系，为人民群众提供全方位、全周期卫生健康服务，现制定如下实施方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一、工作目标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到2025年，全局医疗卫生服务体系进一步优化健全，资源配置和服务均衡性逐步提高，重大疾病防控、救治和应急处置能力明显增强，中西医发展更加协调，优质高效卫生健康服务体系和有序就医诊疗新格局基本形成，区域医疗卫生服务功能品质显著提升，乡村医疗卫生运行机制进一步完善，全局每万名居民拥有3.2名全科医生，每千人口医疗卫生机构床位数、每千人口执业（助理）医师数、每千人口注册护士数稳步提升，居民个人支出占卫生总费用比重控制在27%以下。到2035年，全面建成体系完整、分工明确、功能互补、连续协同、运行高效、富有韧性的整合型医疗卫生服务体系，医疗卫生服务公平性、可及性和优质服务供给能力明显增强，人民群众健康水平显著提升，卫生健康获得感、幸福感和安全感显著增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二、主要任务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bidi="ar"/>
        </w:rPr>
        <w:t>（一）优化资源配置，推进分级诊疗，整合医疗卫生服务体系。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1.优化医疗卫生资源布局。</w:t>
      </w:r>
      <w:r>
        <w:rPr>
          <w:rFonts w:hint="eastAsia" w:ascii="仿宋_GB2312" w:hAnsi="Times New Roman" w:eastAsia="仿宋_GB2312" w:cs="仿宋_GB2312"/>
          <w:kern w:val="2"/>
          <w:sz w:val="32"/>
          <w:szCs w:val="32"/>
          <w:lang w:val="en-US" w:eastAsia="zh-CN" w:bidi="ar"/>
        </w:rPr>
        <w:t>持续优化南昌市第四医院床位配置，优先向感染、重症、康复、心脑血管、老年医学、儿科、精神科等薄弱专科或重点学科倾斜，推进安宁疗护床位配置,推动医院病房改造适老化、便利化。</w:t>
      </w:r>
      <w:r>
        <w:rPr>
          <w:rFonts w:hint="eastAsia" w:ascii="仿宋" w:hAnsi="仿宋" w:eastAsia="仿宋" w:cs="仿宋"/>
          <w:kern w:val="2"/>
          <w:sz w:val="32"/>
          <w:szCs w:val="32"/>
          <w:lang w:val="en-US" w:eastAsia="zh-CN" w:bidi="ar"/>
        </w:rPr>
        <w:t>2024年完成南昌市第四医院综合提升改造、幸福街道社区卫生服务中心医疗能力提升等项目;2025年，启动南昌市第四医院公共卫生和应急处置中心项目，力争启动招贤卫生院异地重建、梅岭中心卫生院提质增效等项目。</w:t>
      </w:r>
      <w:r>
        <w:rPr>
          <w:rFonts w:hint="eastAsia" w:ascii="楷体" w:hAnsi="楷体" w:eastAsia="楷体" w:cs="楷体"/>
          <w:b/>
          <w:bCs/>
          <w:kern w:val="2"/>
          <w:sz w:val="32"/>
          <w:szCs w:val="32"/>
          <w:lang w:val="en-US" w:eastAsia="zh-CN" w:bidi="ar"/>
        </w:rPr>
        <w:t>[局卫健办、局财政办、局经发办，各镇（街道、洗药湖管理处）。以下任务均需有关镇街处落实，不再列出。]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2.加强紧密型医联体建设。</w:t>
      </w:r>
      <w:r>
        <w:rPr>
          <w:rFonts w:hint="eastAsia" w:ascii="仿宋_GB2312" w:hAnsi="Calibri" w:eastAsia="仿宋_GB2312" w:cs="仿宋_GB2312"/>
          <w:kern w:val="2"/>
          <w:sz w:val="32"/>
          <w:szCs w:val="32"/>
          <w:lang w:val="en-US" w:eastAsia="zh-CN" w:bidi="ar"/>
        </w:rPr>
        <w:t>持续深入推进南大一附院与南昌市第四医院合作共建，到2025年底新增共建学科4个，累计达6个。并按照试点先行的原则，推进南昌市第四医院与基层医疗卫生机构建立紧密型医联体，到2025年前，力争全面铺开。着力构建市带区，区社一体的医疗卫生服务体系，提升基层医疗卫生服务能力，提高资源配置和使用效率，逐步实现优质医疗资源的均衡分配，缩小城镇、区域间的健康服务差距。</w:t>
      </w:r>
      <w:r>
        <w:rPr>
          <w:rFonts w:hint="eastAsia" w:ascii="楷体" w:hAnsi="楷体" w:eastAsia="楷体" w:cs="楷体"/>
          <w:b/>
          <w:bCs/>
          <w:kern w:val="2"/>
          <w:sz w:val="32"/>
          <w:szCs w:val="32"/>
          <w:lang w:val="en-US" w:eastAsia="zh-CN" w:bidi="ar"/>
        </w:rPr>
        <w:t>（局卫健办、局人社办按职责分工负责）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3.扩大接续性服务供给。</w:t>
      </w:r>
      <w:r>
        <w:rPr>
          <w:rFonts w:hint="eastAsia" w:ascii="仿宋_GB2312" w:hAnsi="Times New Roman" w:eastAsia="仿宋_GB2312" w:cs="仿宋_GB2312"/>
          <w:kern w:val="2"/>
          <w:sz w:val="32"/>
          <w:szCs w:val="32"/>
          <w:lang w:val="en-US" w:eastAsia="zh-CN" w:bidi="ar"/>
        </w:rPr>
        <w:t>不断提升康复科、老年医学科建设水平，构建南大一附院康复科、老年医学科——南昌市第四医院康复科、老年医学科——基层医疗机构分工协作、上下联动的康复医疗服务网络。支持二级以下公立医院转型为康复医院、护理院，着力推进“互联网+护理服务”试点工作，切实做好康复医疗中心执业登记。</w:t>
      </w:r>
      <w:r>
        <w:rPr>
          <w:rFonts w:hint="eastAsia" w:ascii="楷体" w:hAnsi="楷体" w:eastAsia="楷体" w:cs="楷体"/>
          <w:b/>
          <w:bCs/>
          <w:kern w:val="2"/>
          <w:sz w:val="32"/>
          <w:szCs w:val="32"/>
          <w:lang w:val="en-US" w:eastAsia="zh-CN" w:bidi="ar"/>
        </w:rPr>
        <w:t>（局卫健办、局人社办按职责分工负责）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4.推动医防融合发展。</w:t>
      </w:r>
      <w:r>
        <w:rPr>
          <w:rFonts w:hint="eastAsia" w:ascii="仿宋_GB2312" w:hAnsi="Times New Roman" w:eastAsia="仿宋_GB2312" w:cs="仿宋_GB2312"/>
          <w:kern w:val="2"/>
          <w:sz w:val="32"/>
          <w:szCs w:val="32"/>
          <w:lang w:val="en-US" w:eastAsia="zh-CN" w:bidi="ar"/>
        </w:rPr>
        <w:t>完善城镇一体的基层疾病预防控制服务网络，持续巩固以卫生院（社区卫生服务中心）、村卫生室（社区卫生服务站）为主体的基层医疗卫生机构网络，依托党群服务中心，建好用好村卫生室，结合城市社区嵌入式服务设施建设和老旧小区改造，推进社区卫生服务站建设，增强基层组织的卫生健康服务功能。到2025年底，全局90%的镇卫生院、社区卫生服务中心建成标准化公共卫生站（科）。加强医院、基层医疗卫生机构的公共卫生科室标准化建设。分批次推进局疾控中心提质扩容项目，2024年完成传染病监测预警与应急指挥能力提升、数智疾控等项目建设并投入使用，2025年强化两个项目的成果运用，进一步完善数智疾控项目分支建设，加快慢性非传染性疾病数据收集并初步分析</w:t>
      </w:r>
      <w:r>
        <w:rPr>
          <w:rFonts w:hint="eastAsia" w:ascii="仿宋_GB2312" w:hAnsi="Times New Roman" w:eastAsia="仿宋_GB2312" w:cs="仿宋_GB2312"/>
          <w:kern w:val="2"/>
          <w:sz w:val="32"/>
          <w:szCs w:val="32"/>
          <w:u w:val="none"/>
          <w:lang w:val="en-US" w:eastAsia="zh-CN" w:bidi="ar"/>
        </w:rPr>
        <w:t>。</w:t>
      </w:r>
      <w:r>
        <w:rPr>
          <w:rFonts w:hint="eastAsia" w:ascii="仿宋_GB2312" w:hAnsi="Times New Roman" w:eastAsia="仿宋_GB2312" w:cs="仿宋_GB2312"/>
          <w:kern w:val="2"/>
          <w:sz w:val="32"/>
          <w:szCs w:val="32"/>
          <w:lang w:val="en-US" w:eastAsia="zh-CN" w:bidi="ar"/>
        </w:rPr>
        <w:t>持续提升局疾控中心专业技术人员占比，保证疾控中心卫生专业技术人员占比不低于编制总数的70%。强化实验室检测能力，力争早日达到国家要求的疾病预防控制中心建设标准。</w:t>
      </w:r>
      <w:r>
        <w:rPr>
          <w:rFonts w:hint="eastAsia" w:ascii="楷体" w:hAnsi="楷体" w:eastAsia="楷体" w:cs="楷体"/>
          <w:b/>
          <w:bCs/>
          <w:kern w:val="2"/>
          <w:sz w:val="32"/>
          <w:szCs w:val="32"/>
          <w:lang w:val="en-US" w:eastAsia="zh-CN" w:bidi="ar"/>
        </w:rPr>
        <w:t>（局卫健办）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bidi="ar"/>
        </w:rPr>
        <w:t>（二）加强科学管理，提高运行质量，精细化管理医疗卫生机构。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5.提升医院内部管理规范化水平。</w:t>
      </w:r>
      <w:r>
        <w:rPr>
          <w:rFonts w:hint="eastAsia" w:ascii="仿宋" w:hAnsi="仿宋" w:eastAsia="仿宋" w:cs="仿宋"/>
          <w:kern w:val="2"/>
          <w:sz w:val="32"/>
          <w:szCs w:val="32"/>
          <w:lang w:val="en-US" w:eastAsia="zh-CN" w:bidi="ar"/>
        </w:rPr>
        <w:t>认真落实党组织领导下的院长负责制，坚持公益性、扩大普惠性、提高可收性。加强党风廉政建设和医德医风建设。发挥二级公立医院运营管理委员会作用，整合医疗、教学、科研等业务和人财物等资源，不断健全医院运营管理决策支持系统；</w:t>
      </w:r>
      <w:r>
        <w:rPr>
          <w:rFonts w:hint="eastAsia" w:ascii="仿宋_GB2312" w:hAnsi="Times New Roman" w:eastAsia="仿宋_GB2312" w:cs="仿宋_GB2312"/>
          <w:kern w:val="2"/>
          <w:sz w:val="32"/>
          <w:szCs w:val="32"/>
          <w:lang w:val="en-US" w:eastAsia="zh-CN" w:bidi="ar"/>
        </w:rPr>
        <w:t>建立以资源有效配置为核心的全面预算管理体系，完善考核、跟踪、管理、评价机制；强化岗位管理，合理设置医师、护士、药师、技术、管理等各类岗位人员的结构比例，稳步实现公立医院医疗服务收入占比逐步提高，百元医疗收入消耗卫生材料费（不含药品收入）逐步降低，百元医疗收入的医疗支出（不含药品收入）逐步降低，药占比（不含中药饮片）逐步降低，管理费用占业务支出的比例逐步降低。改革完善公立医院内部绩效考核办法，考核结果与薪酬分配挂钩，绩效工资坚持劳动、知识、技术、管理等要素参与分配，体现医、药、护、技、管等岗位差异，兼顾不同科室之间的平衡。常态化、制度化提供预约诊疗、日间手术等服务。争取到2025年南昌市第四医院病床使用率逐步提高至全市平均水平、平均住院日控制在8天以内。</w:t>
      </w:r>
      <w:r>
        <w:rPr>
          <w:rFonts w:hint="eastAsia" w:ascii="楷体" w:hAnsi="楷体" w:eastAsia="楷体" w:cs="楷体"/>
          <w:b/>
          <w:bCs/>
          <w:kern w:val="2"/>
          <w:sz w:val="32"/>
          <w:szCs w:val="32"/>
          <w:lang w:val="en-US" w:eastAsia="zh-CN" w:bidi="ar"/>
        </w:rPr>
        <w:t>（局卫健办）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6.加强专业公共卫生机构管理。</w:t>
      </w:r>
      <w:r>
        <w:rPr>
          <w:rFonts w:hint="eastAsia" w:ascii="仿宋_GB2312" w:hAnsi="Times New Roman" w:eastAsia="仿宋_GB2312" w:cs="仿宋_GB2312"/>
          <w:kern w:val="2"/>
          <w:sz w:val="32"/>
          <w:szCs w:val="32"/>
          <w:lang w:val="en-US" w:eastAsia="zh-CN" w:bidi="ar"/>
        </w:rPr>
        <w:t>系统推进公共卫生服务体系改革，优化完善疾病预防控制机构职能要求，规范面向社会提供的公共卫生技术服务。提升局疾控中心卫生技术人员占比。强化人才培养，到2025年局疾控中心各业务科室至少有1名熟练掌握本专业基本技能，可以承担辖区内本专业业务培训和指导的技术骨干。严格执行技术规范，强化质量控制、风险防范和绩效考核。深化医防融合，加强疾病预防控制机构与医疗机构、基层卫生机构沟通交流，探索疾病预防控制专业人员参与医疗联合体工作。</w:t>
      </w:r>
      <w:r>
        <w:rPr>
          <w:rFonts w:hint="eastAsia" w:ascii="楷体" w:hAnsi="楷体" w:eastAsia="楷体" w:cs="楷体"/>
          <w:b/>
          <w:bCs/>
          <w:kern w:val="2"/>
          <w:sz w:val="32"/>
          <w:szCs w:val="32"/>
          <w:lang w:val="en-US" w:eastAsia="zh-CN" w:bidi="ar"/>
        </w:rPr>
        <w:t>（局卫健办、局财政办、局人社办按职责分工负责）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7.健全基层医疗卫生机构运行机制。</w:t>
      </w:r>
      <w:r>
        <w:rPr>
          <w:rFonts w:hint="eastAsia" w:ascii="仿宋_GB2312" w:hAnsi="Times New Roman" w:eastAsia="仿宋_GB2312" w:cs="仿宋_GB2312"/>
          <w:kern w:val="2"/>
          <w:sz w:val="32"/>
          <w:szCs w:val="32"/>
          <w:lang w:val="en-US" w:eastAsia="zh-CN" w:bidi="ar"/>
        </w:rPr>
        <w:t>推进基层医疗卫生机构建立“公益一类财政保障、公益二类绩效管理”的运行新机制，在不新增财政预算安排的基础上，严格落实乡村医生基本公共卫生服务补助、基本药物制度补助、乡村医生绩效工资及一般诊疗费政策，动态调整补助标准，切实保障乡村医生收入。落实包括基层医疗卫生机构在内的医疗服务价格动态调整机制，按照省医疗保障局有关文件规定，对达到一级医院建设标准的基层医疗卫生机构按一级医院标准收费。创新乡村医疗卫生人才使用机制，对招聘引进的医疗卫生人才实行局管镇用、镇聘村用，可通过“定向评价、定向使用”聘用至相应岗位，不受岗位结构比例限制。紧密型医联体内二级医疗机构实现与基层医疗卫生机构的用药衔接，按照省医疗保障局部署要求同步调整医保药品分级目录。</w:t>
      </w:r>
      <w:r>
        <w:rPr>
          <w:rFonts w:hint="eastAsia" w:ascii="楷体" w:hAnsi="楷体" w:eastAsia="楷体" w:cs="楷体"/>
          <w:b/>
          <w:bCs/>
          <w:kern w:val="2"/>
          <w:sz w:val="32"/>
          <w:szCs w:val="32"/>
          <w:lang w:val="en-US" w:eastAsia="zh-CN" w:bidi="ar"/>
        </w:rPr>
        <w:t>（局党群部、局卫健办、局财政办、局人社办、湾里市监局按职责分工负责）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bidi="ar"/>
        </w:rPr>
        <w:t>（三）加强分工协作，深化内涵建设，提升医疗卫生服务能力。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8.提升急诊重症诊疗能力。</w:t>
      </w:r>
      <w:r>
        <w:rPr>
          <w:rFonts w:hint="eastAsia" w:ascii="仿宋_GB2312" w:hAnsi="Times New Roman" w:eastAsia="仿宋_GB2312" w:cs="仿宋_GB2312"/>
          <w:kern w:val="2"/>
          <w:sz w:val="32"/>
          <w:szCs w:val="32"/>
          <w:lang w:val="en-US" w:eastAsia="zh-CN" w:bidi="ar"/>
        </w:rPr>
        <w:t>依托南大一附院技术优势，加快推进南昌市第四医院胸痛中心、卒中中心、创伤急救中心建设；探索南昌市第四医院与南昌市生殖医院联合共建危重孕产妇救治中心和危重新生儿救治中心，不断提升全局医疗卫生系统急诊重症的诊治能力和水平。</w:t>
      </w:r>
      <w:r>
        <w:rPr>
          <w:rFonts w:hint="eastAsia" w:ascii="楷体" w:hAnsi="楷体" w:eastAsia="楷体" w:cs="楷体"/>
          <w:b/>
          <w:bCs/>
          <w:kern w:val="2"/>
          <w:sz w:val="32"/>
          <w:szCs w:val="32"/>
          <w:lang w:val="en-US" w:eastAsia="zh-CN" w:bidi="ar"/>
        </w:rPr>
        <w:t>（局卫健办）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9.加强临床科室建设。</w:t>
      </w:r>
      <w:r>
        <w:rPr>
          <w:rFonts w:hint="eastAsia" w:ascii="仿宋_GB2312" w:hAnsi="Times New Roman" w:eastAsia="仿宋_GB2312" w:cs="仿宋_GB2312"/>
          <w:kern w:val="2"/>
          <w:sz w:val="32"/>
          <w:szCs w:val="32"/>
          <w:lang w:val="en-US" w:eastAsia="zh-CN" w:bidi="ar"/>
        </w:rPr>
        <w:t>按照“小综合大专科”的发展模式，持续重点打造南昌市第四医院康复科、老年医学科、急诊科；2024年完成站前街道社区卫生服务中心中医科、幸福街道社区卫生服务中心妇产科建设；2025年在南昌市第四医院开设精神（心理）科、五官科、皮肤科门诊，着力建设一批技术水平高、服务质量优、带动作用强、受群众认可的临床特色科室。</w:t>
      </w:r>
      <w:r>
        <w:rPr>
          <w:rFonts w:hint="eastAsia" w:ascii="楷体" w:hAnsi="楷体" w:eastAsia="楷体" w:cs="楷体"/>
          <w:b/>
          <w:bCs/>
          <w:kern w:val="2"/>
          <w:sz w:val="32"/>
          <w:szCs w:val="32"/>
          <w:lang w:val="en-US" w:eastAsia="zh-CN" w:bidi="ar"/>
        </w:rPr>
        <w:t>（局卫健办）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仿宋_GB2312" w:eastAsia="仿宋_GB2312" w:cs="仿宋_GB2312"/>
          <w:b/>
          <w:bCs/>
          <w:kern w:val="2"/>
          <w:sz w:val="32"/>
          <w:szCs w:val="32"/>
          <w:lang w:val="en-US" w:eastAsia="zh-CN" w:bidi="ar"/>
        </w:rPr>
        <w:t>10.加强卫生健康人才建设。</w:t>
      </w:r>
      <w:r>
        <w:rPr>
          <w:rFonts w:hint="eastAsia" w:ascii="仿宋_GB2312" w:hAnsi="仿宋_GB2312" w:eastAsia="仿宋_GB2312" w:cs="仿宋_GB2312"/>
          <w:kern w:val="0"/>
          <w:sz w:val="32"/>
          <w:szCs w:val="32"/>
          <w:lang w:val="en-US" w:eastAsia="zh-CN" w:bidi="ar"/>
        </w:rPr>
        <w:t>引才，用足用好南昌新“人才10条”，力争每年通过“绿色通道”引进一定数量的高层次、成熟型人才；通过项目聘用、特殊顾问、名医工作室(站)、远程医疗等灵活形式，引进优秀高层次人才(团队)；</w:t>
      </w:r>
      <w:r>
        <w:rPr>
          <w:rFonts w:hint="eastAsia" w:ascii="仿宋_GB2312" w:hAnsi="仿宋_GB2312" w:eastAsia="仿宋_GB2312" w:cs="仿宋_GB2312"/>
          <w:kern w:val="2"/>
          <w:sz w:val="32"/>
          <w:szCs w:val="32"/>
          <w:lang w:val="en-US" w:eastAsia="zh-CN" w:bidi="ar"/>
        </w:rPr>
        <w:t>在编制范围内，根据上级指标下达情况，每年通过南昌市事业单位及江西省卫生专业技术统一招聘渠道，招聘一批医疗机构管理人才及卫生专业技术人才；按照规定程序，在全省范围内(南昌市以外)选调在编的卫生专业技术人才落编上岗，着力提升公立医院高级职称人才占比。</w:t>
      </w:r>
      <w:r>
        <w:rPr>
          <w:rFonts w:hint="eastAsia" w:ascii="仿宋_GB2312" w:hAnsi="仿宋_GB2312" w:eastAsia="仿宋_GB2312" w:cs="仿宋_GB2312"/>
          <w:kern w:val="0"/>
          <w:sz w:val="32"/>
          <w:szCs w:val="32"/>
          <w:lang w:val="en-US" w:eastAsia="zh-CN" w:bidi="ar"/>
        </w:rPr>
        <w:t>育才，分批选拔各学科优秀人才到省、市综合性医院进修学习，到2025年，全局力争培养医疗管理高层次人才1名，医疗管理骨干人才1-2名，力争培养省级中医药中青年骨干人才1-2名和1-2名师承继承人，稳步提高乡村医生队伍中（助理）医师占比；</w:t>
      </w:r>
      <w:r>
        <w:rPr>
          <w:rFonts w:hint="eastAsia" w:ascii="仿宋_GB2312" w:hAnsi="仿宋_GB2312" w:eastAsia="仿宋_GB2312" w:cs="仿宋_GB2312"/>
          <w:kern w:val="2"/>
          <w:sz w:val="32"/>
          <w:szCs w:val="32"/>
          <w:lang w:val="en-US" w:eastAsia="zh-CN" w:bidi="ar"/>
        </w:rPr>
        <w:t>实施“强基提能计划”，在局级公立医院和基层医疗机构间开展双向轮岗锻炼，组织执业（助理）医师参加全科医生转岗培训，继续实施大学生乡村医生专项计划，开展医养结合人才能力提升培训项目。</w:t>
      </w:r>
      <w:r>
        <w:rPr>
          <w:rFonts w:hint="eastAsia" w:ascii="仿宋_GB2312" w:hAnsi="仿宋_GB2312" w:eastAsia="仿宋_GB2312" w:cs="仿宋_GB2312"/>
          <w:kern w:val="0"/>
          <w:sz w:val="32"/>
          <w:szCs w:val="32"/>
          <w:lang w:val="en-US" w:eastAsia="zh-CN" w:bidi="ar"/>
        </w:rPr>
        <w:t>留才，充分保障南昌新“人才10 条”政策兑现，扎实推进人事编制、薪酬待遇、职称评定等政策待遇落实，完善薪酬制度，落实保障引进人才住房、交通、用餐、托育、休假、子女就学等福利，对获得重点项目、取得技术突破等有重要贡献的人员和团队给予专项奖励，让人才有归属感，做到“拴心留人”。</w:t>
      </w:r>
      <w:r>
        <w:rPr>
          <w:rFonts w:hint="eastAsia" w:ascii="楷体" w:hAnsi="楷体" w:eastAsia="楷体" w:cs="楷体"/>
          <w:b/>
          <w:bCs/>
          <w:kern w:val="2"/>
          <w:sz w:val="32"/>
          <w:szCs w:val="32"/>
          <w:lang w:val="en-US" w:eastAsia="zh-CN" w:bidi="ar"/>
        </w:rPr>
        <w:t xml:space="preserve">（局卫健办、局人社办、局党群部按职责分工负责）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bidi="ar"/>
        </w:rPr>
        <w:t>（四）提高服务质量，优化服务效能，提升群众就医获得感。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11.打造高效应急与急救体系。</w:t>
      </w:r>
      <w:r>
        <w:rPr>
          <w:rFonts w:hint="eastAsia" w:ascii="仿宋_GB2312" w:hAnsi="Times New Roman" w:eastAsia="仿宋_GB2312" w:cs="仿宋_GB2312"/>
          <w:kern w:val="2"/>
          <w:sz w:val="32"/>
          <w:szCs w:val="32"/>
          <w:lang w:val="en-US" w:eastAsia="zh-CN" w:bidi="ar"/>
        </w:rPr>
        <w:t>按照省、市卫健委统一部署，配合省级突发公共卫生事件应急指挥决策系统升级改造，逐步实现省、市、局三级卫生应急决策指挥系统和“120”系统的互联互通。按照省卫健委、省公安厅、省消防救援总队统一部署，配合“120”急救指挥系统全面改造工作，建立省、市、局联通的急救指挥调度网络信息平台，实现“120”与“110”“119”“122”等平台无缝对接和互转。依托南昌市第四医院布局紧急医学救援站点，组建突发事件快速反应小分队，各镇卫生院（社区卫生服务中心）合理布局急救待命点，组建应急医疗队。与市急救中心对接，根据湾里实际，适时启动湾里管理局紧急医疗救援中心建设，进一步健全湾里的院前医疗急救体系。从“人才培引、经费保障、装备提升”等方面着手，优化我局传染病应急小分队资源配置，强化应急队伍传染病应急处置能力，为建设健康湾里提供坚强有力保障。</w:t>
      </w:r>
      <w:r>
        <w:rPr>
          <w:rFonts w:hint="eastAsia" w:ascii="楷体" w:hAnsi="楷体" w:eastAsia="楷体" w:cs="楷体"/>
          <w:b/>
          <w:bCs/>
          <w:kern w:val="2"/>
          <w:sz w:val="32"/>
          <w:szCs w:val="32"/>
          <w:lang w:val="en-US" w:eastAsia="zh-CN" w:bidi="ar"/>
        </w:rPr>
        <w:t>（局卫健办、湾里公安分局、市消防救援支队湾里大队按职责分工负责）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12.保障医疗服务质量与安全。</w:t>
      </w:r>
      <w:r>
        <w:rPr>
          <w:rFonts w:hint="eastAsia" w:ascii="仿宋_GB2312" w:hAnsi="Times New Roman" w:eastAsia="仿宋_GB2312" w:cs="仿宋_GB2312"/>
          <w:kern w:val="2"/>
          <w:sz w:val="32"/>
          <w:szCs w:val="32"/>
          <w:lang w:val="en-US" w:eastAsia="zh-CN" w:bidi="ar"/>
        </w:rPr>
        <w:t>建立高水平医疗质量管理与控制体系，完善医疗质量安全管理制度和规范，严格落实医疗质量安全核心制度。到2025年设立质控中心6个。全面实施临床路径管理，完善医疗服务行为规范，提升医疗服务标准化、规范化水平。强化医疗技术临床应用管理，重点加强限制类技术日常监管。推进合理用药考核，落实处方点评抽查、抗菌药物分级管理。严格大型医疗设备准入和医疗技术临床应用管理，重点加强对介入类、内镜类、植（置）入类等医疗技术管理。完善以结果为导向的服务质量数据系统评估、反馈和激励机制。</w:t>
      </w:r>
      <w:r>
        <w:rPr>
          <w:rFonts w:hint="eastAsia" w:ascii="楷体" w:hAnsi="楷体" w:eastAsia="楷体" w:cs="楷体"/>
          <w:b/>
          <w:bCs/>
          <w:kern w:val="2"/>
          <w:sz w:val="32"/>
          <w:szCs w:val="32"/>
          <w:lang w:val="en-US" w:eastAsia="zh-CN" w:bidi="ar"/>
        </w:rPr>
        <w:t>（局卫健办）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13.提升智慧健康医疗服务水平。</w:t>
      </w:r>
      <w:r>
        <w:rPr>
          <w:rFonts w:hint="eastAsia" w:ascii="仿宋_GB2312" w:hAnsi="Times New Roman" w:eastAsia="仿宋_GB2312" w:cs="仿宋_GB2312"/>
          <w:kern w:val="2"/>
          <w:sz w:val="32"/>
          <w:szCs w:val="32"/>
          <w:lang w:val="en-US" w:eastAsia="zh-CN" w:bidi="ar"/>
        </w:rPr>
        <w:t>推动医疗卫生领域数据上云，完善区域全民健康信息标准化体系建设，开展数据采集、上传。推动南昌市第四医院信息平台与市级平台互联互通和数据共享；加快推进南昌市第四医院电子病历、检查检验结果、医学影像资料等信息共享互认；推广南昌市第四医院诊间结算、移动支付、线上查询等服务，推进医疗服务事项“掌上办”、“网上办”。积极推进我局江西省基层人工智能辅助智慧医疗系统建设，运用互联网、人工智能等技术，持续优化服务流程，大力发展远程医疗服务，健全完善远程医疗服务项目。到2024年底，南昌市第四医院电子病历应用水平级别达到3级，智慧服务级别达到2级，智慧管理级别达到1级。到2025年，完成南昌市第四医院住院病案首页数据电子化采集。</w:t>
      </w:r>
      <w:r>
        <w:rPr>
          <w:rFonts w:hint="eastAsia" w:ascii="楷体" w:hAnsi="楷体" w:eastAsia="楷体" w:cs="楷体"/>
          <w:b/>
          <w:bCs/>
          <w:kern w:val="2"/>
          <w:sz w:val="32"/>
          <w:szCs w:val="32"/>
          <w:lang w:val="en-US" w:eastAsia="zh-CN" w:bidi="ar"/>
        </w:rPr>
        <w:t>（局卫健办、局人社办、局经发办按职责分工负责）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14.提升中医药服务能力。</w:t>
      </w:r>
      <w:r>
        <w:rPr>
          <w:rFonts w:hint="eastAsia" w:ascii="仿宋_GB2312" w:hAnsi="Times New Roman" w:eastAsia="仿宋_GB2312" w:cs="仿宋_GB2312"/>
          <w:kern w:val="2"/>
          <w:sz w:val="32"/>
          <w:szCs w:val="32"/>
          <w:lang w:val="en-US" w:eastAsia="zh-CN" w:bidi="ar"/>
        </w:rPr>
        <w:t>加大推动治未病健康工作升级，做大做强南昌市第四医院治未病中心，完善治未病评价管理标准，扩大中医适宜技术推广和健康知识普及，积极开展中医适宜技术培训班，每年至少举办一场中医适宜技术培训班。2024年，完成梅岭中心卫生院示范中医馆、站前街道社区卫生服务中心邻里中心热敏灸技术运用项目。到2025年底，力争建成南昌市基层名中医康复科一个，并争取上级支持，推进中医阁建设，实现100%的镇卫生院、社区卫生服务中心和80%的村卫生室提供中医药服务。完善中西医会诊和联合查房制度，聚焦肿瘤、心脑血管病、糖尿病、感染性疾病等重大疑难疾病、慢性病和传染性疾病，开展中西医联合攻关。支持中药工业龙头企业全产业链布局。</w:t>
      </w:r>
      <w:r>
        <w:rPr>
          <w:rFonts w:hint="eastAsia" w:ascii="楷体" w:hAnsi="楷体" w:eastAsia="楷体" w:cs="楷体"/>
          <w:b/>
          <w:bCs/>
          <w:kern w:val="2"/>
          <w:sz w:val="32"/>
          <w:szCs w:val="32"/>
          <w:lang w:val="en-US" w:eastAsia="zh-CN" w:bidi="ar"/>
        </w:rPr>
        <w:t>（局卫健办、局经发办按职责分工负责）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bidi="ar"/>
        </w:rPr>
        <w:t>（五）强化要素保障，完善制度建设，建立现代科学治理体系。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15.完善政府投入机制。</w:t>
      </w:r>
      <w:r>
        <w:rPr>
          <w:rFonts w:hint="eastAsia" w:ascii="仿宋_GB2312" w:hAnsi="Times New Roman" w:eastAsia="仿宋_GB2312" w:cs="仿宋_GB2312"/>
          <w:kern w:val="2"/>
          <w:sz w:val="32"/>
          <w:szCs w:val="32"/>
          <w:lang w:val="en-US" w:eastAsia="zh-CN" w:bidi="ar"/>
        </w:rPr>
        <w:t>建立健全稳定的公共卫生事业投入机制，落实政府对专业公共卫生机构和基本公共卫生服务经费的投入保障责任，落实医疗机构承担公共卫生服务任务的经费保障政策。强化区域卫生规划和医疗机构设置规划在医疗卫生资源配置方面的引领规范作用。按规定落实政府对符合区域卫生规划的公立医院投入政策，加大对中医医院和基层医疗卫生机构的投入倾斜力度。建立持续稳定的中医药发展多元投入机制。</w:t>
      </w:r>
      <w:r>
        <w:rPr>
          <w:rFonts w:hint="eastAsia" w:ascii="楷体" w:hAnsi="楷体" w:eastAsia="楷体" w:cs="楷体"/>
          <w:b/>
          <w:bCs/>
          <w:kern w:val="2"/>
          <w:sz w:val="32"/>
          <w:szCs w:val="32"/>
          <w:lang w:val="en-US" w:eastAsia="zh-CN" w:bidi="ar"/>
        </w:rPr>
        <w:t>（局财政办、局卫健办按职责分工负责）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16.完善人事制度。</w:t>
      </w:r>
      <w:r>
        <w:rPr>
          <w:rFonts w:hint="eastAsia" w:ascii="仿宋_GB2312" w:hAnsi="Times New Roman" w:eastAsia="仿宋_GB2312" w:cs="仿宋_GB2312"/>
          <w:kern w:val="2"/>
          <w:sz w:val="32"/>
          <w:szCs w:val="32"/>
          <w:lang w:val="en-US" w:eastAsia="zh-CN" w:bidi="ar"/>
        </w:rPr>
        <w:t>推动紧密型医疗联合体内公立医疗卫生机构人员统一招聘和管理，建设一支医德高尚、业务精湛、结构合理、素质优良的卫生健康人才队伍。借鉴市直和周边县区城市公立医院人员总量管理经验做法，在南昌市第四医院（湾里中医院）进行试点，试点医院人员总量由卫健办以卫生健康行政部门核定的床位数为基数（开放床位数未达到核定数的，以开放床位数为基数）按比例核定。人员总量内的人员依照进入方式不同，实行分类管理。深化卫生专业技术人员职称制度改革，坚持分层分类评价，完善医务人员职称评价机制，更加突出医疗技术实践能力和诊疗服务水平导向。</w:t>
      </w:r>
      <w:r>
        <w:rPr>
          <w:rFonts w:hint="eastAsia" w:ascii="楷体" w:hAnsi="楷体" w:eastAsia="楷体" w:cs="楷体"/>
          <w:b/>
          <w:bCs/>
          <w:kern w:val="2"/>
          <w:sz w:val="32"/>
          <w:szCs w:val="32"/>
          <w:lang w:val="en-US" w:eastAsia="zh-CN" w:bidi="ar"/>
        </w:rPr>
        <w:t xml:space="preserve">（局卫健办、局人社办按职责分工负责）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17.深化薪酬制度改革。</w:t>
      </w:r>
      <w:r>
        <w:rPr>
          <w:rFonts w:hint="eastAsia" w:ascii="仿宋_GB2312" w:hAnsi="宋体" w:eastAsia="仿宋_GB2312" w:cs="仿宋_GB2312"/>
          <w:kern w:val="0"/>
          <w:sz w:val="31"/>
          <w:szCs w:val="31"/>
          <w:lang w:val="en-US" w:eastAsia="zh-CN" w:bidi="ar"/>
        </w:rPr>
        <w:t>参照上级文件精神，结合湾里实际，制定公立医院薪酬改革的实施方案，出台相关配套措施。合理确定公立医院和基层医疗机构绩效工资总量和水平，健全薪酬分配制度，改革核算方式，强化公益属性，鼓励对公立医院主要负责人实行年薪制。每年定期组织对公立医院和基层医疗机构综合考核，考核结果与绩效工资总量挂钩。</w:t>
      </w:r>
      <w:r>
        <w:rPr>
          <w:rFonts w:hint="eastAsia" w:ascii="楷体" w:hAnsi="楷体" w:eastAsia="楷体" w:cs="楷体"/>
          <w:b/>
          <w:bCs/>
          <w:kern w:val="2"/>
          <w:sz w:val="32"/>
          <w:szCs w:val="32"/>
          <w:lang w:val="en-US" w:eastAsia="zh-CN" w:bidi="ar"/>
        </w:rPr>
        <w:t>（局卫健办、局人社办按职责分工负责）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18.强化医保政策支撑作用。</w:t>
      </w:r>
      <w:r>
        <w:rPr>
          <w:rFonts w:hint="eastAsia" w:ascii="仿宋_GB2312" w:hAnsi="Times New Roman" w:eastAsia="仿宋_GB2312" w:cs="仿宋_GB2312"/>
          <w:kern w:val="2"/>
          <w:sz w:val="32"/>
          <w:szCs w:val="32"/>
          <w:lang w:val="en-US" w:eastAsia="zh-CN" w:bidi="ar"/>
        </w:rPr>
        <w:t>健全医疗服务价格动态调整机制，优化医院收入结构，逐步提高医疗服务收入占比。推进医保支付方式改革，2024年，开展按疾病诊断相关分组（DRG）付费或按病种分值（DIP）付费改革，合理确定支付标准并建立动态调整机制。健全符合中医药特点的医保支付方式，研究针对部分中医优势病种的支付政策。根据“以收定支、收支平衡、略有结余”的原则，实行统筹区医保基金总额预算管理，在“DRG（疾病诊断相关分组）”政策框架内，将职工医保和城乡居民医保基金，整体“打包”给紧密型医共体牵头医院或总医院，实行总额包干、结余留用、合理超支分担。建立并完善病组、权重、系数等要素调整机制，完善协商谈判、结余留用、特例单议和基金监管等配套机制提高医保基金使用效率。</w:t>
      </w:r>
      <w:r>
        <w:rPr>
          <w:rFonts w:hint="eastAsia" w:ascii="楷体" w:hAnsi="楷体" w:eastAsia="楷体" w:cs="楷体"/>
          <w:b/>
          <w:bCs/>
          <w:kern w:val="2"/>
          <w:sz w:val="32"/>
          <w:szCs w:val="32"/>
          <w:lang w:val="en-US" w:eastAsia="zh-CN" w:bidi="ar"/>
        </w:rPr>
        <w:t>（局人社办、局卫健办按职责分工负责）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楷体" w:hAnsi="楷体" w:eastAsia="楷体" w:cs="楷体"/>
          <w:b/>
          <w:bCs/>
          <w:kern w:val="2"/>
          <w:sz w:val="32"/>
          <w:szCs w:val="32"/>
        </w:rPr>
      </w:pPr>
      <w:r>
        <w:rPr>
          <w:rFonts w:hint="eastAsia" w:ascii="仿宋_GB2312" w:hAnsi="Times New Roman" w:eastAsia="仿宋_GB2312" w:cs="仿宋_GB2312"/>
          <w:b/>
          <w:bCs/>
          <w:kern w:val="2"/>
          <w:sz w:val="32"/>
          <w:szCs w:val="32"/>
          <w:lang w:val="en-US" w:eastAsia="zh-CN" w:bidi="ar"/>
        </w:rPr>
        <w:t>19.健全多元化综合监管体系。</w:t>
      </w:r>
      <w:r>
        <w:rPr>
          <w:rFonts w:hint="eastAsia" w:ascii="仿宋_GB2312" w:hAnsi="Times New Roman" w:eastAsia="仿宋_GB2312" w:cs="仿宋_GB2312"/>
          <w:kern w:val="2"/>
          <w:sz w:val="32"/>
          <w:szCs w:val="32"/>
          <w:lang w:val="en-US" w:eastAsia="zh-CN" w:bidi="ar"/>
        </w:rPr>
        <w:t>加强医疗、医保、医药监管联动，规范诊疗行为，全局公立医疗机构应按照相关规定要求通过江西省医药集中采购平台采购药品和医用耗材，提高药品和医用耗材网采率。严格控制医疗费用不合理增长。加强服务要素准入、质量和安全、公共卫生、机构运行、从业人员、行业秩序和健康产业监管。强化审管联动，促进行政审批与卫生监管衔接协同，形成审批与监管相互支撑、相互促进的工作格局。建立健全医疗卫生行业行风建设工作体系，推动行业廉洁从业。坚持标本兼治，建立健全医药卫生领域反腐长效机制。健全依法联合惩戒体系，建立健全医疗卫生行业信用机制，强化责任追究和联动问责。</w:t>
      </w:r>
      <w:r>
        <w:rPr>
          <w:rFonts w:hint="eastAsia" w:ascii="楷体" w:hAnsi="楷体" w:eastAsia="楷体" w:cs="楷体"/>
          <w:b/>
          <w:bCs/>
          <w:kern w:val="2"/>
          <w:sz w:val="32"/>
          <w:szCs w:val="32"/>
          <w:lang w:val="en-US" w:eastAsia="zh-CN" w:bidi="ar"/>
        </w:rPr>
        <w:t>（局卫健办、局人社办、湾里市监局按职责分工负责）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三、组织实施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仿宋_GB2312" w:eastAsia="仿宋_GB2312" w:cs="仿宋_GB2312"/>
          <w:kern w:val="2"/>
          <w:sz w:val="32"/>
          <w:szCs w:val="32"/>
        </w:rPr>
      </w:pPr>
      <w:r>
        <w:rPr>
          <w:rFonts w:hint="eastAsia" w:ascii="楷体_GB2312" w:hAnsi="Times New Roman" w:eastAsia="楷体_GB2312" w:cs="楷体_GB2312"/>
          <w:b/>
          <w:bCs/>
          <w:kern w:val="2"/>
          <w:sz w:val="32"/>
          <w:szCs w:val="32"/>
          <w:lang w:val="en-US" w:eastAsia="zh-CN" w:bidi="ar"/>
        </w:rPr>
        <w:t>（一）加强组织领导。</w:t>
      </w:r>
      <w:r>
        <w:rPr>
          <w:rFonts w:hint="eastAsia" w:ascii="仿宋_GB2312" w:hAnsi="Times New Roman" w:eastAsia="仿宋_GB2312" w:cs="仿宋_GB2312"/>
          <w:kern w:val="2"/>
          <w:sz w:val="32"/>
          <w:szCs w:val="32"/>
          <w:lang w:val="en-US" w:eastAsia="zh-CN" w:bidi="ar"/>
        </w:rPr>
        <w:t>坚持和加强党的全面领导，各有关单位要高度重视建设优质高效医疗卫生服务体系，健全工作推进机制，将其列入管理局工作目标和考核内容，推动各项改革举措落地落实。</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仿宋_GB2312" w:eastAsia="仿宋_GB2312" w:cs="仿宋_GB2312"/>
          <w:kern w:val="2"/>
          <w:sz w:val="32"/>
          <w:szCs w:val="32"/>
        </w:rPr>
      </w:pPr>
      <w:r>
        <w:rPr>
          <w:rFonts w:hint="eastAsia" w:ascii="楷体_GB2312" w:hAnsi="Times New Roman" w:eastAsia="楷体_GB2312" w:cs="楷体_GB2312"/>
          <w:b/>
          <w:bCs/>
          <w:kern w:val="2"/>
          <w:sz w:val="32"/>
          <w:szCs w:val="32"/>
          <w:lang w:val="en-US" w:eastAsia="zh-CN" w:bidi="ar"/>
        </w:rPr>
        <w:t>（二）加强部门协同。</w:t>
      </w:r>
      <w:r>
        <w:rPr>
          <w:rFonts w:hint="eastAsia" w:ascii="仿宋_GB2312" w:hAnsi="Times New Roman" w:eastAsia="仿宋_GB2312" w:cs="仿宋_GB2312"/>
          <w:kern w:val="2"/>
          <w:sz w:val="32"/>
          <w:szCs w:val="32"/>
          <w:lang w:val="en-US" w:eastAsia="zh-CN" w:bidi="ar"/>
        </w:rPr>
        <w:t>各有关部门要协同推进医疗卫生服务体系建设工作，制定细化配套措施，形成工作合力。建立医疗卫生服务体系监测评价机制，动态评估区域整体改革绩效。要因地制宜，大胆探索，创造可复制推广的典型经验。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3" w:firstLineChars="200"/>
        <w:jc w:val="both"/>
        <w:textAlignment w:val="auto"/>
        <w:rPr>
          <w:rFonts w:hint="eastAsia" w:ascii="仿宋_GB2312" w:hAnsi="Times New Roman" w:eastAsia="仿宋_GB2312" w:cs="仿宋_GB2312"/>
          <w:kern w:val="2"/>
          <w:sz w:val="32"/>
          <w:szCs w:val="32"/>
          <w:lang w:val="en-US" w:eastAsia="zh-CN" w:bidi="ar"/>
        </w:rPr>
      </w:pPr>
      <w:r>
        <w:rPr>
          <w:rFonts w:hint="eastAsia" w:ascii="楷体_GB2312" w:hAnsi="Times New Roman" w:eastAsia="楷体_GB2312" w:cs="楷体_GB2312"/>
          <w:b/>
          <w:bCs/>
          <w:kern w:val="2"/>
          <w:sz w:val="32"/>
          <w:szCs w:val="32"/>
          <w:lang w:val="en-US" w:eastAsia="zh-CN" w:bidi="ar"/>
        </w:rPr>
        <w:t>（三）加强宣传引导。</w:t>
      </w:r>
      <w:r>
        <w:rPr>
          <w:rFonts w:hint="eastAsia" w:ascii="仿宋_GB2312" w:hAnsi="Times New Roman" w:eastAsia="仿宋_GB2312" w:cs="仿宋_GB2312"/>
          <w:kern w:val="2"/>
          <w:sz w:val="32"/>
          <w:szCs w:val="32"/>
          <w:lang w:val="en-US" w:eastAsia="zh-CN" w:bidi="ar"/>
        </w:rPr>
        <w:t>围绕改革目标和重点任务，做好政策解读和相关培训。及时总结优秀的做法和经验，充分发挥典型的示范引领作用。注重挖掘湾里管理局医院历史、文化特色和名医大家，大力建设特色鲜明的医院文化，努力打造医院品牌。主动回应社会关切，合理引导社会预期，为医疗卫生服务体系改革发展营造良好社会环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hAnsi="Times New Roman"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eastAsia" w:ascii="仿宋_GB2312" w:hAnsi="Times New Roman" w:eastAsia="仿宋_GB2312" w:cs="仿宋_GB2312"/>
          <w:kern w:val="2"/>
          <w:sz w:val="32"/>
          <w:szCs w:val="32"/>
          <w:lang w:val="en-US" w:eastAsia="zh-CN" w:bidi="ar"/>
        </w:rPr>
      </w:pPr>
    </w:p>
    <w:p>
      <w:pPr>
        <w:adjustRightInd w:val="0"/>
        <w:snapToGrid w:val="0"/>
        <w:spacing w:line="520" w:lineRule="exact"/>
        <w:ind w:firstLine="280" w:firstLineChars="100"/>
      </w:pPr>
      <w:r>
        <w:rPr>
          <w:rFonts w:hint="eastAsia" w:ascii="仿宋" w:hAnsi="仿宋"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347980</wp:posOffset>
                </wp:positionV>
                <wp:extent cx="5485765" cy="0"/>
                <wp:effectExtent l="0" t="6350" r="0" b="6350"/>
                <wp:wrapNone/>
                <wp:docPr id="2" name="直接连接符 2"/>
                <wp:cNvGraphicFramePr/>
                <a:graphic xmlns:a="http://schemas.openxmlformats.org/drawingml/2006/main">
                  <a:graphicData uri="http://schemas.microsoft.com/office/word/2010/wordprocessingShape">
                    <wps:wsp>
                      <wps:cNvCnPr/>
                      <wps:spPr>
                        <a:xfrm>
                          <a:off x="0" y="0"/>
                          <a:ext cx="548576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35pt;margin-top:27.4pt;height:0pt;width:431.95pt;z-index:251660288;mso-width-relative:page;mso-height-relative:page;" filled="f" stroked="t" coordsize="21600,21600" o:gfxdata="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1yLgr1wAAAAcBAAAPAAAAAAAAAAEAIAAAACIAAABkcnMvZG93bnJldi54&#10;bWxQSwECFAAUAAAACACHTuJA+HVtYfsBAADzAwAADgAAAAAAAAABACAAAAAmAQAAZHJzL2Uyb0Rv&#10;Yy54bWxQSwUGAAAAAAYABgBZAQAAkwUAAAAA&#10;">
                <v:fill on="f" focussize="0,0"/>
                <v:stroke weight="1pt" color="#000000" joinstyle="round"/>
                <v:imagedata o:title=""/>
                <o:lock v:ext="edit" aspectratio="f"/>
              </v:line>
            </w:pict>
          </mc:Fallback>
        </mc:AlternateContent>
      </w:r>
      <w:r>
        <w:rPr>
          <w:rFonts w:hint="eastAsia" w:ascii="仿宋" w:hAnsi="仿宋" w:eastAsia="仿宋"/>
          <w:sz w:val="32"/>
          <w:szCs w:val="32"/>
          <w:u w:val="single"/>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48260</wp:posOffset>
                </wp:positionV>
                <wp:extent cx="5485765" cy="0"/>
                <wp:effectExtent l="0" t="6350" r="0" b="6350"/>
                <wp:wrapNone/>
                <wp:docPr id="3" name="直接箭头连接符 3"/>
                <wp:cNvGraphicFramePr/>
                <a:graphic xmlns:a="http://schemas.openxmlformats.org/drawingml/2006/main">
                  <a:graphicData uri="http://schemas.microsoft.com/office/word/2010/wordprocessingShape">
                    <wps:wsp>
                      <wps:cNvCnPr/>
                      <wps:spPr>
                        <a:xfrm>
                          <a:off x="0" y="0"/>
                          <a:ext cx="5485765" cy="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0.4pt;margin-top:3.8pt;height:0pt;width:431.95pt;z-index:251659264;mso-width-relative:page;mso-height-relative:page;" filled="f" stroked="t" coordsize="21600,21600" o:gfxdata="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HPi7M8AAAAEAQAADwAAAAAAAAABACAAAAAiAAAAZHJzL2Rvd25yZXYu&#10;eG1sUEsBAhQAFAAAAAgAh07iQKlDtqQEAgAA+wMAAA4AAAAAAAAAAQAgAAAAHgEAAGRycy9lMm9E&#10;b2MueG1sUEsFBgAAAAAGAAYAWQEAAJQFAAAAAA==&#10;">
                <v:fill on="f" focussize="0,0"/>
                <v:stroke weight="1pt" color="#000000" joinstyle="round"/>
                <v:imagedata o:title=""/>
                <o:lock v:ext="edit" aspectratio="f"/>
              </v:shape>
            </w:pict>
          </mc:Fallback>
        </mc:AlternateContent>
      </w:r>
      <w:r>
        <w:rPr>
          <w:rFonts w:hint="eastAsia" w:ascii="仿宋_GB2312" w:hAnsi="仿宋" w:eastAsia="仿宋_GB2312"/>
          <w:sz w:val="28"/>
          <w:szCs w:val="28"/>
        </w:rPr>
        <w:t xml:space="preserve">中共湾里管理局工委 湾里管理局办公室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202</w:t>
      </w:r>
      <w:r>
        <w:rPr>
          <w:rFonts w:hint="eastAsia" w:ascii="仿宋_GB2312" w:hAnsi="仿宋" w:eastAsia="仿宋_GB2312"/>
          <w:sz w:val="28"/>
          <w:szCs w:val="28"/>
          <w:lang w:val="en-US" w:eastAsia="zh-CN"/>
        </w:rPr>
        <w:t>4</w:t>
      </w:r>
      <w:r>
        <w:rPr>
          <w:rFonts w:hint="eastAsia" w:ascii="仿宋_GB2312" w:hAnsi="仿宋" w:eastAsia="仿宋_GB2312"/>
          <w:sz w:val="28"/>
          <w:szCs w:val="28"/>
        </w:rPr>
        <w:t>年</w:t>
      </w:r>
      <w:r>
        <w:rPr>
          <w:rFonts w:hint="eastAsia" w:ascii="仿宋_GB2312" w:hAnsi="仿宋" w:eastAsia="仿宋_GB2312"/>
          <w:sz w:val="28"/>
          <w:szCs w:val="28"/>
          <w:lang w:val="en-US" w:eastAsia="zh-CN"/>
        </w:rPr>
        <w:t>6</w:t>
      </w:r>
      <w:r>
        <w:rPr>
          <w:rFonts w:hint="eastAsia" w:ascii="仿宋_GB2312" w:hAnsi="仿宋" w:eastAsia="仿宋_GB2312"/>
          <w:sz w:val="28"/>
          <w:szCs w:val="28"/>
        </w:rPr>
        <w:t>月</w:t>
      </w:r>
      <w:r>
        <w:rPr>
          <w:rFonts w:hint="eastAsia" w:ascii="仿宋_GB2312" w:hAnsi="仿宋" w:eastAsia="仿宋_GB2312"/>
          <w:sz w:val="28"/>
          <w:szCs w:val="28"/>
          <w:lang w:val="en-US" w:eastAsia="zh-CN"/>
        </w:rPr>
        <w:t>27</w:t>
      </w:r>
      <w:r>
        <w:rPr>
          <w:rFonts w:hint="eastAsia" w:ascii="仿宋_GB2312" w:hAnsi="仿宋" w:eastAsia="仿宋_GB2312"/>
          <w:sz w:val="28"/>
          <w:szCs w:val="28"/>
        </w:rPr>
        <w:t>日印发</w:t>
      </w:r>
    </w:p>
    <w:sectPr>
      <w:footerReference r:id="rId3" w:type="default"/>
      <w:pgSz w:w="11906" w:h="16838"/>
      <w:pgMar w:top="1701" w:right="1474" w:bottom="1587"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3156F4-9317-4607-BB05-A13EACA8FF7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A130FD6-B1FB-43DF-BBBE-C3405ACEC17A}"/>
  </w:font>
  <w:font w:name="方正小标宋简体">
    <w:panose1 w:val="03000509000000000000"/>
    <w:charset w:val="86"/>
    <w:family w:val="auto"/>
    <w:pitch w:val="default"/>
    <w:sig w:usb0="00000001" w:usb1="080E0000" w:usb2="00000000" w:usb3="00000000" w:csb0="00040000" w:csb1="00000000"/>
    <w:embedRegular r:id="rId3" w:fontKey="{7DC06DB4-A9B1-4CD7-BDD6-47513FBACA81}"/>
  </w:font>
  <w:font w:name="华文中宋">
    <w:panose1 w:val="02010600040101010101"/>
    <w:charset w:val="86"/>
    <w:family w:val="auto"/>
    <w:pitch w:val="default"/>
    <w:sig w:usb0="00000287" w:usb1="080F0000" w:usb2="00000000" w:usb3="00000000" w:csb0="0004009F" w:csb1="DFD70000"/>
    <w:embedRegular r:id="rId4" w:fontKey="{EF1CE74B-2FBF-4034-A0A9-6811D5E5A0FF}"/>
  </w:font>
  <w:font w:name="楷体">
    <w:panose1 w:val="02010609060101010101"/>
    <w:charset w:val="86"/>
    <w:family w:val="modern"/>
    <w:pitch w:val="default"/>
    <w:sig w:usb0="800002BF" w:usb1="38CF7CFA" w:usb2="00000016" w:usb3="00000000" w:csb0="00040001" w:csb1="00000000"/>
    <w:embedRegular r:id="rId5" w:fontKey="{90089C36-D306-43CE-B02E-58A7C9F5D9C2}"/>
  </w:font>
  <w:font w:name="仿宋_GB2312">
    <w:panose1 w:val="02010609030101010101"/>
    <w:charset w:val="86"/>
    <w:family w:val="modern"/>
    <w:pitch w:val="default"/>
    <w:sig w:usb0="00000001" w:usb1="080E0000" w:usb2="00000000" w:usb3="00000000" w:csb0="00040000" w:csb1="00000000"/>
    <w:embedRegular r:id="rId6" w:fontKey="{DCD044EB-D0B7-4AC7-85F0-98A5F630D192}"/>
  </w:font>
  <w:font w:name="楷体_GB2312">
    <w:panose1 w:val="02010609030101010101"/>
    <w:charset w:val="86"/>
    <w:family w:val="modern"/>
    <w:pitch w:val="default"/>
    <w:sig w:usb0="00000001" w:usb1="080E0000" w:usb2="00000000" w:usb3="00000000" w:csb0="00040000" w:csb1="00000000"/>
    <w:embedRegular r:id="rId7" w:fontKey="{589C5C89-B8B8-467E-8B90-A966C11C8887}"/>
  </w:font>
  <w:font w:name="仿宋">
    <w:panose1 w:val="02010609060101010101"/>
    <w:charset w:val="86"/>
    <w:family w:val="auto"/>
    <w:pitch w:val="default"/>
    <w:sig w:usb0="800002BF" w:usb1="38CF7CFA" w:usb2="00000016" w:usb3="00000000" w:csb0="00040001" w:csb1="00000000"/>
    <w:embedRegular r:id="rId8" w:fontKey="{10A37C62-1547-412C-B45E-6B11BBAAC9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iM2MzMjg5OWZjNTQwN2EwYzEzNGNkNDYzNWQwMGUifQ=="/>
  </w:docVars>
  <w:rsids>
    <w:rsidRoot w:val="00000000"/>
    <w:rsid w:val="0D4E37C2"/>
    <w:rsid w:val="12DC6F45"/>
    <w:rsid w:val="180C0990"/>
    <w:rsid w:val="2B785FB3"/>
    <w:rsid w:val="2CD16DF6"/>
    <w:rsid w:val="2F90341B"/>
    <w:rsid w:val="411A73CB"/>
    <w:rsid w:val="54174F0C"/>
    <w:rsid w:val="552B6579"/>
    <w:rsid w:val="5AC71F19"/>
    <w:rsid w:val="5B8A5421"/>
    <w:rsid w:val="5C6519EA"/>
    <w:rsid w:val="628F7A21"/>
    <w:rsid w:val="6B250CC2"/>
    <w:rsid w:val="6BFC41E1"/>
    <w:rsid w:val="73B04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4"/>
    <w:basedOn w:val="1"/>
    <w:next w:val="1"/>
    <w:unhideWhenUsed/>
    <w:qFormat/>
    <w:uiPriority w:val="0"/>
    <w:pPr>
      <w:keepNext/>
      <w:keepLines/>
      <w:widowControl/>
      <w:spacing w:line="360" w:lineRule="auto"/>
      <w:jc w:val="center"/>
      <w:outlineLvl w:val="3"/>
    </w:pPr>
    <w:rPr>
      <w:rFonts w:ascii="Arial" w:hAnsi="Arial" w:eastAsia="黑体"/>
      <w:kern w:val="0"/>
      <w:sz w:val="28"/>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customStyle="1" w:styleId="4">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99"/>
    <w:pPr>
      <w:widowControl/>
      <w:spacing w:beforeAutospacing="1" w:afterAutospacing="1"/>
      <w:jc w:val="left"/>
    </w:pPr>
    <w:rPr>
      <w:rFonts w:ascii="宋体" w:hAnsi="宋体" w:cs="宋体"/>
      <w:kern w:val="0"/>
      <w:sz w:val="24"/>
    </w:rPr>
  </w:style>
  <w:style w:type="paragraph" w:styleId="7">
    <w:name w:val="Body Text First Indent"/>
    <w:basedOn w:val="3"/>
    <w:qFormat/>
    <w:uiPriority w:val="0"/>
    <w:pPr>
      <w:spacing w:after="0"/>
      <w:ind w:firstLine="420" w:firstLineChars="100"/>
    </w:pPr>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6782</Words>
  <Characters>6928</Characters>
  <Lines>0</Lines>
  <Paragraphs>0</Paragraphs>
  <TotalTime>5</TotalTime>
  <ScaleCrop>false</ScaleCrop>
  <LinksUpToDate>false</LinksUpToDate>
  <CharactersWithSpaces>6949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2024-06-20T08:01:00Z</dcterms:created>
  <dc:creator>Administrator</dc:creator>
  <cp:lastModifiedBy>老咪Pisces</cp:lastModifiedBy>
  <cp:lastPrinted>2024-07-01T06:48:39Z</cp:lastPrinted>
  <dcterms:modified xsi:type="dcterms:W3CDTF">2024-07-01T06:49:17Z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B8CEF6AC7C004AD29CD182A25235317B_13</vt:lpwstr>
  </property>
</Properties>
</file>