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line="700" w:lineRule="exact"/>
        <w:jc w:val="center"/>
        <w:rPr>
          <w:rFonts w:hint="eastAsia" w:ascii="仿宋_GB2312" w:hAnsi="仿宋_GB2312" w:eastAsia="仿宋_GB2312" w:cs="仿宋_GB2312"/>
          <w:sz w:val="32"/>
          <w:szCs w:val="32"/>
        </w:rPr>
      </w:pPr>
    </w:p>
    <w:p>
      <w:pPr>
        <w:widowControl/>
        <w:shd w:val="clear" w:color="auto" w:fill="FFFFFF"/>
        <w:spacing w:line="700" w:lineRule="exact"/>
        <w:jc w:val="center"/>
        <w:rPr>
          <w:rFonts w:hint="eastAsia" w:ascii="仿宋_GB2312" w:hAnsi="仿宋_GB2312" w:eastAsia="仿宋_GB2312" w:cs="仿宋_GB2312"/>
          <w:sz w:val="32"/>
          <w:szCs w:val="32"/>
        </w:rPr>
      </w:pPr>
    </w:p>
    <w:p>
      <w:pPr>
        <w:widowControl/>
        <w:shd w:val="clear" w:color="auto" w:fill="FFFFFF"/>
        <w:spacing w:line="700" w:lineRule="exact"/>
        <w:jc w:val="center"/>
        <w:rPr>
          <w:rFonts w:hint="eastAsia" w:ascii="仿宋_GB2312" w:hAnsi="仿宋_GB2312" w:eastAsia="仿宋_GB2312" w:cs="仿宋_GB2312"/>
          <w:sz w:val="32"/>
          <w:szCs w:val="32"/>
        </w:rPr>
      </w:pPr>
    </w:p>
    <w:p>
      <w:pPr>
        <w:widowControl/>
        <w:shd w:val="clear" w:color="auto" w:fill="FFFFFF"/>
        <w:spacing w:line="700" w:lineRule="exact"/>
        <w:jc w:val="center"/>
        <w:rPr>
          <w:rFonts w:hint="eastAsia" w:ascii="仿宋_GB2312" w:hAnsi="仿宋_GB2312" w:eastAsia="仿宋_GB2312" w:cs="仿宋_GB2312"/>
          <w:sz w:val="32"/>
          <w:szCs w:val="32"/>
        </w:rPr>
      </w:pPr>
    </w:p>
    <w:p>
      <w:pPr>
        <w:widowControl/>
        <w:shd w:val="clear" w:color="auto" w:fill="FFFFFF"/>
        <w:spacing w:line="700" w:lineRule="exact"/>
        <w:jc w:val="center"/>
        <w:rPr>
          <w:rFonts w:hint="eastAsia" w:ascii="仿宋_GB2312" w:hAnsi="仿宋_GB2312" w:eastAsia="仿宋_GB2312" w:cs="仿宋_GB2312"/>
          <w:sz w:val="32"/>
          <w:szCs w:val="32"/>
        </w:rPr>
      </w:pPr>
    </w:p>
    <w:p>
      <w:pPr>
        <w:widowControl/>
        <w:shd w:val="clear" w:color="auto" w:fill="FFFFFF"/>
        <w:spacing w:line="700" w:lineRule="exact"/>
        <w:jc w:val="center"/>
        <w:rPr>
          <w:rFonts w:hint="eastAsia" w:ascii="仿宋_GB2312" w:hAnsi="仿宋_GB2312" w:eastAsia="仿宋_GB2312" w:cs="仿宋_GB2312"/>
          <w:sz w:val="32"/>
          <w:szCs w:val="32"/>
        </w:rPr>
      </w:pPr>
    </w:p>
    <w:p>
      <w:pPr>
        <w:widowControl/>
        <w:shd w:val="clear" w:color="auto" w:fill="FFFFFF"/>
        <w:spacing w:line="760" w:lineRule="exact"/>
        <w:jc w:val="center"/>
        <w:rPr>
          <w:rFonts w:hint="eastAsia" w:ascii="仿宋_GB2312" w:hAnsi="仿宋_GB2312" w:eastAsia="仿宋_GB2312" w:cs="仿宋_GB2312"/>
          <w:color w:val="000000"/>
          <w:spacing w:val="-4"/>
          <w:kern w:val="0"/>
          <w:sz w:val="32"/>
          <w:szCs w:val="32"/>
          <w:shd w:val="clear" w:color="auto" w:fill="FFFFFF"/>
          <w:lang w:bidi="ar"/>
        </w:rPr>
      </w:pPr>
      <w:r>
        <w:rPr>
          <w:rFonts w:hint="eastAsia" w:ascii="仿宋_GB2312" w:hAnsi="仿宋_GB2312" w:eastAsia="仿宋_GB2312" w:cs="仿宋_GB2312"/>
          <w:sz w:val="32"/>
          <w:szCs w:val="32"/>
        </w:rPr>
        <w:t>湾管办字〔202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22</w:t>
      </w:r>
      <w:r>
        <w:rPr>
          <w:rFonts w:hint="eastAsia" w:ascii="仿宋_GB2312" w:hAnsi="仿宋_GB2312" w:eastAsia="仿宋_GB2312" w:cs="仿宋_GB2312"/>
          <w:sz w:val="32"/>
          <w:szCs w:val="32"/>
        </w:rPr>
        <w:t>号</w:t>
      </w:r>
    </w:p>
    <w:p>
      <w:pPr>
        <w:widowControl/>
        <w:shd w:val="clear" w:color="auto" w:fill="FFFFFF"/>
        <w:spacing w:line="760" w:lineRule="exact"/>
        <w:jc w:val="center"/>
        <w:rPr>
          <w:rFonts w:hint="eastAsia" w:ascii="仿宋_GB2312" w:hAnsi="仿宋_GB2312" w:eastAsia="仿宋_GB2312" w:cs="仿宋_GB2312"/>
          <w:sz w:val="32"/>
          <w:szCs w:val="32"/>
        </w:rPr>
      </w:pPr>
    </w:p>
    <w:p>
      <w:pPr>
        <w:pStyle w:val="2"/>
        <w:ind w:firstLine="0" w:firstLineChars="0"/>
        <w:rPr>
          <w:rFonts w:hint="eastAsia"/>
        </w:rPr>
      </w:pPr>
    </w:p>
    <w:p>
      <w:pPr>
        <w:spacing w:line="600" w:lineRule="exact"/>
        <w:jc w:val="center"/>
        <w:rPr>
          <w:rFonts w:ascii="方正小标宋简体" w:hAnsi="方正小标宋简体" w:eastAsia="方正小标宋简体" w:cs="方正小标宋简体"/>
          <w:spacing w:val="0"/>
          <w:sz w:val="44"/>
          <w:szCs w:val="44"/>
        </w:rPr>
      </w:pPr>
      <w:r>
        <w:rPr>
          <w:rFonts w:hint="eastAsia" w:ascii="方正小标宋简体" w:hAnsi="方正小标宋简体" w:eastAsia="方正小标宋简体" w:cs="方正小标宋简体"/>
          <w:spacing w:val="0"/>
          <w:sz w:val="44"/>
          <w:szCs w:val="44"/>
        </w:rPr>
        <w:t>中共湾里管理局工委  湾里管理局办公室</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ascii="方正小标宋简体" w:hAnsi="方正仿宋_GBK" w:eastAsia="方正小标宋简体"/>
          <w:spacing w:val="0"/>
          <w:sz w:val="44"/>
          <w:szCs w:val="44"/>
        </w:rPr>
      </w:pPr>
      <w:r>
        <w:rPr>
          <w:rFonts w:hint="eastAsia" w:ascii="方正小标宋简体" w:hAnsi="方正仿宋_GBK" w:eastAsia="方正小标宋简体"/>
          <w:spacing w:val="0"/>
          <w:sz w:val="44"/>
          <w:szCs w:val="44"/>
        </w:rPr>
        <w:t>关于印发</w:t>
      </w:r>
      <w:r>
        <w:rPr>
          <w:rFonts w:hint="eastAsia" w:ascii="方正小标宋简体" w:hAnsi="方正小标宋简体" w:eastAsia="方正小标宋简体" w:cs="方正小标宋简体"/>
          <w:b w:val="0"/>
          <w:bCs w:val="0"/>
          <w:color w:val="auto"/>
          <w:sz w:val="44"/>
          <w:szCs w:val="44"/>
          <w:highlight w:val="none"/>
          <w:shd w:val="clear" w:color="auto" w:fill="auto"/>
          <w:lang w:val="en-US" w:eastAsia="zh-CN"/>
        </w:rPr>
        <w:t>进一步完善政府投资项目监管办法（试行）的通知</w:t>
      </w:r>
    </w:p>
    <w:p>
      <w:pPr>
        <w:keepNext w:val="0"/>
        <w:keepLines w:val="0"/>
        <w:pageBreakBefore w:val="0"/>
        <w:widowControl w:val="0"/>
        <w:kinsoku/>
        <w:wordWrap/>
        <w:overflowPunct/>
        <w:topLinePunct w:val="0"/>
        <w:autoSpaceDE/>
        <w:autoSpaceDN/>
        <w:bidi w:val="0"/>
        <w:adjustRightInd/>
        <w:snapToGrid/>
        <w:spacing w:line="520" w:lineRule="exact"/>
        <w:ind w:firstLine="320" w:firstLineChars="1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各镇、街道，洗药湖管理处，罗亭工业园管委会，管理局各部门，驻局各相关单位</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方正仿宋_GBK" w:hAnsi="方正仿宋_GBK" w:eastAsia="方正仿宋_GBK"/>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进一步完善政府投资项目监管办法（试行）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已经</w:t>
      </w:r>
      <w:r>
        <w:rPr>
          <w:rFonts w:hint="eastAsia" w:ascii="仿宋_GB2312" w:hAnsi="宋体" w:eastAsia="仿宋_GB2312"/>
          <w:color w:val="auto"/>
          <w:sz w:val="32"/>
          <w:szCs w:val="32"/>
          <w:lang w:eastAsia="zh-CN"/>
        </w:rPr>
        <w:t>中共湾里管理局工委</w:t>
      </w:r>
      <w:r>
        <w:rPr>
          <w:rFonts w:hint="eastAsia" w:ascii="仿宋_GB2312" w:hAnsi="宋体" w:eastAsia="仿宋_GB2312"/>
          <w:color w:val="auto"/>
          <w:sz w:val="32"/>
          <w:szCs w:val="32"/>
          <w:lang w:val="en-US" w:eastAsia="zh-CN"/>
        </w:rPr>
        <w:t>2024年第6次会议和</w:t>
      </w:r>
      <w:r>
        <w:rPr>
          <w:rFonts w:hint="eastAsia" w:ascii="仿宋_GB2312" w:hAnsi="仿宋_GB2312" w:eastAsia="仿宋_GB2312" w:cs="仿宋_GB2312"/>
          <w:color w:val="auto"/>
          <w:kern w:val="2"/>
          <w:sz w:val="32"/>
          <w:szCs w:val="32"/>
        </w:rPr>
        <w:t>湾里</w:t>
      </w:r>
      <w:r>
        <w:rPr>
          <w:rFonts w:hint="eastAsia" w:ascii="仿宋_GB2312" w:hAnsi="宋体" w:eastAsia="仿宋_GB2312"/>
          <w:color w:val="auto"/>
          <w:sz w:val="32"/>
          <w:szCs w:val="32"/>
        </w:rPr>
        <w:t>管理</w:t>
      </w:r>
      <w:r>
        <w:rPr>
          <w:rFonts w:hint="eastAsia" w:ascii="仿宋_GB2312" w:hAnsi="宋体" w:eastAsia="仿宋_GB2312"/>
          <w:sz w:val="32"/>
          <w:szCs w:val="32"/>
        </w:rPr>
        <w:t>局202</w:t>
      </w:r>
      <w:r>
        <w:rPr>
          <w:rFonts w:hint="eastAsia" w:ascii="仿宋_GB2312" w:hAnsi="宋体" w:eastAsia="仿宋_GB2312"/>
          <w:sz w:val="32"/>
          <w:szCs w:val="32"/>
          <w:lang w:val="en-US" w:eastAsia="zh-CN"/>
        </w:rPr>
        <w:t>4</w:t>
      </w:r>
      <w:r>
        <w:rPr>
          <w:rFonts w:hint="eastAsia" w:ascii="仿宋_GB2312" w:hAnsi="宋体" w:eastAsia="仿宋_GB2312"/>
          <w:sz w:val="32"/>
          <w:szCs w:val="32"/>
        </w:rPr>
        <w:t>年第</w:t>
      </w:r>
      <w:r>
        <w:rPr>
          <w:rFonts w:hint="eastAsia" w:ascii="仿宋_GB2312" w:hAnsi="宋体" w:eastAsia="仿宋_GB2312"/>
          <w:sz w:val="32"/>
          <w:szCs w:val="32"/>
          <w:lang w:val="en-US" w:eastAsia="zh-CN"/>
        </w:rPr>
        <w:t>8</w:t>
      </w:r>
      <w:r>
        <w:rPr>
          <w:rFonts w:hint="eastAsia" w:ascii="仿宋_GB2312" w:hAnsi="宋体" w:eastAsia="仿宋_GB2312"/>
          <w:sz w:val="32"/>
          <w:szCs w:val="32"/>
        </w:rPr>
        <w:t>次局长办公会议</w:t>
      </w:r>
      <w:r>
        <w:rPr>
          <w:rFonts w:hint="eastAsia" w:ascii="仿宋_GB2312" w:hAnsi="仿宋_GB2312" w:eastAsia="仿宋_GB2312" w:cs="仿宋_GB2312"/>
          <w:kern w:val="2"/>
          <w:sz w:val="32"/>
          <w:szCs w:val="32"/>
        </w:rPr>
        <w:t>研究同意</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现印发给你们</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请认真抓好贯彻落实。</w:t>
      </w:r>
    </w:p>
    <w:tbl>
      <w:tblPr>
        <w:tblStyle w:val="6"/>
        <w:tblpPr w:leftFromText="180" w:rightFromText="180" w:vertAnchor="text" w:horzAnchor="page" w:tblpX="4987" w:tblpY="501"/>
        <w:tblOverlap w:val="never"/>
        <w:tblW w:w="0" w:type="auto"/>
        <w:tblInd w:w="0" w:type="dxa"/>
        <w:tblLayout w:type="fixed"/>
        <w:tblCellMar>
          <w:top w:w="0" w:type="dxa"/>
          <w:left w:w="108" w:type="dxa"/>
          <w:bottom w:w="0" w:type="dxa"/>
          <w:right w:w="108" w:type="dxa"/>
        </w:tblCellMar>
      </w:tblPr>
      <w:tblGrid>
        <w:gridCol w:w="4134"/>
        <w:gridCol w:w="1289"/>
      </w:tblGrid>
      <w:tr>
        <w:tblPrEx>
          <w:tblCellMar>
            <w:top w:w="0" w:type="dxa"/>
            <w:left w:w="108" w:type="dxa"/>
            <w:bottom w:w="0" w:type="dxa"/>
            <w:right w:w="108" w:type="dxa"/>
          </w:tblCellMar>
        </w:tblPrEx>
        <w:tc>
          <w:tcPr>
            <w:tcW w:w="4134" w:type="dxa"/>
            <w:noWrap w:val="0"/>
            <w:vAlign w:val="top"/>
          </w:tcPr>
          <w:p>
            <w:pPr>
              <w:spacing w:line="520" w:lineRule="exact"/>
              <w:jc w:val="distribute"/>
              <w:rPr>
                <w:rFonts w:ascii="仿宋_GB2312" w:hAnsi="仿宋_GB2312" w:eastAsia="仿宋_GB2312" w:cs="仿宋_GB2312"/>
                <w:sz w:val="32"/>
                <w:szCs w:val="32"/>
              </w:rPr>
            </w:pPr>
            <w:bookmarkStart w:id="0" w:name="_GoBack"/>
            <w:r>
              <w:rPr>
                <w:rFonts w:hint="eastAsia" w:ascii="仿宋_GB2312" w:hAnsi="仿宋_GB2312" w:eastAsia="仿宋_GB2312" w:cs="仿宋_GB2312"/>
                <w:sz w:val="32"/>
                <w:szCs w:val="32"/>
              </w:rPr>
              <w:t>中共南昌市湾里管理局工委</w:t>
            </w:r>
          </w:p>
        </w:tc>
        <w:tc>
          <w:tcPr>
            <w:tcW w:w="1289" w:type="dxa"/>
            <w:vMerge w:val="restart"/>
            <w:noWrap w:val="0"/>
            <w:vAlign w:val="center"/>
          </w:tcPr>
          <w:p>
            <w:pPr>
              <w:spacing w:line="52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办公室</w:t>
            </w:r>
          </w:p>
        </w:tc>
      </w:tr>
      <w:tr>
        <w:tblPrEx>
          <w:tblCellMar>
            <w:top w:w="0" w:type="dxa"/>
            <w:left w:w="108" w:type="dxa"/>
            <w:bottom w:w="0" w:type="dxa"/>
            <w:right w:w="108" w:type="dxa"/>
          </w:tblCellMar>
        </w:tblPrEx>
        <w:tc>
          <w:tcPr>
            <w:tcW w:w="4134" w:type="dxa"/>
            <w:noWrap w:val="0"/>
            <w:vAlign w:val="top"/>
          </w:tcPr>
          <w:p>
            <w:pPr>
              <w:spacing w:line="520" w:lineRule="exact"/>
              <w:jc w:val="distribute"/>
              <w:rPr>
                <w:rFonts w:ascii="仿宋_GB2312" w:hAnsi="仿宋_GB2312" w:eastAsia="仿宋_GB2312" w:cs="仿宋_GB2312"/>
                <w:sz w:val="32"/>
                <w:szCs w:val="32"/>
              </w:rPr>
            </w:pPr>
            <w:r>
              <w:rPr>
                <w:rFonts w:hint="eastAsia" w:ascii="仿宋_GB2312" w:hAnsi="仿宋_GB2312" w:eastAsia="仿宋_GB2312" w:cs="仿宋_GB2312"/>
                <w:sz w:val="32"/>
                <w:szCs w:val="32"/>
              </w:rPr>
              <w:t>南昌市湾里管理局</w:t>
            </w:r>
          </w:p>
        </w:tc>
        <w:tc>
          <w:tcPr>
            <w:tcW w:w="1289" w:type="dxa"/>
            <w:vMerge w:val="continue"/>
            <w:noWrap w:val="0"/>
            <w:vAlign w:val="center"/>
          </w:tcPr>
          <w:p>
            <w:pPr>
              <w:spacing w:line="520" w:lineRule="exact"/>
              <w:jc w:val="center"/>
              <w:rPr>
                <w:rFonts w:hint="eastAsia" w:ascii="仿宋_GB2312" w:hAnsi="仿宋_GB2312" w:eastAsia="仿宋_GB2312" w:cs="仿宋_GB2312"/>
                <w:sz w:val="32"/>
                <w:szCs w:val="32"/>
              </w:rPr>
            </w:pPr>
          </w:p>
        </w:tc>
      </w:tr>
      <w:tr>
        <w:tblPrEx>
          <w:tblCellMar>
            <w:top w:w="0" w:type="dxa"/>
            <w:left w:w="108" w:type="dxa"/>
            <w:bottom w:w="0" w:type="dxa"/>
            <w:right w:w="108" w:type="dxa"/>
          </w:tblCellMar>
        </w:tblPrEx>
        <w:tc>
          <w:tcPr>
            <w:tcW w:w="5423" w:type="dxa"/>
            <w:gridSpan w:val="2"/>
            <w:noWrap w:val="0"/>
            <w:vAlign w:val="top"/>
          </w:tcPr>
          <w:p>
            <w:pPr>
              <w:spacing w:line="520" w:lineRule="exact"/>
              <w:ind w:firstLine="1280" w:firstLine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日</w:t>
            </w:r>
          </w:p>
        </w:tc>
      </w:tr>
      <w:bookmarkEnd w:id="0"/>
    </w:tbl>
    <w:p>
      <w:pPr>
        <w:spacing w:line="600" w:lineRule="exact"/>
        <w:rPr>
          <w:rFonts w:ascii="方正仿宋_GBK" w:hAnsi="方正仿宋_GBK" w:eastAsia="方正仿宋_GBK"/>
          <w:sz w:val="32"/>
          <w:szCs w:val="32"/>
        </w:rPr>
      </w:pPr>
    </w:p>
    <w:p>
      <w:pPr>
        <w:spacing w:line="600" w:lineRule="exact"/>
        <w:rPr>
          <w:rFonts w:ascii="方正仿宋_GBK" w:hAnsi="方正仿宋_GBK" w:eastAsia="方正仿宋_GBK"/>
          <w:sz w:val="32"/>
          <w:szCs w:val="32"/>
        </w:rPr>
      </w:pPr>
    </w:p>
    <w:p>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方正小标宋简体" w:hAnsi="方正小标宋简体" w:eastAsia="方正小标宋简体" w:cs="方正小标宋简体"/>
          <w:b w:val="0"/>
          <w:bCs w:val="0"/>
          <w:color w:val="auto"/>
          <w:sz w:val="44"/>
          <w:szCs w:val="44"/>
          <w:highlight w:val="none"/>
          <w:shd w:val="clear" w:color="auto" w:fill="auto"/>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color w:val="auto"/>
          <w:sz w:val="44"/>
          <w:szCs w:val="44"/>
          <w:highlight w:val="none"/>
          <w:shd w:val="clear" w:color="auto" w:fill="auto"/>
          <w:lang w:val="en-US" w:eastAsia="zh-CN"/>
        </w:rPr>
      </w:pPr>
      <w:r>
        <w:rPr>
          <w:rFonts w:hint="eastAsia" w:ascii="方正小标宋简体" w:hAnsi="方正小标宋简体" w:eastAsia="方正小标宋简体" w:cs="方正小标宋简体"/>
          <w:b w:val="0"/>
          <w:bCs w:val="0"/>
          <w:color w:val="auto"/>
          <w:sz w:val="44"/>
          <w:szCs w:val="44"/>
          <w:highlight w:val="none"/>
          <w:shd w:val="clear" w:color="auto" w:fill="auto"/>
          <w:lang w:val="en-US" w:eastAsia="zh-CN"/>
        </w:rPr>
        <w:t>进一步完善政府投资项目监管办法（试行）</w:t>
      </w:r>
    </w:p>
    <w:p>
      <w:pPr>
        <w:keepNext w:val="0"/>
        <w:keepLines w:val="0"/>
        <w:pageBreakBefore w:val="0"/>
        <w:widowControl w:val="0"/>
        <w:kinsoku/>
        <w:wordWrap/>
        <w:overflowPunct/>
        <w:topLinePunct w:val="0"/>
        <w:autoSpaceDE/>
        <w:autoSpaceDN/>
        <w:bidi w:val="0"/>
        <w:adjustRightInd/>
        <w:snapToGrid/>
        <w:spacing w:line="600" w:lineRule="exact"/>
        <w:ind w:firstLine="883" w:firstLineChars="200"/>
        <w:jc w:val="both"/>
        <w:textAlignment w:val="auto"/>
        <w:rPr>
          <w:rFonts w:hint="eastAsia" w:ascii="宋体" w:hAnsi="宋体" w:cs="宋体"/>
          <w:b/>
          <w:bCs/>
          <w:color w:val="auto"/>
          <w:sz w:val="44"/>
          <w:szCs w:val="44"/>
          <w:highlight w:val="none"/>
          <w:shd w:val="clear" w:color="auto" w:fill="auto"/>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color w:val="auto"/>
          <w:sz w:val="32"/>
          <w:szCs w:val="32"/>
          <w:highlight w:val="none"/>
          <w:shd w:val="clear" w:color="auto" w:fill="auto"/>
          <w:lang w:val="en-US" w:eastAsia="zh-CN"/>
        </w:rPr>
      </w:pPr>
      <w:r>
        <w:rPr>
          <w:rFonts w:hint="eastAsia" w:ascii="仿宋_GB2312" w:hAnsi="仿宋_GB2312" w:eastAsia="仿宋_GB2312" w:cs="仿宋_GB2312"/>
          <w:color w:val="auto"/>
          <w:sz w:val="32"/>
          <w:szCs w:val="32"/>
          <w:highlight w:val="none"/>
          <w:shd w:val="clear" w:color="auto" w:fill="auto"/>
        </w:rPr>
        <w:t>为</w:t>
      </w:r>
      <w:r>
        <w:rPr>
          <w:rFonts w:hint="eastAsia" w:ascii="仿宋_GB2312" w:hAnsi="仿宋_GB2312" w:eastAsia="仿宋_GB2312" w:cs="仿宋_GB2312"/>
          <w:color w:val="auto"/>
          <w:sz w:val="32"/>
          <w:szCs w:val="32"/>
          <w:highlight w:val="none"/>
          <w:shd w:val="clear" w:color="auto" w:fill="auto"/>
          <w:lang w:val="en-US" w:eastAsia="zh-CN"/>
        </w:rPr>
        <w:t>加强政府投资项目监管，切实控制成本，规范建设程序，提高资金效益，保障项目优质、廉洁、高效推进，根据市纪委市监委《关于严防重点工程监管工作中形式主义、官僚主义问题的工作提示》精神，结合湾里实际</w:t>
      </w:r>
      <w:r>
        <w:rPr>
          <w:rFonts w:hint="eastAsia" w:ascii="仿宋_GB2312" w:hAnsi="仿宋_GB2312" w:eastAsia="仿宋_GB2312" w:cs="仿宋_GB2312"/>
          <w:color w:val="auto"/>
          <w:sz w:val="32"/>
          <w:szCs w:val="32"/>
          <w:highlight w:val="none"/>
          <w:shd w:val="clear" w:color="auto" w:fill="auto"/>
        </w:rPr>
        <w:t>，</w:t>
      </w:r>
      <w:r>
        <w:rPr>
          <w:rFonts w:hint="eastAsia" w:ascii="仿宋_GB2312" w:hAnsi="仿宋_GB2312" w:eastAsia="仿宋_GB2312" w:cs="仿宋_GB2312"/>
          <w:color w:val="auto"/>
          <w:sz w:val="32"/>
          <w:szCs w:val="32"/>
          <w:highlight w:val="none"/>
          <w:shd w:val="clear" w:color="auto" w:fill="auto"/>
          <w:lang w:val="en-US" w:eastAsia="zh-CN"/>
        </w:rPr>
        <w:t>现就进一步加强政府投资项目监管有关事项通知如下：</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黑体" w:hAnsi="黑体" w:eastAsia="黑体" w:cs="黑体"/>
          <w:color w:val="auto"/>
          <w:sz w:val="32"/>
          <w:szCs w:val="32"/>
          <w:highlight w:val="none"/>
          <w:shd w:val="clear" w:color="auto" w:fill="auto"/>
          <w:lang w:val="en-US" w:eastAsia="zh-CN"/>
        </w:rPr>
      </w:pPr>
      <w:r>
        <w:rPr>
          <w:rFonts w:hint="eastAsia" w:ascii="黑体" w:hAnsi="黑体" w:eastAsia="黑体" w:cs="黑体"/>
          <w:color w:val="auto"/>
          <w:sz w:val="32"/>
          <w:szCs w:val="32"/>
          <w:highlight w:val="none"/>
          <w:shd w:val="clear" w:color="auto" w:fill="auto"/>
          <w:lang w:val="en-US" w:eastAsia="zh-CN"/>
        </w:rPr>
        <w:t>一、目标任务</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color w:val="auto"/>
          <w:sz w:val="32"/>
          <w:szCs w:val="32"/>
          <w:highlight w:val="none"/>
          <w:shd w:val="clear" w:color="auto" w:fill="auto"/>
          <w:lang w:val="en-US" w:eastAsia="zh-CN"/>
        </w:rPr>
      </w:pPr>
      <w:r>
        <w:rPr>
          <w:rFonts w:hint="eastAsia" w:ascii="仿宋_GB2312" w:hAnsi="仿宋_GB2312" w:eastAsia="仿宋_GB2312" w:cs="仿宋_GB2312"/>
          <w:color w:val="auto"/>
          <w:sz w:val="32"/>
          <w:szCs w:val="32"/>
          <w:highlight w:val="none"/>
          <w:shd w:val="clear" w:color="auto" w:fill="auto"/>
          <w:lang w:val="en-US" w:eastAsia="zh-CN"/>
        </w:rPr>
        <w:t>压紧压实各单位责任，在质量、安全、财政评审、询价等方面细化违规违法行为处罚措施，堵塞管理漏洞，填补制度空白，防控风险隐患，推动施工、监理、设计等单位</w:t>
      </w:r>
      <w:r>
        <w:rPr>
          <w:rFonts w:hint="default" w:ascii="仿宋_GB2312" w:hAnsi="仿宋_GB2312" w:eastAsia="仿宋_GB2312" w:cs="仿宋_GB2312"/>
          <w:color w:val="auto"/>
          <w:sz w:val="32"/>
          <w:szCs w:val="32"/>
          <w:highlight w:val="none"/>
          <w:shd w:val="clear" w:color="auto" w:fill="auto"/>
          <w:lang w:val="en-US" w:eastAsia="zh-CN"/>
        </w:rPr>
        <w:t>依规依法履职尽责</w:t>
      </w:r>
      <w:r>
        <w:rPr>
          <w:rFonts w:hint="eastAsia" w:ascii="仿宋_GB2312" w:hAnsi="仿宋_GB2312" w:eastAsia="仿宋_GB2312" w:cs="仿宋_GB2312"/>
          <w:color w:val="auto"/>
          <w:sz w:val="32"/>
          <w:szCs w:val="32"/>
          <w:highlight w:val="none"/>
          <w:shd w:val="clear" w:color="auto" w:fill="auto"/>
          <w:lang w:val="en-US" w:eastAsia="zh-CN"/>
        </w:rPr>
        <w:t>，建设、监管单位严格落实</w:t>
      </w:r>
      <w:r>
        <w:rPr>
          <w:rFonts w:hint="default" w:ascii="仿宋_GB2312" w:hAnsi="仿宋_GB2312" w:eastAsia="仿宋_GB2312" w:cs="仿宋_GB2312"/>
          <w:color w:val="auto"/>
          <w:sz w:val="32"/>
          <w:szCs w:val="32"/>
          <w:highlight w:val="none"/>
          <w:shd w:val="clear" w:color="auto" w:fill="auto"/>
          <w:lang w:val="en-US" w:eastAsia="zh-CN"/>
        </w:rPr>
        <w:t>法定监督职责</w:t>
      </w:r>
      <w:r>
        <w:rPr>
          <w:rFonts w:hint="eastAsia" w:ascii="仿宋_GB2312" w:hAnsi="仿宋_GB2312" w:eastAsia="仿宋_GB2312" w:cs="仿宋_GB2312"/>
          <w:color w:val="auto"/>
          <w:sz w:val="32"/>
          <w:szCs w:val="32"/>
          <w:highlight w:val="none"/>
          <w:shd w:val="clear" w:color="auto" w:fill="auto"/>
          <w:lang w:val="en-US" w:eastAsia="zh-CN"/>
        </w:rPr>
        <w:t>，</w:t>
      </w:r>
      <w:r>
        <w:rPr>
          <w:rFonts w:hint="default" w:ascii="仿宋_GB2312" w:hAnsi="仿宋_GB2312" w:eastAsia="仿宋_GB2312" w:cs="仿宋_GB2312"/>
          <w:color w:val="auto"/>
          <w:sz w:val="32"/>
          <w:szCs w:val="32"/>
          <w:highlight w:val="none"/>
          <w:shd w:val="clear" w:color="auto" w:fill="auto"/>
          <w:lang w:val="en-US" w:eastAsia="zh-CN"/>
        </w:rPr>
        <w:t>促进项目管理科学化、规范化和制度化</w:t>
      </w:r>
      <w:r>
        <w:rPr>
          <w:rFonts w:hint="eastAsia" w:ascii="仿宋_GB2312" w:hAnsi="仿宋_GB2312" w:eastAsia="仿宋_GB2312" w:cs="仿宋_GB2312"/>
          <w:color w:val="auto"/>
          <w:sz w:val="32"/>
          <w:szCs w:val="32"/>
          <w:highlight w:val="none"/>
          <w:shd w:val="clear" w:color="auto" w:fill="auto"/>
          <w:lang w:val="en-US" w:eastAsia="zh-CN"/>
        </w:rPr>
        <w:t>，确保项目建设管理各环节有效衔接、运转顺畅、规范实施，有效控制投资成本，提高政府资金使用质效。</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黑体" w:hAnsi="黑体" w:eastAsia="黑体" w:cs="黑体"/>
          <w:b w:val="0"/>
          <w:bCs w:val="0"/>
          <w:color w:val="auto"/>
          <w:sz w:val="32"/>
          <w:szCs w:val="32"/>
          <w:highlight w:val="none"/>
          <w:shd w:val="clear" w:color="auto" w:fill="auto"/>
          <w:lang w:val="en-US" w:eastAsia="zh-CN"/>
        </w:rPr>
      </w:pPr>
      <w:r>
        <w:rPr>
          <w:rFonts w:hint="eastAsia" w:ascii="黑体" w:hAnsi="黑体" w:eastAsia="黑体" w:cs="黑体"/>
          <w:b w:val="0"/>
          <w:bCs w:val="0"/>
          <w:color w:val="auto"/>
          <w:sz w:val="32"/>
          <w:szCs w:val="32"/>
          <w:highlight w:val="none"/>
          <w:shd w:val="clear" w:color="auto" w:fill="auto"/>
          <w:lang w:val="en-US" w:eastAsia="zh-CN"/>
        </w:rPr>
        <w:t>监管内容</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3" w:firstLineChars="200"/>
        <w:jc w:val="both"/>
        <w:textAlignment w:val="auto"/>
        <w:rPr>
          <w:rFonts w:hint="eastAsia" w:ascii="楷体_GB2312" w:hAnsi="楷体_GB2312" w:eastAsia="楷体_GB2312" w:cs="楷体_GB2312"/>
          <w:b/>
          <w:bCs/>
          <w:color w:val="auto"/>
          <w:sz w:val="32"/>
          <w:szCs w:val="32"/>
          <w:highlight w:val="none"/>
          <w:shd w:val="clear" w:color="auto" w:fill="auto"/>
          <w:lang w:val="en-US" w:eastAsia="zh-CN"/>
        </w:rPr>
      </w:pPr>
      <w:r>
        <w:rPr>
          <w:rFonts w:hint="eastAsia" w:ascii="楷体_GB2312" w:hAnsi="楷体_GB2312" w:eastAsia="楷体_GB2312" w:cs="楷体_GB2312"/>
          <w:b/>
          <w:bCs/>
          <w:color w:val="auto"/>
          <w:sz w:val="32"/>
          <w:szCs w:val="32"/>
          <w:highlight w:val="none"/>
          <w:shd w:val="clear" w:color="auto" w:fill="auto"/>
          <w:lang w:val="en-US" w:eastAsia="zh-CN"/>
        </w:rPr>
        <w:t>（一）转包、违法分包方面</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b w:val="0"/>
          <w:bCs w:val="0"/>
          <w:color w:val="auto"/>
          <w:sz w:val="32"/>
          <w:szCs w:val="32"/>
          <w:highlight w:val="none"/>
          <w:shd w:val="clear" w:color="auto" w:fill="auto"/>
          <w:lang w:val="en-US" w:eastAsia="zh-CN"/>
        </w:rPr>
      </w:pPr>
      <w:r>
        <w:rPr>
          <w:rFonts w:hint="eastAsia" w:ascii="仿宋_GB2312" w:hAnsi="仿宋_GB2312" w:eastAsia="仿宋_GB2312" w:cs="仿宋_GB2312"/>
          <w:b w:val="0"/>
          <w:bCs w:val="0"/>
          <w:color w:val="auto"/>
          <w:sz w:val="32"/>
          <w:szCs w:val="32"/>
          <w:highlight w:val="none"/>
          <w:shd w:val="clear" w:color="auto" w:fill="auto"/>
          <w:lang w:val="en-US" w:eastAsia="zh-CN"/>
        </w:rPr>
        <w:t>1.业主单位、代建单位要加强对施工、监理、设计、勘察等参建单位合同履行情况的日常监督，确保履行合同事项与投标文件内容一致。</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b w:val="0"/>
          <w:bCs w:val="0"/>
          <w:color w:val="auto"/>
          <w:sz w:val="32"/>
          <w:szCs w:val="32"/>
          <w:highlight w:val="none"/>
          <w:shd w:val="clear" w:color="auto" w:fill="auto"/>
          <w:lang w:val="en-US" w:eastAsia="zh-CN"/>
        </w:rPr>
      </w:pPr>
      <w:r>
        <w:rPr>
          <w:rFonts w:hint="eastAsia" w:ascii="仿宋_GB2312" w:hAnsi="仿宋_GB2312" w:eastAsia="仿宋_GB2312" w:cs="仿宋_GB2312"/>
          <w:b w:val="0"/>
          <w:bCs w:val="0"/>
          <w:color w:val="auto"/>
          <w:sz w:val="32"/>
          <w:szCs w:val="32"/>
          <w:highlight w:val="none"/>
          <w:shd w:val="clear" w:color="auto" w:fill="auto"/>
          <w:lang w:val="en-US" w:eastAsia="zh-CN"/>
        </w:rPr>
        <w:t>2.业主单位、代建单位发现涉嫌转包、违法分包及挂靠等违反法律法规和合同约定等行为，要及时向项目主管部门和行业监管部门报告并依法依规进行处理。应发现未发现、发现后未报告未处置或项目主管部门和行业监管部门处置不力的，由纪检监察工委启动问责机制，情节严重的给予责任人党纪政务处分并追究单位领导责任，存在主观故意等情形的，依法依规加重处理。</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仿宋_GB2312" w:hAnsi="仿宋_GB2312" w:eastAsia="仿宋_GB2312" w:cs="仿宋_GB2312"/>
          <w:b w:val="0"/>
          <w:bCs w:val="0"/>
          <w:color w:val="auto"/>
          <w:sz w:val="32"/>
          <w:szCs w:val="32"/>
          <w:highlight w:val="none"/>
          <w:shd w:val="clear" w:color="auto" w:fill="auto"/>
          <w:lang w:val="en-US" w:eastAsia="zh-CN"/>
        </w:rPr>
      </w:pPr>
      <w:r>
        <w:rPr>
          <w:rFonts w:hint="eastAsia" w:ascii="仿宋_GB2312" w:hAnsi="仿宋_GB2312" w:eastAsia="仿宋_GB2312" w:cs="仿宋_GB2312"/>
          <w:b w:val="0"/>
          <w:bCs w:val="0"/>
          <w:color w:val="auto"/>
          <w:sz w:val="32"/>
          <w:szCs w:val="32"/>
          <w:highlight w:val="none"/>
          <w:shd w:val="clear" w:color="auto" w:fill="auto"/>
          <w:lang w:val="en-US" w:eastAsia="zh-CN"/>
        </w:rPr>
        <w:t>3.施工单位存在转包、非法分包的，施工单位须支付转包、非法分包所获收益同等金额的违约金，由</w:t>
      </w:r>
      <w:r>
        <w:rPr>
          <w:rFonts w:hint="eastAsia" w:ascii="仿宋" w:hAnsi="仿宋" w:eastAsia="仿宋" w:cs="仿宋"/>
          <w:b w:val="0"/>
          <w:bCs w:val="0"/>
          <w:color w:val="auto"/>
          <w:sz w:val="32"/>
          <w:szCs w:val="32"/>
          <w:lang w:val="en-US" w:eastAsia="zh-CN"/>
        </w:rPr>
        <w:t>建设主管部门</w:t>
      </w:r>
      <w:r>
        <w:rPr>
          <w:rFonts w:hint="eastAsia" w:ascii="仿宋" w:hAnsi="仿宋" w:eastAsia="仿宋" w:cs="仿宋"/>
          <w:b w:val="0"/>
          <w:bCs w:val="0"/>
          <w:color w:val="auto"/>
          <w:sz w:val="32"/>
          <w:szCs w:val="32"/>
        </w:rPr>
        <w:t>责令改正，</w:t>
      </w:r>
      <w:r>
        <w:rPr>
          <w:rFonts w:hint="eastAsia" w:ascii="仿宋" w:hAnsi="仿宋" w:eastAsia="仿宋" w:cs="仿宋"/>
          <w:b w:val="0"/>
          <w:bCs w:val="0"/>
          <w:color w:val="auto"/>
          <w:sz w:val="32"/>
          <w:szCs w:val="32"/>
          <w:lang w:val="en-US" w:eastAsia="zh-CN"/>
        </w:rPr>
        <w:t>并处</w:t>
      </w:r>
      <w:r>
        <w:rPr>
          <w:rFonts w:hint="eastAsia" w:ascii="仿宋" w:hAnsi="仿宋" w:eastAsia="仿宋" w:cs="仿宋"/>
          <w:b w:val="0"/>
          <w:bCs w:val="0"/>
          <w:color w:val="auto"/>
          <w:sz w:val="32"/>
          <w:szCs w:val="32"/>
        </w:rPr>
        <w:t>罚款，</w:t>
      </w:r>
      <w:r>
        <w:rPr>
          <w:rFonts w:hint="eastAsia" w:ascii="仿宋" w:hAnsi="仿宋" w:eastAsia="仿宋" w:cs="仿宋"/>
          <w:b w:val="0"/>
          <w:bCs w:val="0"/>
          <w:color w:val="auto"/>
          <w:sz w:val="32"/>
          <w:szCs w:val="32"/>
          <w:lang w:val="en-US" w:eastAsia="zh-CN"/>
        </w:rPr>
        <w:t>报上级主管部门</w:t>
      </w:r>
      <w:r>
        <w:rPr>
          <w:rFonts w:hint="eastAsia" w:ascii="仿宋" w:hAnsi="仿宋" w:eastAsia="仿宋" w:cs="仿宋"/>
          <w:b w:val="0"/>
          <w:bCs w:val="0"/>
          <w:color w:val="auto"/>
          <w:sz w:val="32"/>
          <w:szCs w:val="32"/>
        </w:rPr>
        <w:t>降低资质等级</w:t>
      </w:r>
      <w:r>
        <w:rPr>
          <w:rFonts w:hint="eastAsia" w:ascii="仿宋" w:hAnsi="仿宋" w:eastAsia="仿宋" w:cs="仿宋"/>
          <w:b w:val="0"/>
          <w:bCs w:val="0"/>
          <w:color w:val="auto"/>
          <w:sz w:val="32"/>
          <w:szCs w:val="32"/>
          <w:lang w:val="en-US" w:eastAsia="zh-CN"/>
        </w:rPr>
        <w:t>甚至</w:t>
      </w:r>
      <w:r>
        <w:rPr>
          <w:rFonts w:hint="eastAsia" w:ascii="仿宋" w:hAnsi="仿宋" w:eastAsia="仿宋" w:cs="仿宋"/>
          <w:b w:val="0"/>
          <w:bCs w:val="0"/>
          <w:color w:val="auto"/>
          <w:sz w:val="32"/>
          <w:szCs w:val="32"/>
        </w:rPr>
        <w:t>吊销资质证书。</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3" w:firstLineChars="200"/>
        <w:jc w:val="both"/>
        <w:textAlignment w:val="auto"/>
        <w:rPr>
          <w:rFonts w:hint="default" w:ascii="楷体_GB2312" w:hAnsi="楷体_GB2312" w:eastAsia="楷体_GB2312" w:cs="楷体_GB2312"/>
          <w:b/>
          <w:bCs/>
          <w:color w:val="auto"/>
          <w:sz w:val="32"/>
          <w:szCs w:val="32"/>
          <w:highlight w:val="none"/>
          <w:shd w:val="clear" w:color="auto" w:fill="auto"/>
          <w:lang w:val="en-US" w:eastAsia="zh-CN"/>
        </w:rPr>
      </w:pPr>
      <w:r>
        <w:rPr>
          <w:rFonts w:hint="eastAsia" w:ascii="楷体_GB2312" w:hAnsi="楷体_GB2312" w:eastAsia="楷体_GB2312" w:cs="楷体_GB2312"/>
          <w:b/>
          <w:bCs/>
          <w:color w:val="auto"/>
          <w:sz w:val="32"/>
          <w:szCs w:val="32"/>
          <w:highlight w:val="none"/>
          <w:shd w:val="clear" w:color="auto" w:fill="auto"/>
          <w:lang w:val="en-US" w:eastAsia="zh-CN"/>
        </w:rPr>
        <w:t>（二）勘察、设计、预算编制方面</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b w:val="0"/>
          <w:bCs w:val="0"/>
          <w:color w:val="auto"/>
          <w:sz w:val="32"/>
          <w:szCs w:val="32"/>
          <w:highlight w:val="none"/>
          <w:shd w:val="clear" w:color="auto" w:fill="auto"/>
          <w:lang w:val="en-US" w:eastAsia="zh-CN"/>
        </w:rPr>
      </w:pPr>
      <w:r>
        <w:rPr>
          <w:rFonts w:hint="eastAsia" w:ascii="仿宋_GB2312" w:hAnsi="仿宋_GB2312" w:eastAsia="仿宋_GB2312" w:cs="仿宋_GB2312"/>
          <w:b w:val="0"/>
          <w:bCs w:val="0"/>
          <w:color w:val="auto"/>
          <w:sz w:val="32"/>
          <w:szCs w:val="32"/>
          <w:highlight w:val="none"/>
          <w:shd w:val="clear" w:color="auto" w:fill="auto"/>
          <w:lang w:val="en-US" w:eastAsia="zh-CN"/>
        </w:rPr>
        <w:t>1.业主单位、代建单位应严格按照合同条款约束勘察、设计（初步设计）及预算编制单位履职尽责。勘察、设计（初步设计）及预算编制单位应按照工程建设相关法律法规，精准测量、精细设计、严控成本，认真履行工作职责。</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b w:val="0"/>
          <w:bCs w:val="0"/>
          <w:color w:val="auto"/>
          <w:sz w:val="32"/>
          <w:szCs w:val="32"/>
          <w:highlight w:val="none"/>
          <w:shd w:val="clear" w:color="auto" w:fill="auto"/>
          <w:lang w:val="en-US" w:eastAsia="zh-CN"/>
        </w:rPr>
      </w:pPr>
      <w:r>
        <w:rPr>
          <w:rFonts w:hint="eastAsia" w:ascii="仿宋_GB2312" w:hAnsi="仿宋_GB2312" w:eastAsia="仿宋_GB2312" w:cs="仿宋_GB2312"/>
          <w:b w:val="0"/>
          <w:bCs w:val="0"/>
          <w:color w:val="auto"/>
          <w:sz w:val="32"/>
          <w:szCs w:val="32"/>
          <w:highlight w:val="none"/>
          <w:shd w:val="clear" w:color="auto" w:fill="auto"/>
          <w:lang w:val="en-US" w:eastAsia="zh-CN"/>
        </w:rPr>
        <w:t>2.因责任单位履职不力、把关不严，导致项目增加工程费用超过合同价10%且未按照程序审批同意的，由纪检监察工委启动问责机制，情节严重的给予责任人党纪政务处分并追究单位领导责任，存在主观故意等情形的，依法依规加重处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cs="仿宋_GB2312"/>
          <w:b w:val="0"/>
          <w:bCs w:val="0"/>
          <w:color w:val="auto"/>
          <w:sz w:val="32"/>
          <w:szCs w:val="32"/>
          <w:highlight w:val="none"/>
          <w:shd w:val="clear" w:color="auto" w:fill="auto"/>
          <w:lang w:val="en-US" w:eastAsia="zh-CN"/>
        </w:rPr>
      </w:pPr>
      <w:r>
        <w:rPr>
          <w:rFonts w:hint="eastAsia" w:ascii="仿宋_GB2312" w:hAnsi="仿宋_GB2312" w:eastAsia="仿宋_GB2312" w:cs="仿宋_GB2312"/>
          <w:b w:val="0"/>
          <w:bCs w:val="0"/>
          <w:color w:val="auto"/>
          <w:sz w:val="32"/>
          <w:szCs w:val="32"/>
          <w:highlight w:val="none"/>
          <w:shd w:val="clear" w:color="auto" w:fill="auto"/>
          <w:lang w:val="en-US" w:eastAsia="zh-CN"/>
        </w:rPr>
        <w:t>3.勘察、设计（初步设计）及预算编制单位因工作过失、数据不准确等导致项目增加工程费用超过合同价10%的，责任单位须支付其服务费用20%的违约金；增加工程费用超过合同价20%的，责任单位须支付其服务费用30%的违约金；增加工程费用超过合同价30%的，责任单位须支付其服务费用50%的违约金，并依法解除合作对其起诉追责。</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3" w:firstLineChars="200"/>
        <w:jc w:val="both"/>
        <w:textAlignment w:val="auto"/>
        <w:rPr>
          <w:rFonts w:hint="default" w:ascii="楷体_GB2312" w:hAnsi="楷体_GB2312" w:eastAsia="楷体_GB2312" w:cs="楷体_GB2312"/>
          <w:b/>
          <w:bCs/>
          <w:color w:val="auto"/>
          <w:sz w:val="32"/>
          <w:szCs w:val="32"/>
          <w:highlight w:val="none"/>
          <w:shd w:val="clear" w:color="auto" w:fill="auto"/>
          <w:lang w:val="en-US" w:eastAsia="zh-CN"/>
        </w:rPr>
      </w:pPr>
      <w:r>
        <w:rPr>
          <w:rFonts w:hint="eastAsia" w:ascii="楷体_GB2312" w:hAnsi="楷体_GB2312" w:eastAsia="楷体_GB2312" w:cs="楷体_GB2312"/>
          <w:b/>
          <w:bCs/>
          <w:color w:val="auto"/>
          <w:sz w:val="32"/>
          <w:szCs w:val="32"/>
          <w:highlight w:val="none"/>
          <w:shd w:val="clear" w:color="auto" w:fill="auto"/>
          <w:lang w:val="en-US" w:eastAsia="zh-CN"/>
        </w:rPr>
        <w:t>（三）工程质量方面</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b w:val="0"/>
          <w:bCs w:val="0"/>
          <w:color w:val="auto"/>
          <w:sz w:val="32"/>
          <w:szCs w:val="32"/>
          <w:highlight w:val="none"/>
          <w:shd w:val="clear" w:color="auto" w:fill="auto"/>
          <w:lang w:val="en-US" w:eastAsia="zh-CN"/>
        </w:rPr>
      </w:pPr>
      <w:r>
        <w:rPr>
          <w:rFonts w:hint="eastAsia" w:ascii="仿宋_GB2312" w:hAnsi="仿宋_GB2312" w:eastAsia="仿宋_GB2312" w:cs="仿宋_GB2312"/>
          <w:b w:val="0"/>
          <w:bCs w:val="0"/>
          <w:color w:val="auto"/>
          <w:sz w:val="32"/>
          <w:szCs w:val="32"/>
          <w:highlight w:val="none"/>
          <w:shd w:val="clear" w:color="auto" w:fill="auto"/>
          <w:lang w:val="en-US" w:eastAsia="zh-CN"/>
        </w:rPr>
        <w:t>1.业主单位、代建单位、监理单位按照工作职责做好项目质量日常管理工作，行业监管按照《建设工程质量管理条例》开展监督，建设内容存在交叉、职责不明确的工程项目，按照“谁主管谁牵头、谁为主谁牵头、谁靠近谁牵头”的原则，明确责任部门。</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b w:val="0"/>
          <w:bCs w:val="0"/>
          <w:color w:val="auto"/>
          <w:sz w:val="32"/>
          <w:szCs w:val="32"/>
          <w:highlight w:val="none"/>
          <w:shd w:val="clear" w:color="auto" w:fill="auto"/>
          <w:lang w:val="en-US" w:eastAsia="zh-CN"/>
        </w:rPr>
      </w:pPr>
      <w:r>
        <w:rPr>
          <w:rFonts w:hint="eastAsia" w:ascii="仿宋_GB2312" w:hAnsi="仿宋_GB2312" w:eastAsia="仿宋_GB2312" w:cs="仿宋_GB2312"/>
          <w:b w:val="0"/>
          <w:bCs w:val="0"/>
          <w:color w:val="auto"/>
          <w:sz w:val="32"/>
          <w:szCs w:val="32"/>
          <w:highlight w:val="none"/>
          <w:shd w:val="clear" w:color="auto" w:fill="auto"/>
          <w:lang w:val="en-US" w:eastAsia="zh-CN"/>
        </w:rPr>
        <w:t>2.因责任单位履职不力、监管不严，导致项目存在质量问题的，由纪检监察工委启动问责机制，情节严重的给予责任人党纪政务处分并追究单位领导责任，存在主观故意等情形的，依法依规加重处理。</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b w:val="0"/>
          <w:bCs w:val="0"/>
          <w:color w:val="auto"/>
          <w:sz w:val="32"/>
          <w:szCs w:val="32"/>
          <w:highlight w:val="none"/>
          <w:shd w:val="clear" w:color="auto" w:fill="auto"/>
          <w:lang w:val="en-US" w:eastAsia="zh-CN"/>
        </w:rPr>
      </w:pPr>
      <w:r>
        <w:rPr>
          <w:rFonts w:hint="eastAsia" w:ascii="仿宋_GB2312" w:hAnsi="仿宋_GB2312" w:eastAsia="仿宋_GB2312" w:cs="仿宋_GB2312"/>
          <w:b w:val="0"/>
          <w:bCs w:val="0"/>
          <w:color w:val="auto"/>
          <w:sz w:val="32"/>
          <w:szCs w:val="32"/>
          <w:highlight w:val="none"/>
          <w:shd w:val="clear" w:color="auto" w:fill="auto"/>
          <w:lang w:val="en-US" w:eastAsia="zh-CN"/>
        </w:rPr>
        <w:t>3.日常检查发现的质量问题，由业主单位、代建单位和行业监管部门进行教育、处罚；质量问题被上级巡视巡察、审计或者其他职能部门监督检查发现的，施工单位和监理单位须视情节轻重每次分别支付1-10万的违约金；情节严重的质量问题，由</w:t>
      </w:r>
      <w:r>
        <w:rPr>
          <w:rFonts w:hint="eastAsia" w:ascii="仿宋" w:hAnsi="仿宋" w:eastAsia="仿宋" w:cs="仿宋"/>
          <w:b w:val="0"/>
          <w:bCs w:val="0"/>
          <w:color w:val="auto"/>
          <w:sz w:val="32"/>
          <w:szCs w:val="32"/>
          <w:lang w:val="en-US" w:eastAsia="zh-CN"/>
        </w:rPr>
        <w:t>建设主管部门</w:t>
      </w:r>
      <w:r>
        <w:rPr>
          <w:rFonts w:hint="eastAsia" w:ascii="仿宋" w:hAnsi="仿宋" w:eastAsia="仿宋" w:cs="仿宋"/>
          <w:b w:val="0"/>
          <w:bCs w:val="0"/>
          <w:color w:val="auto"/>
          <w:sz w:val="32"/>
          <w:szCs w:val="32"/>
        </w:rPr>
        <w:t>责令改正，</w:t>
      </w:r>
      <w:r>
        <w:rPr>
          <w:rFonts w:hint="eastAsia" w:ascii="仿宋" w:hAnsi="仿宋" w:eastAsia="仿宋" w:cs="仿宋"/>
          <w:b w:val="0"/>
          <w:bCs w:val="0"/>
          <w:color w:val="auto"/>
          <w:sz w:val="32"/>
          <w:szCs w:val="32"/>
          <w:lang w:val="en-US" w:eastAsia="zh-CN"/>
        </w:rPr>
        <w:t>并处</w:t>
      </w:r>
      <w:r>
        <w:rPr>
          <w:rFonts w:hint="eastAsia" w:ascii="仿宋" w:hAnsi="仿宋" w:eastAsia="仿宋" w:cs="仿宋"/>
          <w:b w:val="0"/>
          <w:bCs w:val="0"/>
          <w:color w:val="auto"/>
          <w:sz w:val="32"/>
          <w:szCs w:val="32"/>
        </w:rPr>
        <w:t>罚款，</w:t>
      </w:r>
      <w:r>
        <w:rPr>
          <w:rFonts w:hint="eastAsia" w:ascii="仿宋" w:hAnsi="仿宋" w:eastAsia="仿宋" w:cs="仿宋"/>
          <w:b w:val="0"/>
          <w:bCs w:val="0"/>
          <w:color w:val="auto"/>
          <w:sz w:val="32"/>
          <w:szCs w:val="32"/>
          <w:lang w:val="en-US" w:eastAsia="zh-CN"/>
        </w:rPr>
        <w:t>报上级主管部门</w:t>
      </w:r>
      <w:r>
        <w:rPr>
          <w:rFonts w:hint="eastAsia" w:ascii="仿宋" w:hAnsi="仿宋" w:eastAsia="仿宋" w:cs="仿宋"/>
          <w:b w:val="0"/>
          <w:bCs w:val="0"/>
          <w:color w:val="auto"/>
          <w:sz w:val="32"/>
          <w:szCs w:val="32"/>
        </w:rPr>
        <w:t>降低资质等级</w:t>
      </w:r>
      <w:r>
        <w:rPr>
          <w:rFonts w:hint="eastAsia" w:ascii="仿宋" w:hAnsi="仿宋" w:eastAsia="仿宋" w:cs="仿宋"/>
          <w:b w:val="0"/>
          <w:bCs w:val="0"/>
          <w:color w:val="auto"/>
          <w:sz w:val="32"/>
          <w:szCs w:val="32"/>
          <w:lang w:val="en-US" w:eastAsia="zh-CN"/>
        </w:rPr>
        <w:t>甚至</w:t>
      </w:r>
      <w:r>
        <w:rPr>
          <w:rFonts w:hint="eastAsia" w:ascii="仿宋" w:hAnsi="仿宋" w:eastAsia="仿宋" w:cs="仿宋"/>
          <w:b w:val="0"/>
          <w:bCs w:val="0"/>
          <w:color w:val="auto"/>
          <w:sz w:val="32"/>
          <w:szCs w:val="32"/>
        </w:rPr>
        <w:t>吊销资质证书。</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3" w:firstLineChars="200"/>
        <w:jc w:val="both"/>
        <w:textAlignment w:val="auto"/>
        <w:rPr>
          <w:rFonts w:hint="eastAsia" w:ascii="楷体_GB2312" w:hAnsi="楷体_GB2312" w:eastAsia="楷体_GB2312" w:cs="楷体_GB2312"/>
          <w:b/>
          <w:bCs/>
          <w:color w:val="auto"/>
          <w:sz w:val="32"/>
          <w:szCs w:val="32"/>
          <w:highlight w:val="none"/>
          <w:shd w:val="clear" w:color="auto" w:fill="auto"/>
          <w:lang w:val="en-US" w:eastAsia="zh-CN"/>
        </w:rPr>
      </w:pPr>
      <w:r>
        <w:rPr>
          <w:rFonts w:hint="eastAsia" w:ascii="楷体_GB2312" w:hAnsi="楷体_GB2312" w:eastAsia="楷体_GB2312" w:cs="楷体_GB2312"/>
          <w:b/>
          <w:bCs/>
          <w:color w:val="auto"/>
          <w:sz w:val="32"/>
          <w:szCs w:val="32"/>
          <w:highlight w:val="none"/>
          <w:shd w:val="clear" w:color="auto" w:fill="auto"/>
          <w:lang w:val="en-US" w:eastAsia="zh-CN"/>
        </w:rPr>
        <w:t>（四）询价方面</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仿宋_GB2312" w:hAnsi="仿宋_GB2312" w:eastAsia="仿宋_GB2312" w:cs="仿宋_GB2312"/>
          <w:b w:val="0"/>
          <w:bCs w:val="0"/>
          <w:color w:val="auto"/>
          <w:sz w:val="32"/>
          <w:szCs w:val="32"/>
          <w:highlight w:val="none"/>
          <w:shd w:val="clear" w:color="auto" w:fill="auto"/>
          <w:lang w:val="en-US" w:eastAsia="zh-CN"/>
        </w:rPr>
      </w:pPr>
      <w:r>
        <w:rPr>
          <w:rFonts w:hint="eastAsia" w:ascii="仿宋_GB2312" w:hAnsi="仿宋_GB2312" w:eastAsia="仿宋_GB2312" w:cs="仿宋_GB2312"/>
          <w:b w:val="0"/>
          <w:bCs w:val="0"/>
          <w:color w:val="auto"/>
          <w:sz w:val="32"/>
          <w:szCs w:val="32"/>
          <w:highlight w:val="none"/>
          <w:shd w:val="clear" w:color="auto" w:fill="auto"/>
          <w:lang w:val="en-US" w:eastAsia="zh-CN"/>
        </w:rPr>
        <w:t>1.询价工作由业主单位牵头，重点办、代建单位等（询价总金额达50万以上的财政办参与）参与，采用现场、比选、竞价及综合等方式进行询价。询价组要认真履职尽责，严格审核把关，确保询价结果公平、合理，从源头上节约资金成本，压减权力寻租空间。</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b w:val="0"/>
          <w:bCs w:val="0"/>
          <w:color w:val="auto"/>
          <w:sz w:val="32"/>
          <w:szCs w:val="32"/>
          <w:highlight w:val="none"/>
          <w:shd w:val="clear" w:color="auto" w:fill="auto"/>
          <w:lang w:val="en-US" w:eastAsia="zh-CN"/>
        </w:rPr>
      </w:pPr>
      <w:r>
        <w:rPr>
          <w:rFonts w:hint="eastAsia" w:ascii="仿宋_GB2312" w:hAnsi="仿宋_GB2312" w:eastAsia="仿宋_GB2312" w:cs="仿宋_GB2312"/>
          <w:b w:val="0"/>
          <w:bCs w:val="0"/>
          <w:color w:val="auto"/>
          <w:sz w:val="32"/>
          <w:szCs w:val="32"/>
          <w:highlight w:val="none"/>
          <w:shd w:val="clear" w:color="auto" w:fill="auto"/>
          <w:lang w:val="en-US" w:eastAsia="zh-CN"/>
        </w:rPr>
        <w:t>2.因询价组成员同施工方串通一气，刻意选择或默认对施工方有利的价格信息等行为，造成询价结果虚高的，由纪检监察工委启动问责机制，严肃查处，问题严重的移送司法机关处理，并追究单位领导责任。</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b w:val="0"/>
          <w:bCs w:val="0"/>
          <w:color w:val="auto"/>
          <w:sz w:val="32"/>
          <w:szCs w:val="32"/>
          <w:highlight w:val="none"/>
          <w:shd w:val="clear" w:color="auto" w:fill="auto"/>
          <w:lang w:val="en-US" w:eastAsia="zh-CN"/>
        </w:rPr>
      </w:pPr>
      <w:r>
        <w:rPr>
          <w:rFonts w:hint="eastAsia" w:ascii="仿宋_GB2312" w:hAnsi="仿宋_GB2312" w:eastAsia="仿宋_GB2312" w:cs="仿宋_GB2312"/>
          <w:b w:val="0"/>
          <w:bCs w:val="0"/>
          <w:color w:val="auto"/>
          <w:sz w:val="32"/>
          <w:szCs w:val="32"/>
          <w:highlight w:val="none"/>
          <w:shd w:val="clear" w:color="auto" w:fill="auto"/>
          <w:lang w:val="en-US" w:eastAsia="zh-CN"/>
        </w:rPr>
        <w:t>3.施工单位存在虚增询价材料、设备费用的，须退回虚增费用，超过总金额20%的，在退回虚增费用的同时，施工单位须支付超出部分50%的违约金；超过总金额40%的，在退回虚增费用的同时，施工单位须支付超出部分同等金额的违约金。</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3" w:firstLineChars="200"/>
        <w:jc w:val="both"/>
        <w:textAlignment w:val="auto"/>
        <w:rPr>
          <w:rFonts w:hint="default" w:ascii="楷体_GB2312" w:hAnsi="楷体_GB2312" w:eastAsia="楷体_GB2312" w:cs="楷体_GB2312"/>
          <w:b/>
          <w:bCs/>
          <w:color w:val="auto"/>
          <w:sz w:val="32"/>
          <w:szCs w:val="32"/>
          <w:highlight w:val="none"/>
          <w:shd w:val="clear" w:color="auto" w:fill="auto"/>
          <w:lang w:val="en-US" w:eastAsia="zh-CN"/>
        </w:rPr>
      </w:pPr>
      <w:r>
        <w:rPr>
          <w:rFonts w:hint="eastAsia" w:ascii="楷体_GB2312" w:hAnsi="楷体_GB2312" w:eastAsia="楷体_GB2312" w:cs="楷体_GB2312"/>
          <w:b/>
          <w:bCs/>
          <w:color w:val="auto"/>
          <w:sz w:val="32"/>
          <w:szCs w:val="32"/>
          <w:highlight w:val="none"/>
          <w:shd w:val="clear" w:color="auto" w:fill="auto"/>
          <w:lang w:val="en-US" w:eastAsia="zh-CN"/>
        </w:rPr>
        <w:t>（五）项目进度款拨付方面</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b w:val="0"/>
          <w:bCs w:val="0"/>
          <w:color w:val="auto"/>
          <w:sz w:val="32"/>
          <w:szCs w:val="32"/>
          <w:highlight w:val="none"/>
          <w:shd w:val="clear" w:color="auto" w:fill="auto"/>
          <w:lang w:val="en-US" w:eastAsia="zh-CN"/>
        </w:rPr>
      </w:pPr>
      <w:r>
        <w:rPr>
          <w:rFonts w:hint="eastAsia" w:ascii="仿宋_GB2312" w:hAnsi="仿宋_GB2312" w:eastAsia="仿宋_GB2312" w:cs="仿宋_GB2312"/>
          <w:b w:val="0"/>
          <w:bCs w:val="0"/>
          <w:color w:val="auto"/>
          <w:sz w:val="32"/>
          <w:szCs w:val="32"/>
          <w:highlight w:val="none"/>
          <w:shd w:val="clear" w:color="auto" w:fill="auto"/>
          <w:lang w:val="en-US" w:eastAsia="zh-CN"/>
        </w:rPr>
        <w:t>1.资金拨付由业主单位、代建单位负责工程量和拨付资金的审核，重点办负责对分部分项形象进度界面进行复核；财政办负责对拨付费用进行复核。</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b w:val="0"/>
          <w:bCs w:val="0"/>
          <w:color w:val="auto"/>
          <w:sz w:val="32"/>
          <w:szCs w:val="32"/>
          <w:highlight w:val="none"/>
          <w:shd w:val="clear" w:color="auto" w:fill="auto"/>
          <w:lang w:val="en-US" w:eastAsia="zh-CN"/>
        </w:rPr>
      </w:pPr>
      <w:r>
        <w:rPr>
          <w:rFonts w:hint="eastAsia" w:ascii="仿宋_GB2312" w:hAnsi="仿宋_GB2312" w:eastAsia="仿宋_GB2312" w:cs="仿宋_GB2312"/>
          <w:b w:val="0"/>
          <w:bCs w:val="0"/>
          <w:color w:val="auto"/>
          <w:sz w:val="32"/>
          <w:szCs w:val="32"/>
          <w:highlight w:val="none"/>
          <w:shd w:val="clear" w:color="auto" w:fill="auto"/>
          <w:lang w:val="en-US" w:eastAsia="zh-CN"/>
        </w:rPr>
        <w:t>2.因责任单位履职不力、把关不严，导致超付工程款比例超过本次应付资金30%的，由纪检监察工委启动问责机制，情节严重的给予责任人党纪政务处分并追究单位领导责任，存在主观故意等情形的，依法依规加重处理。</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b w:val="0"/>
          <w:bCs w:val="0"/>
          <w:color w:val="auto"/>
          <w:sz w:val="32"/>
          <w:szCs w:val="32"/>
          <w:highlight w:val="none"/>
          <w:shd w:val="clear" w:color="auto" w:fill="auto"/>
          <w:lang w:val="en-US" w:eastAsia="zh-CN"/>
        </w:rPr>
      </w:pPr>
      <w:r>
        <w:rPr>
          <w:rFonts w:hint="eastAsia" w:ascii="仿宋_GB2312" w:hAnsi="仿宋_GB2312" w:eastAsia="仿宋_GB2312" w:cs="仿宋_GB2312"/>
          <w:b w:val="0"/>
          <w:bCs w:val="0"/>
          <w:color w:val="auto"/>
          <w:sz w:val="32"/>
          <w:szCs w:val="32"/>
          <w:highlight w:val="none"/>
          <w:shd w:val="clear" w:color="auto" w:fill="auto"/>
          <w:lang w:val="en-US" w:eastAsia="zh-CN"/>
        </w:rPr>
        <w:t>3.在支付结算评审前最后一笔进度款时（最高不能超过工程实际费用70%）存在超付情形的，由纪检监察工委启动调查，超付进度款超过10%的，加重处罚。</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b w:val="0"/>
          <w:bCs w:val="0"/>
          <w:color w:val="auto"/>
          <w:sz w:val="32"/>
          <w:szCs w:val="32"/>
          <w:highlight w:val="none"/>
          <w:shd w:val="clear" w:color="auto" w:fill="auto"/>
          <w:lang w:val="en-US" w:eastAsia="zh-CN"/>
        </w:rPr>
      </w:pPr>
      <w:r>
        <w:rPr>
          <w:rFonts w:hint="eastAsia" w:ascii="仿宋_GB2312" w:hAnsi="仿宋_GB2312" w:eastAsia="仿宋_GB2312" w:cs="仿宋_GB2312"/>
          <w:b w:val="0"/>
          <w:bCs w:val="0"/>
          <w:color w:val="auto"/>
          <w:sz w:val="32"/>
          <w:szCs w:val="32"/>
          <w:highlight w:val="none"/>
          <w:shd w:val="clear" w:color="auto" w:fill="auto"/>
          <w:lang w:val="en-US" w:eastAsia="zh-CN"/>
        </w:rPr>
        <w:t>4.存在超付工程款的，施工单位须退回超付资金，超付比例超过本次应付资金30%的，施工单位和监理单位须分别支付超付金额10%的违约金，超付比例达到本次应付资金50%的，施工单位和监理单位须分别支付超付金额20%的违约金。</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3" w:firstLineChars="200"/>
        <w:jc w:val="both"/>
        <w:textAlignment w:val="auto"/>
        <w:rPr>
          <w:rFonts w:hint="eastAsia" w:ascii="楷体_GB2312" w:hAnsi="楷体_GB2312" w:eastAsia="楷体_GB2312" w:cs="楷体_GB2312"/>
          <w:b/>
          <w:bCs/>
          <w:color w:val="auto"/>
          <w:sz w:val="32"/>
          <w:szCs w:val="32"/>
          <w:highlight w:val="none"/>
          <w:shd w:val="clear" w:color="auto" w:fill="auto"/>
          <w:lang w:val="en-US" w:eastAsia="zh-CN"/>
        </w:rPr>
      </w:pPr>
      <w:r>
        <w:rPr>
          <w:rFonts w:hint="eastAsia" w:ascii="楷体_GB2312" w:hAnsi="楷体_GB2312" w:eastAsia="楷体_GB2312" w:cs="楷体_GB2312"/>
          <w:b/>
          <w:bCs/>
          <w:color w:val="auto"/>
          <w:sz w:val="32"/>
          <w:szCs w:val="32"/>
          <w:highlight w:val="none"/>
          <w:shd w:val="clear" w:color="auto" w:fill="auto"/>
          <w:lang w:val="en-US" w:eastAsia="zh-CN"/>
        </w:rPr>
        <w:t>（六）预结（决）算评审方面</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仿宋_GB2312" w:hAnsi="仿宋_GB2312" w:eastAsia="仿宋_GB2312" w:cs="仿宋_GB2312"/>
          <w:b w:val="0"/>
          <w:bCs w:val="0"/>
          <w:color w:val="auto"/>
          <w:sz w:val="32"/>
          <w:szCs w:val="32"/>
          <w:highlight w:val="none"/>
          <w:shd w:val="clear" w:color="auto" w:fill="auto"/>
          <w:lang w:val="en-US" w:eastAsia="zh-CN"/>
        </w:rPr>
      </w:pPr>
      <w:r>
        <w:rPr>
          <w:rFonts w:hint="eastAsia" w:ascii="仿宋_GB2312" w:hAnsi="仿宋_GB2312" w:eastAsia="仿宋_GB2312" w:cs="仿宋_GB2312"/>
          <w:b w:val="0"/>
          <w:bCs w:val="0"/>
          <w:color w:val="auto"/>
          <w:sz w:val="32"/>
          <w:szCs w:val="32"/>
          <w:highlight w:val="none"/>
          <w:shd w:val="clear" w:color="auto" w:fill="auto"/>
          <w:lang w:val="en-US" w:eastAsia="zh-CN"/>
        </w:rPr>
        <w:t>各责任单位按照《南昌市湾里管理局财政投资评审管理办法》开展预结（决）算工作，项目清标工作应按有关规定及时完成，最长不得超过合同签订后的6个月。</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b w:val="0"/>
          <w:bCs w:val="0"/>
          <w:color w:val="auto"/>
          <w:sz w:val="32"/>
          <w:szCs w:val="32"/>
          <w:highlight w:val="none"/>
          <w:shd w:val="clear" w:color="auto" w:fill="auto"/>
          <w:lang w:val="en-US" w:eastAsia="zh-CN"/>
        </w:rPr>
      </w:pPr>
      <w:r>
        <w:rPr>
          <w:rFonts w:hint="eastAsia" w:ascii="仿宋_GB2312" w:hAnsi="仿宋_GB2312" w:eastAsia="仿宋_GB2312" w:cs="仿宋_GB2312"/>
          <w:b w:val="0"/>
          <w:bCs w:val="0"/>
          <w:color w:val="auto"/>
          <w:sz w:val="32"/>
          <w:szCs w:val="32"/>
          <w:highlight w:val="none"/>
          <w:shd w:val="clear" w:color="auto" w:fill="auto"/>
          <w:lang w:val="en-US" w:eastAsia="zh-CN"/>
        </w:rPr>
        <w:t>1.因责任单位履职不力、把关不严，导致项目虚增工程费用超出已评审结算价8%或单项超10万元的（单项误差率在3%以内除外），由纪检监察工委启动问责机制，情节严重的给予责任人党纪政务处分并追究单位领导责任，存在主观故意等情形的，依法依规加重处理。</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仿宋_GB2312" w:hAnsi="仿宋_GB2312" w:eastAsia="仿宋_GB2312" w:cs="仿宋_GB2312"/>
          <w:b w:val="0"/>
          <w:bCs w:val="0"/>
          <w:color w:val="auto"/>
          <w:sz w:val="32"/>
          <w:szCs w:val="32"/>
          <w:highlight w:val="none"/>
          <w:shd w:val="clear" w:color="auto" w:fill="auto"/>
          <w:lang w:val="en-US" w:eastAsia="zh-CN"/>
        </w:rPr>
      </w:pPr>
      <w:r>
        <w:rPr>
          <w:rFonts w:hint="eastAsia" w:ascii="仿宋_GB2312" w:hAnsi="仿宋_GB2312" w:eastAsia="仿宋_GB2312" w:cs="仿宋_GB2312"/>
          <w:b w:val="0"/>
          <w:bCs w:val="0"/>
          <w:color w:val="auto"/>
          <w:sz w:val="32"/>
          <w:szCs w:val="32"/>
          <w:highlight w:val="none"/>
          <w:shd w:val="clear" w:color="auto" w:fill="auto"/>
          <w:lang w:val="en-US" w:eastAsia="zh-CN"/>
        </w:rPr>
        <w:t>2.施工单位存在虚报工程量、虚增工程费用的，须退回虚增费用，虚增工程费用超出5%的，在追回虚增费用的同时，施工单位须支付虚增工程费用50%的违约金，监理单位须支付虚增工程费用10%的违约金；虚增工程费用超出20%的，在追回虚增资金的同时，施工单位须支付虚增工程费用同等金额的违约金，监理单位须支付虚增工程费用30%的违约金。对评审单位的具体处罚按照《南昌市湾里管理局财政投资评审管理办法》相关规定执行。施工、监理、评审等参建单位虚增工程费用存在严重违法行为的移送司法机关处理。</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黑体" w:hAnsi="黑体" w:eastAsia="黑体" w:cs="黑体"/>
          <w:b w:val="0"/>
          <w:bCs w:val="0"/>
          <w:color w:val="auto"/>
          <w:sz w:val="32"/>
          <w:szCs w:val="32"/>
          <w:highlight w:val="none"/>
          <w:shd w:val="clear" w:color="auto" w:fill="auto"/>
          <w:lang w:val="en-US" w:eastAsia="zh-CN"/>
        </w:rPr>
      </w:pPr>
      <w:r>
        <w:rPr>
          <w:rFonts w:hint="eastAsia" w:ascii="黑体" w:hAnsi="黑体" w:eastAsia="黑体" w:cs="黑体"/>
          <w:b w:val="0"/>
          <w:bCs w:val="0"/>
          <w:color w:val="auto"/>
          <w:sz w:val="32"/>
          <w:szCs w:val="32"/>
          <w:highlight w:val="none"/>
          <w:shd w:val="clear" w:color="auto" w:fill="auto"/>
          <w:lang w:val="en-US" w:eastAsia="zh-CN"/>
        </w:rPr>
        <w:t>三、有关要求</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jc w:val="both"/>
        <w:textAlignment w:val="auto"/>
        <w:rPr>
          <w:rFonts w:hint="eastAsia" w:ascii="仿宋_GB2312" w:hAnsi="仿宋_GB2312" w:eastAsia="仿宋_GB2312" w:cs="仿宋_GB2312"/>
          <w:b w:val="0"/>
          <w:bCs w:val="0"/>
          <w:color w:val="auto"/>
          <w:sz w:val="32"/>
          <w:szCs w:val="32"/>
          <w:highlight w:val="none"/>
          <w:shd w:val="clear" w:color="auto" w:fill="auto"/>
          <w:lang w:val="en-US" w:eastAsia="zh-CN"/>
        </w:rPr>
      </w:pPr>
      <w:r>
        <w:rPr>
          <w:rFonts w:hint="eastAsia" w:ascii="楷体_GB2312" w:hAnsi="楷体_GB2312" w:eastAsia="楷体_GB2312" w:cs="楷体_GB2312"/>
          <w:b/>
          <w:bCs/>
          <w:color w:val="auto"/>
          <w:sz w:val="32"/>
          <w:szCs w:val="32"/>
          <w:highlight w:val="none"/>
          <w:shd w:val="clear" w:color="auto" w:fill="auto"/>
          <w:lang w:val="en-US" w:eastAsia="zh-CN"/>
        </w:rPr>
        <w:t>（一）完善合同条款。</w:t>
      </w:r>
      <w:r>
        <w:rPr>
          <w:rFonts w:hint="eastAsia" w:ascii="仿宋_GB2312" w:hAnsi="仿宋_GB2312" w:eastAsia="仿宋_GB2312" w:cs="仿宋_GB2312"/>
          <w:b w:val="0"/>
          <w:bCs w:val="0"/>
          <w:color w:val="auto"/>
          <w:sz w:val="32"/>
          <w:szCs w:val="32"/>
          <w:highlight w:val="none"/>
          <w:shd w:val="clear" w:color="auto" w:fill="auto"/>
          <w:lang w:val="en-US" w:eastAsia="zh-CN"/>
        </w:rPr>
        <w:t>上述对施工、监理、设计、预算编制、评审、勘察等参建单位的约束内容，业主单位、代建单位在招标、邀标时要作为前置条件，将相应约束内容作为违约条款纳入合同，并严格按照合同执行，进一步加强对参建单位的监督，确保项目实施质量和财政资金安全。</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jc w:val="both"/>
        <w:textAlignment w:val="auto"/>
        <w:rPr>
          <w:rFonts w:hint="default" w:ascii="仿宋_GB2312" w:hAnsi="仿宋_GB2312" w:eastAsia="仿宋_GB2312" w:cs="仿宋_GB2312"/>
          <w:b w:val="0"/>
          <w:bCs w:val="0"/>
          <w:color w:val="auto"/>
          <w:sz w:val="32"/>
          <w:szCs w:val="32"/>
          <w:highlight w:val="none"/>
          <w:shd w:val="clear" w:color="auto" w:fill="auto"/>
          <w:lang w:val="en-US" w:eastAsia="zh-CN"/>
        </w:rPr>
      </w:pPr>
      <w:r>
        <w:rPr>
          <w:rFonts w:hint="eastAsia" w:ascii="楷体_GB2312" w:hAnsi="楷体_GB2312" w:eastAsia="楷体_GB2312" w:cs="楷体_GB2312"/>
          <w:b/>
          <w:bCs/>
          <w:color w:val="auto"/>
          <w:sz w:val="32"/>
          <w:szCs w:val="32"/>
          <w:highlight w:val="none"/>
          <w:shd w:val="clear" w:color="auto" w:fill="auto"/>
          <w:lang w:val="en-US" w:eastAsia="zh-CN"/>
        </w:rPr>
        <w:t>（二）扛牢工作责任。</w:t>
      </w:r>
      <w:r>
        <w:rPr>
          <w:rFonts w:hint="eastAsia" w:ascii="仿宋_GB2312" w:hAnsi="仿宋_GB2312" w:eastAsia="仿宋_GB2312" w:cs="仿宋_GB2312"/>
          <w:b w:val="0"/>
          <w:bCs w:val="0"/>
          <w:color w:val="auto"/>
          <w:sz w:val="32"/>
          <w:szCs w:val="32"/>
          <w:highlight w:val="none"/>
          <w:shd w:val="clear" w:color="auto" w:fill="auto"/>
          <w:lang w:val="en-US" w:eastAsia="zh-CN"/>
        </w:rPr>
        <w:t>各职能部门和业主单位、代建单位要严格按照职责分工认真履职尽责，持续加强对工程项目建设各环节的监督管理，加大对违规违法行为的处罚力度，从严教育管理执法人员、工作人员，从源头上防范财政资金流失风险，杜绝工程建设领域腐败问题和不正之风。</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jc w:val="both"/>
        <w:textAlignment w:val="auto"/>
        <w:rPr>
          <w:rFonts w:hint="default" w:ascii="仿宋_GB2312" w:hAnsi="仿宋_GB2312" w:eastAsia="仿宋_GB2312" w:cs="仿宋_GB2312"/>
          <w:b w:val="0"/>
          <w:bCs w:val="0"/>
          <w:color w:val="auto"/>
          <w:sz w:val="32"/>
          <w:szCs w:val="32"/>
          <w:highlight w:val="none"/>
          <w:shd w:val="clear" w:color="auto" w:fill="auto"/>
          <w:lang w:val="en-US" w:eastAsia="zh-CN"/>
        </w:rPr>
      </w:pPr>
      <w:r>
        <w:rPr>
          <w:rFonts w:hint="eastAsia" w:ascii="楷体_GB2312" w:hAnsi="楷体_GB2312" w:eastAsia="楷体_GB2312" w:cs="楷体_GB2312"/>
          <w:b/>
          <w:bCs/>
          <w:color w:val="auto"/>
          <w:sz w:val="32"/>
          <w:szCs w:val="32"/>
          <w:highlight w:val="none"/>
          <w:shd w:val="clear" w:color="auto" w:fill="auto"/>
          <w:lang w:val="en-US" w:eastAsia="zh-CN"/>
        </w:rPr>
        <w:t>（三）强化监督检查。</w:t>
      </w:r>
      <w:r>
        <w:rPr>
          <w:rFonts w:hint="eastAsia" w:ascii="仿宋_GB2312" w:hAnsi="仿宋_GB2312" w:eastAsia="仿宋_GB2312" w:cs="仿宋_GB2312"/>
          <w:b w:val="0"/>
          <w:bCs w:val="0"/>
          <w:color w:val="auto"/>
          <w:sz w:val="32"/>
          <w:szCs w:val="32"/>
          <w:highlight w:val="none"/>
          <w:shd w:val="clear" w:color="auto" w:fill="auto"/>
          <w:lang w:val="en-US" w:eastAsia="zh-CN"/>
        </w:rPr>
        <w:t>纪检监察机关要立足“监督的再监督”职能职责，</w:t>
      </w:r>
      <w:r>
        <w:rPr>
          <w:rFonts w:hint="default" w:ascii="仿宋_GB2312" w:hAnsi="仿宋_GB2312" w:eastAsia="仿宋_GB2312" w:cs="仿宋_GB2312"/>
          <w:b w:val="0"/>
          <w:bCs w:val="0"/>
          <w:color w:val="auto"/>
          <w:sz w:val="32"/>
          <w:szCs w:val="32"/>
          <w:highlight w:val="none"/>
          <w:shd w:val="clear" w:color="auto" w:fill="auto"/>
          <w:lang w:val="en-US" w:eastAsia="zh-CN"/>
        </w:rPr>
        <w:t>将</w:t>
      </w:r>
      <w:r>
        <w:rPr>
          <w:rFonts w:hint="eastAsia" w:ascii="仿宋_GB2312" w:hAnsi="仿宋_GB2312" w:eastAsia="仿宋_GB2312" w:cs="仿宋_GB2312"/>
          <w:b w:val="0"/>
          <w:bCs w:val="0"/>
          <w:color w:val="auto"/>
          <w:sz w:val="32"/>
          <w:szCs w:val="32"/>
          <w:highlight w:val="none"/>
          <w:shd w:val="clear" w:color="auto" w:fill="auto"/>
          <w:lang w:val="en-US" w:eastAsia="zh-CN"/>
        </w:rPr>
        <w:t>政府投资项目推进情况作为</w:t>
      </w:r>
      <w:r>
        <w:rPr>
          <w:rFonts w:hint="default" w:ascii="仿宋_GB2312" w:hAnsi="仿宋_GB2312" w:eastAsia="仿宋_GB2312" w:cs="仿宋_GB2312"/>
          <w:b w:val="0"/>
          <w:bCs w:val="0"/>
          <w:color w:val="auto"/>
          <w:sz w:val="32"/>
          <w:szCs w:val="32"/>
          <w:highlight w:val="none"/>
          <w:shd w:val="clear" w:color="auto" w:fill="auto"/>
          <w:lang w:val="en-US" w:eastAsia="zh-CN"/>
        </w:rPr>
        <w:t>监督</w:t>
      </w:r>
      <w:r>
        <w:rPr>
          <w:rFonts w:hint="eastAsia" w:ascii="仿宋_GB2312" w:hAnsi="仿宋_GB2312" w:eastAsia="仿宋_GB2312" w:cs="仿宋_GB2312"/>
          <w:b w:val="0"/>
          <w:bCs w:val="0"/>
          <w:color w:val="auto"/>
          <w:sz w:val="32"/>
          <w:szCs w:val="32"/>
          <w:highlight w:val="none"/>
          <w:shd w:val="clear" w:color="auto" w:fill="auto"/>
          <w:lang w:val="en-US" w:eastAsia="zh-CN"/>
        </w:rPr>
        <w:t>重点</w:t>
      </w:r>
      <w:r>
        <w:rPr>
          <w:rFonts w:hint="default" w:ascii="仿宋_GB2312" w:hAnsi="仿宋_GB2312" w:eastAsia="仿宋_GB2312" w:cs="仿宋_GB2312"/>
          <w:b w:val="0"/>
          <w:bCs w:val="0"/>
          <w:color w:val="auto"/>
          <w:sz w:val="32"/>
          <w:szCs w:val="32"/>
          <w:highlight w:val="none"/>
          <w:shd w:val="clear" w:color="auto" w:fill="auto"/>
          <w:lang w:val="en-US" w:eastAsia="zh-CN"/>
        </w:rPr>
        <w:t>，紧盯立项审批、招标投标、建设管理、</w:t>
      </w:r>
      <w:r>
        <w:rPr>
          <w:rFonts w:hint="eastAsia" w:ascii="仿宋_GB2312" w:hAnsi="仿宋_GB2312" w:eastAsia="仿宋_GB2312" w:cs="仿宋_GB2312"/>
          <w:b w:val="0"/>
          <w:bCs w:val="0"/>
          <w:color w:val="auto"/>
          <w:sz w:val="32"/>
          <w:szCs w:val="32"/>
          <w:highlight w:val="none"/>
          <w:shd w:val="clear" w:color="auto" w:fill="auto"/>
          <w:lang w:val="en-US" w:eastAsia="zh-CN"/>
        </w:rPr>
        <w:t>结算评审</w:t>
      </w:r>
      <w:r>
        <w:rPr>
          <w:rFonts w:hint="default" w:ascii="仿宋_GB2312" w:hAnsi="仿宋_GB2312" w:eastAsia="仿宋_GB2312" w:cs="仿宋_GB2312"/>
          <w:b w:val="0"/>
          <w:bCs w:val="0"/>
          <w:color w:val="auto"/>
          <w:sz w:val="32"/>
          <w:szCs w:val="32"/>
          <w:highlight w:val="none"/>
          <w:shd w:val="clear" w:color="auto" w:fill="auto"/>
          <w:lang w:val="en-US" w:eastAsia="zh-CN"/>
        </w:rPr>
        <w:t>等关键环节，</w:t>
      </w:r>
      <w:r>
        <w:rPr>
          <w:rFonts w:hint="eastAsia" w:ascii="仿宋_GB2312" w:hAnsi="仿宋_GB2312" w:eastAsia="仿宋_GB2312" w:cs="仿宋_GB2312"/>
          <w:b w:val="0"/>
          <w:bCs w:val="0"/>
          <w:color w:val="auto"/>
          <w:sz w:val="32"/>
          <w:szCs w:val="32"/>
          <w:highlight w:val="none"/>
          <w:shd w:val="clear" w:color="auto" w:fill="auto"/>
          <w:lang w:val="en-US" w:eastAsia="zh-CN"/>
        </w:rPr>
        <w:t>强化跟进监督、精准监督</w:t>
      </w:r>
      <w:r>
        <w:rPr>
          <w:rFonts w:hint="default" w:ascii="仿宋_GB2312" w:hAnsi="仿宋_GB2312" w:eastAsia="仿宋_GB2312" w:cs="仿宋_GB2312"/>
          <w:b w:val="0"/>
          <w:bCs w:val="0"/>
          <w:color w:val="auto"/>
          <w:sz w:val="32"/>
          <w:szCs w:val="32"/>
          <w:highlight w:val="none"/>
          <w:shd w:val="clear" w:color="auto" w:fill="auto"/>
          <w:lang w:val="en-US" w:eastAsia="zh-CN"/>
        </w:rPr>
        <w:t>，</w:t>
      </w:r>
      <w:r>
        <w:rPr>
          <w:rFonts w:hint="eastAsia" w:ascii="仿宋_GB2312" w:hAnsi="仿宋_GB2312" w:eastAsia="仿宋_GB2312" w:cs="仿宋_GB2312"/>
          <w:b w:val="0"/>
          <w:bCs w:val="0"/>
          <w:color w:val="auto"/>
          <w:sz w:val="32"/>
          <w:szCs w:val="32"/>
          <w:highlight w:val="none"/>
          <w:shd w:val="clear" w:color="auto" w:fill="auto"/>
          <w:lang w:val="en-US" w:eastAsia="zh-CN"/>
        </w:rPr>
        <w:t>严肃查处工作责任落实不力，推诿扯皮、不作为、乱作为等行为，监督</w:t>
      </w:r>
      <w:r>
        <w:rPr>
          <w:rFonts w:hint="default" w:ascii="仿宋_GB2312" w:hAnsi="仿宋_GB2312" w:eastAsia="仿宋_GB2312" w:cs="仿宋_GB2312"/>
          <w:b w:val="0"/>
          <w:bCs w:val="0"/>
          <w:color w:val="auto"/>
          <w:sz w:val="32"/>
          <w:szCs w:val="32"/>
          <w:highlight w:val="none"/>
          <w:shd w:val="clear" w:color="auto" w:fill="auto"/>
          <w:lang w:val="en-US" w:eastAsia="zh-CN"/>
        </w:rPr>
        <w:t>保障</w:t>
      </w:r>
      <w:r>
        <w:rPr>
          <w:rFonts w:hint="eastAsia" w:ascii="仿宋_GB2312" w:hAnsi="仿宋_GB2312" w:eastAsia="仿宋_GB2312" w:cs="仿宋_GB2312"/>
          <w:b w:val="0"/>
          <w:bCs w:val="0"/>
          <w:color w:val="auto"/>
          <w:sz w:val="32"/>
          <w:szCs w:val="32"/>
          <w:highlight w:val="none"/>
          <w:shd w:val="clear" w:color="auto" w:fill="auto"/>
          <w:lang w:val="en-US" w:eastAsia="zh-CN"/>
        </w:rPr>
        <w:t>工程</w:t>
      </w:r>
      <w:r>
        <w:rPr>
          <w:rFonts w:hint="default" w:ascii="仿宋_GB2312" w:hAnsi="仿宋_GB2312" w:eastAsia="仿宋_GB2312" w:cs="仿宋_GB2312"/>
          <w:b w:val="0"/>
          <w:bCs w:val="0"/>
          <w:color w:val="auto"/>
          <w:sz w:val="32"/>
          <w:szCs w:val="32"/>
          <w:highlight w:val="none"/>
          <w:shd w:val="clear" w:color="auto" w:fill="auto"/>
          <w:lang w:val="en-US" w:eastAsia="zh-CN"/>
        </w:rPr>
        <w:t>项目建设廉洁高效</w:t>
      </w:r>
      <w:r>
        <w:rPr>
          <w:rFonts w:hint="eastAsia" w:ascii="仿宋_GB2312" w:hAnsi="仿宋_GB2312" w:eastAsia="仿宋_GB2312" w:cs="仿宋_GB2312"/>
          <w:b w:val="0"/>
          <w:bCs w:val="0"/>
          <w:color w:val="auto"/>
          <w:sz w:val="32"/>
          <w:szCs w:val="32"/>
          <w:highlight w:val="none"/>
          <w:shd w:val="clear" w:color="auto" w:fill="auto"/>
          <w:lang w:val="en-US" w:eastAsia="zh-CN"/>
        </w:rPr>
        <w:t>落实</w:t>
      </w:r>
      <w:r>
        <w:rPr>
          <w:rFonts w:hint="default" w:ascii="仿宋_GB2312" w:hAnsi="仿宋_GB2312" w:eastAsia="仿宋_GB2312" w:cs="仿宋_GB2312"/>
          <w:b w:val="0"/>
          <w:bCs w:val="0"/>
          <w:color w:val="auto"/>
          <w:sz w:val="32"/>
          <w:szCs w:val="32"/>
          <w:highlight w:val="none"/>
          <w:shd w:val="clear" w:color="auto" w:fill="auto"/>
          <w:lang w:val="en-US" w:eastAsia="zh-CN"/>
        </w:rPr>
        <w:t>。</w:t>
      </w:r>
    </w:p>
    <w:p>
      <w:pPr>
        <w:spacing w:line="600" w:lineRule="exact"/>
        <w:ind w:firstLine="640" w:firstLineChars="200"/>
        <w:jc w:val="left"/>
        <w:rPr>
          <w:rFonts w:hint="eastAsia" w:ascii="仿宋_GB2312" w:hAnsi="仿宋_GB2312" w:eastAsia="仿宋_GB2312" w:cs="仿宋_GB2312"/>
          <w:b w:val="0"/>
          <w:bCs w:val="0"/>
          <w:color w:val="auto"/>
          <w:sz w:val="32"/>
          <w:szCs w:val="32"/>
          <w:highlight w:val="none"/>
          <w:shd w:val="clear" w:color="auto" w:fill="auto"/>
          <w:lang w:val="en-US" w:eastAsia="zh-CN"/>
        </w:rPr>
      </w:pPr>
      <w:r>
        <w:rPr>
          <w:rFonts w:hint="eastAsia" w:ascii="仿宋_GB2312" w:hAnsi="仿宋_GB2312" w:eastAsia="仿宋_GB2312" w:cs="仿宋_GB2312"/>
          <w:b w:val="0"/>
          <w:bCs w:val="0"/>
          <w:color w:val="auto"/>
          <w:sz w:val="32"/>
          <w:szCs w:val="32"/>
          <w:highlight w:val="none"/>
          <w:shd w:val="clear" w:color="auto" w:fill="auto"/>
          <w:lang w:val="en-US" w:eastAsia="zh-CN"/>
        </w:rPr>
        <w:t>本办法自印发之日起开始执行，试行期间国家法律法规或上级有关部门另有规定的，从其规定。</w:t>
      </w:r>
    </w:p>
    <w:p>
      <w:pPr>
        <w:spacing w:line="600" w:lineRule="exact"/>
        <w:jc w:val="left"/>
        <w:rPr>
          <w:rFonts w:hint="eastAsia" w:ascii="仿宋_GB2312" w:hAnsi="仿宋_GB2312" w:eastAsia="仿宋_GB2312" w:cs="仿宋_GB2312"/>
          <w:b w:val="0"/>
          <w:bCs w:val="0"/>
          <w:color w:val="auto"/>
          <w:sz w:val="32"/>
          <w:szCs w:val="32"/>
          <w:highlight w:val="none"/>
          <w:shd w:val="clear" w:color="auto" w:fill="auto"/>
          <w:lang w:val="en-US" w:eastAsia="zh-CN"/>
        </w:rPr>
      </w:pPr>
    </w:p>
    <w:p>
      <w:pPr>
        <w:spacing w:line="600" w:lineRule="exact"/>
        <w:jc w:val="left"/>
        <w:rPr>
          <w:rFonts w:hint="eastAsia" w:ascii="仿宋_GB2312" w:hAnsi="仿宋_GB2312" w:eastAsia="仿宋_GB2312" w:cs="仿宋_GB2312"/>
          <w:b w:val="0"/>
          <w:bCs w:val="0"/>
          <w:color w:val="auto"/>
          <w:sz w:val="32"/>
          <w:szCs w:val="32"/>
          <w:highlight w:val="none"/>
          <w:shd w:val="clear" w:color="auto" w:fill="auto"/>
          <w:lang w:val="en-US" w:eastAsia="zh-CN"/>
        </w:rPr>
      </w:pPr>
    </w:p>
    <w:p>
      <w:pPr>
        <w:spacing w:line="600" w:lineRule="exact"/>
        <w:jc w:val="left"/>
        <w:rPr>
          <w:rFonts w:hint="eastAsia" w:ascii="仿宋_GB2312" w:hAnsi="仿宋_GB2312" w:eastAsia="仿宋_GB2312" w:cs="仿宋_GB2312"/>
          <w:b w:val="0"/>
          <w:bCs w:val="0"/>
          <w:color w:val="auto"/>
          <w:sz w:val="32"/>
          <w:szCs w:val="32"/>
          <w:highlight w:val="none"/>
          <w:shd w:val="clear" w:color="auto" w:fill="auto"/>
          <w:lang w:val="en-US" w:eastAsia="zh-CN"/>
        </w:rPr>
      </w:pPr>
    </w:p>
    <w:p>
      <w:pPr>
        <w:spacing w:line="600" w:lineRule="exact"/>
        <w:jc w:val="left"/>
        <w:rPr>
          <w:rFonts w:hint="eastAsia" w:ascii="仿宋_GB2312" w:hAnsi="仿宋_GB2312" w:eastAsia="仿宋_GB2312" w:cs="仿宋_GB2312"/>
          <w:b w:val="0"/>
          <w:bCs w:val="0"/>
          <w:color w:val="auto"/>
          <w:sz w:val="32"/>
          <w:szCs w:val="32"/>
          <w:highlight w:val="none"/>
          <w:shd w:val="clear" w:color="auto" w:fill="auto"/>
          <w:lang w:val="en-US" w:eastAsia="zh-CN"/>
        </w:rPr>
      </w:pPr>
    </w:p>
    <w:p>
      <w:pPr>
        <w:pStyle w:val="2"/>
        <w:spacing w:line="600" w:lineRule="exact"/>
        <w:rPr>
          <w:rFonts w:hint="eastAsia" w:ascii="仿宋_GB2312" w:hAnsi="仿宋_GB2312" w:eastAsia="仿宋_GB2312" w:cs="仿宋_GB2312"/>
          <w:b w:val="0"/>
          <w:bCs w:val="0"/>
          <w:color w:val="auto"/>
          <w:sz w:val="32"/>
          <w:szCs w:val="32"/>
          <w:highlight w:val="none"/>
          <w:shd w:val="clear" w:color="auto" w:fill="auto"/>
          <w:lang w:val="en-US" w:eastAsia="zh-CN"/>
        </w:rPr>
      </w:pPr>
    </w:p>
    <w:p>
      <w:pPr>
        <w:pStyle w:val="2"/>
        <w:spacing w:line="600" w:lineRule="exact"/>
        <w:rPr>
          <w:rFonts w:hint="eastAsia" w:ascii="仿宋_GB2312" w:hAnsi="仿宋_GB2312" w:eastAsia="仿宋_GB2312" w:cs="仿宋_GB2312"/>
          <w:b w:val="0"/>
          <w:bCs w:val="0"/>
          <w:color w:val="auto"/>
          <w:sz w:val="32"/>
          <w:szCs w:val="32"/>
          <w:highlight w:val="none"/>
          <w:shd w:val="clear" w:color="auto" w:fill="auto"/>
          <w:lang w:val="en-US" w:eastAsia="zh-CN"/>
        </w:rPr>
      </w:pPr>
    </w:p>
    <w:p>
      <w:pPr>
        <w:pStyle w:val="2"/>
        <w:spacing w:line="600" w:lineRule="exact"/>
        <w:rPr>
          <w:rFonts w:hint="eastAsia" w:ascii="仿宋_GB2312" w:hAnsi="仿宋_GB2312" w:eastAsia="仿宋_GB2312" w:cs="仿宋_GB2312"/>
          <w:b w:val="0"/>
          <w:bCs w:val="0"/>
          <w:color w:val="auto"/>
          <w:sz w:val="32"/>
          <w:szCs w:val="32"/>
          <w:highlight w:val="none"/>
          <w:shd w:val="clear" w:color="auto" w:fill="auto"/>
          <w:lang w:val="en-US" w:eastAsia="zh-CN"/>
        </w:rPr>
      </w:pPr>
    </w:p>
    <w:p>
      <w:pPr>
        <w:pStyle w:val="2"/>
        <w:spacing w:line="600" w:lineRule="exact"/>
        <w:rPr>
          <w:rFonts w:hint="eastAsia" w:ascii="仿宋_GB2312" w:hAnsi="仿宋_GB2312" w:eastAsia="仿宋_GB2312" w:cs="仿宋_GB2312"/>
          <w:b w:val="0"/>
          <w:bCs w:val="0"/>
          <w:color w:val="auto"/>
          <w:sz w:val="32"/>
          <w:szCs w:val="32"/>
          <w:highlight w:val="none"/>
          <w:shd w:val="clear" w:color="auto" w:fill="auto"/>
          <w:lang w:val="en-US" w:eastAsia="zh-CN"/>
        </w:rPr>
      </w:pPr>
    </w:p>
    <w:p>
      <w:pPr>
        <w:pStyle w:val="2"/>
        <w:spacing w:line="600" w:lineRule="exact"/>
        <w:rPr>
          <w:rFonts w:hint="eastAsia" w:ascii="仿宋_GB2312" w:hAnsi="仿宋_GB2312" w:eastAsia="仿宋_GB2312" w:cs="仿宋_GB2312"/>
          <w:b w:val="0"/>
          <w:bCs w:val="0"/>
          <w:color w:val="auto"/>
          <w:sz w:val="32"/>
          <w:szCs w:val="32"/>
          <w:highlight w:val="none"/>
          <w:shd w:val="clear" w:color="auto" w:fill="auto"/>
          <w:lang w:val="en-US" w:eastAsia="zh-CN"/>
        </w:rPr>
      </w:pPr>
    </w:p>
    <w:p>
      <w:pPr>
        <w:pStyle w:val="2"/>
        <w:spacing w:line="600" w:lineRule="exact"/>
        <w:rPr>
          <w:rFonts w:hint="eastAsia" w:ascii="仿宋_GB2312" w:hAnsi="仿宋_GB2312" w:eastAsia="仿宋_GB2312" w:cs="仿宋_GB2312"/>
          <w:b w:val="0"/>
          <w:bCs w:val="0"/>
          <w:color w:val="auto"/>
          <w:sz w:val="32"/>
          <w:szCs w:val="32"/>
          <w:highlight w:val="none"/>
          <w:shd w:val="clear" w:color="auto" w:fill="auto"/>
          <w:lang w:val="en-US" w:eastAsia="zh-CN"/>
        </w:rPr>
      </w:pPr>
    </w:p>
    <w:p>
      <w:pPr>
        <w:pStyle w:val="2"/>
        <w:spacing w:line="600" w:lineRule="exact"/>
        <w:rPr>
          <w:rFonts w:hint="eastAsia" w:ascii="仿宋_GB2312" w:hAnsi="仿宋_GB2312" w:eastAsia="仿宋_GB2312" w:cs="仿宋_GB2312"/>
          <w:b w:val="0"/>
          <w:bCs w:val="0"/>
          <w:color w:val="auto"/>
          <w:sz w:val="32"/>
          <w:szCs w:val="32"/>
          <w:highlight w:val="none"/>
          <w:shd w:val="clear" w:color="auto" w:fill="auto"/>
          <w:lang w:val="en-US" w:eastAsia="zh-CN"/>
        </w:rPr>
      </w:pPr>
    </w:p>
    <w:p>
      <w:pPr>
        <w:pStyle w:val="2"/>
        <w:spacing w:line="600" w:lineRule="exact"/>
        <w:rPr>
          <w:rFonts w:hint="eastAsia" w:ascii="仿宋_GB2312" w:hAnsi="仿宋_GB2312" w:eastAsia="仿宋_GB2312" w:cs="仿宋_GB2312"/>
          <w:b w:val="0"/>
          <w:bCs w:val="0"/>
          <w:color w:val="auto"/>
          <w:sz w:val="32"/>
          <w:szCs w:val="32"/>
          <w:highlight w:val="none"/>
          <w:shd w:val="clear" w:color="auto" w:fill="auto"/>
          <w:lang w:val="en-US" w:eastAsia="zh-CN"/>
        </w:rPr>
      </w:pPr>
    </w:p>
    <w:p>
      <w:pPr>
        <w:pStyle w:val="2"/>
        <w:spacing w:line="600" w:lineRule="exact"/>
        <w:rPr>
          <w:rFonts w:hint="eastAsia" w:ascii="仿宋_GB2312" w:hAnsi="仿宋_GB2312" w:eastAsia="仿宋_GB2312" w:cs="仿宋_GB2312"/>
          <w:b w:val="0"/>
          <w:bCs w:val="0"/>
          <w:color w:val="auto"/>
          <w:sz w:val="32"/>
          <w:szCs w:val="32"/>
          <w:highlight w:val="none"/>
          <w:shd w:val="clear" w:color="auto" w:fill="auto"/>
          <w:lang w:val="en-US" w:eastAsia="zh-CN"/>
        </w:rPr>
      </w:pPr>
    </w:p>
    <w:p>
      <w:pPr>
        <w:pStyle w:val="2"/>
        <w:rPr>
          <w:rFonts w:hint="eastAsia" w:ascii="仿宋_GB2312" w:hAnsi="仿宋_GB2312" w:eastAsia="仿宋_GB2312" w:cs="仿宋_GB2312"/>
          <w:b w:val="0"/>
          <w:bCs w:val="0"/>
          <w:color w:val="auto"/>
          <w:sz w:val="32"/>
          <w:szCs w:val="32"/>
          <w:highlight w:val="none"/>
          <w:shd w:val="clear" w:color="auto" w:fill="auto"/>
          <w:lang w:val="en-US" w:eastAsia="zh-CN"/>
        </w:rPr>
      </w:pPr>
    </w:p>
    <w:p>
      <w:pPr>
        <w:pStyle w:val="2"/>
        <w:rPr>
          <w:rFonts w:hint="eastAsia" w:ascii="仿宋_GB2312" w:hAnsi="仿宋_GB2312" w:eastAsia="仿宋_GB2312" w:cs="仿宋_GB2312"/>
          <w:b w:val="0"/>
          <w:bCs w:val="0"/>
          <w:color w:val="auto"/>
          <w:sz w:val="32"/>
          <w:szCs w:val="32"/>
          <w:highlight w:val="none"/>
          <w:shd w:val="clear" w:color="auto" w:fill="auto"/>
          <w:lang w:val="en-US" w:eastAsia="zh-CN"/>
        </w:rPr>
      </w:pPr>
    </w:p>
    <w:p>
      <w:pPr>
        <w:pStyle w:val="2"/>
        <w:rPr>
          <w:rFonts w:hint="eastAsia" w:ascii="仿宋_GB2312" w:hAnsi="仿宋_GB2312" w:eastAsia="仿宋_GB2312" w:cs="仿宋_GB2312"/>
          <w:b w:val="0"/>
          <w:bCs w:val="0"/>
          <w:color w:val="auto"/>
          <w:sz w:val="32"/>
          <w:szCs w:val="32"/>
          <w:highlight w:val="none"/>
          <w:shd w:val="clear" w:color="auto" w:fill="auto"/>
          <w:lang w:val="en-US" w:eastAsia="zh-CN"/>
        </w:rPr>
      </w:pPr>
    </w:p>
    <w:p>
      <w:pPr>
        <w:pStyle w:val="2"/>
        <w:rPr>
          <w:rFonts w:hint="eastAsia" w:ascii="仿宋_GB2312" w:hAnsi="仿宋_GB2312" w:eastAsia="仿宋_GB2312" w:cs="仿宋_GB2312"/>
          <w:b w:val="0"/>
          <w:bCs w:val="0"/>
          <w:color w:val="auto"/>
          <w:sz w:val="32"/>
          <w:szCs w:val="32"/>
          <w:highlight w:val="none"/>
          <w:shd w:val="clear" w:color="auto" w:fill="auto"/>
          <w:lang w:val="en-US" w:eastAsia="zh-CN"/>
        </w:rPr>
      </w:pPr>
    </w:p>
    <w:p>
      <w:pPr>
        <w:pStyle w:val="2"/>
        <w:rPr>
          <w:rFonts w:hint="eastAsia" w:ascii="仿宋_GB2312" w:hAnsi="仿宋_GB2312" w:eastAsia="仿宋_GB2312" w:cs="仿宋_GB2312"/>
          <w:b w:val="0"/>
          <w:bCs w:val="0"/>
          <w:color w:val="auto"/>
          <w:sz w:val="32"/>
          <w:szCs w:val="32"/>
          <w:highlight w:val="none"/>
          <w:shd w:val="clear" w:color="auto" w:fill="auto"/>
          <w:lang w:val="en-US" w:eastAsia="zh-CN"/>
        </w:rPr>
      </w:pPr>
    </w:p>
    <w:p>
      <w:pPr>
        <w:pStyle w:val="2"/>
        <w:rPr>
          <w:rFonts w:hint="eastAsia" w:ascii="仿宋_GB2312" w:hAnsi="仿宋_GB2312" w:eastAsia="仿宋_GB2312" w:cs="仿宋_GB2312"/>
          <w:b w:val="0"/>
          <w:bCs w:val="0"/>
          <w:color w:val="auto"/>
          <w:sz w:val="32"/>
          <w:szCs w:val="32"/>
          <w:highlight w:val="none"/>
          <w:shd w:val="clear" w:color="auto" w:fill="auto"/>
          <w:lang w:val="en-US" w:eastAsia="zh-CN"/>
        </w:rPr>
      </w:pPr>
    </w:p>
    <w:p>
      <w:pPr>
        <w:pStyle w:val="2"/>
        <w:rPr>
          <w:rFonts w:hint="eastAsia" w:ascii="仿宋_GB2312" w:hAnsi="仿宋_GB2312" w:eastAsia="仿宋_GB2312" w:cs="仿宋_GB2312"/>
          <w:b w:val="0"/>
          <w:bCs w:val="0"/>
          <w:color w:val="auto"/>
          <w:sz w:val="32"/>
          <w:szCs w:val="32"/>
          <w:highlight w:val="none"/>
          <w:shd w:val="clear" w:color="auto" w:fill="auto"/>
          <w:lang w:val="en-US" w:eastAsia="zh-CN"/>
        </w:rPr>
      </w:pPr>
    </w:p>
    <w:p>
      <w:pPr>
        <w:pStyle w:val="2"/>
        <w:rPr>
          <w:rFonts w:hint="eastAsia" w:ascii="仿宋_GB2312" w:hAnsi="仿宋_GB2312" w:eastAsia="仿宋_GB2312" w:cs="仿宋_GB2312"/>
          <w:b w:val="0"/>
          <w:bCs w:val="0"/>
          <w:color w:val="auto"/>
          <w:sz w:val="32"/>
          <w:szCs w:val="32"/>
          <w:highlight w:val="none"/>
          <w:shd w:val="clear" w:color="auto" w:fill="auto"/>
          <w:lang w:val="en-US" w:eastAsia="zh-CN"/>
        </w:rPr>
      </w:pPr>
    </w:p>
    <w:p>
      <w:pPr>
        <w:pStyle w:val="2"/>
        <w:rPr>
          <w:rFonts w:hint="eastAsia" w:ascii="仿宋_GB2312" w:hAnsi="仿宋_GB2312" w:eastAsia="仿宋_GB2312" w:cs="仿宋_GB2312"/>
          <w:b w:val="0"/>
          <w:bCs w:val="0"/>
          <w:color w:val="auto"/>
          <w:sz w:val="32"/>
          <w:szCs w:val="32"/>
          <w:highlight w:val="none"/>
          <w:shd w:val="clear" w:color="auto" w:fill="auto"/>
          <w:lang w:val="en-US" w:eastAsia="zh-CN"/>
        </w:rPr>
      </w:pPr>
    </w:p>
    <w:p>
      <w:pPr>
        <w:pStyle w:val="2"/>
        <w:rPr>
          <w:rFonts w:hint="eastAsia" w:ascii="仿宋_GB2312" w:hAnsi="仿宋_GB2312" w:eastAsia="仿宋_GB2312" w:cs="仿宋_GB2312"/>
          <w:b w:val="0"/>
          <w:bCs w:val="0"/>
          <w:color w:val="auto"/>
          <w:sz w:val="32"/>
          <w:szCs w:val="32"/>
          <w:highlight w:val="none"/>
          <w:shd w:val="clear" w:color="auto" w:fill="auto"/>
          <w:lang w:val="en-US" w:eastAsia="zh-CN"/>
        </w:rPr>
      </w:pPr>
    </w:p>
    <w:p>
      <w:pPr>
        <w:pStyle w:val="2"/>
        <w:spacing w:line="520" w:lineRule="exact"/>
        <w:rPr>
          <w:rFonts w:hint="eastAsia" w:ascii="仿宋_GB2312" w:hAnsi="仿宋_GB2312" w:eastAsia="仿宋_GB2312" w:cs="仿宋_GB2312"/>
          <w:b w:val="0"/>
          <w:bCs w:val="0"/>
          <w:color w:val="auto"/>
          <w:sz w:val="32"/>
          <w:szCs w:val="32"/>
          <w:highlight w:val="none"/>
          <w:shd w:val="clear" w:color="auto" w:fill="auto"/>
          <w:lang w:val="en-US" w:eastAsia="zh-CN"/>
        </w:rPr>
      </w:pPr>
    </w:p>
    <w:p>
      <w:pPr>
        <w:pStyle w:val="2"/>
        <w:rPr>
          <w:rFonts w:hint="eastAsia" w:ascii="仿宋_GB2312" w:hAnsi="仿宋_GB2312" w:eastAsia="仿宋_GB2312" w:cs="仿宋_GB2312"/>
          <w:b w:val="0"/>
          <w:bCs w:val="0"/>
          <w:color w:val="auto"/>
          <w:sz w:val="32"/>
          <w:szCs w:val="32"/>
          <w:highlight w:val="none"/>
          <w:shd w:val="clear" w:color="auto" w:fill="auto"/>
          <w:lang w:val="en-US" w:eastAsia="zh-CN"/>
        </w:rPr>
      </w:pPr>
    </w:p>
    <w:p>
      <w:pPr>
        <w:pStyle w:val="2"/>
        <w:rPr>
          <w:rFonts w:hint="eastAsia" w:ascii="仿宋_GB2312" w:hAnsi="仿宋_GB2312" w:eastAsia="仿宋_GB2312" w:cs="仿宋_GB2312"/>
          <w:b w:val="0"/>
          <w:bCs w:val="0"/>
          <w:color w:val="auto"/>
          <w:sz w:val="32"/>
          <w:szCs w:val="32"/>
          <w:highlight w:val="none"/>
          <w:shd w:val="clear" w:color="auto" w:fill="auto"/>
          <w:lang w:val="en-US" w:eastAsia="zh-CN"/>
        </w:rPr>
      </w:pPr>
    </w:p>
    <w:p>
      <w:pPr>
        <w:pStyle w:val="2"/>
        <w:rPr>
          <w:rFonts w:hint="eastAsia" w:ascii="仿宋_GB2312" w:hAnsi="仿宋_GB2312" w:eastAsia="仿宋_GB2312" w:cs="仿宋_GB2312"/>
          <w:b w:val="0"/>
          <w:bCs w:val="0"/>
          <w:color w:val="auto"/>
          <w:sz w:val="32"/>
          <w:szCs w:val="32"/>
          <w:highlight w:val="none"/>
          <w:shd w:val="clear" w:color="auto" w:fill="auto"/>
          <w:lang w:val="en-US" w:eastAsia="zh-CN"/>
        </w:rPr>
      </w:pPr>
    </w:p>
    <w:p>
      <w:pPr>
        <w:adjustRightInd w:val="0"/>
        <w:snapToGrid w:val="0"/>
        <w:spacing w:line="400" w:lineRule="exact"/>
        <w:ind w:right="-107" w:rightChars="-51"/>
      </w:pPr>
    </w:p>
    <w:p>
      <w:pPr>
        <w:pStyle w:val="2"/>
      </w:pPr>
    </w:p>
    <w:p>
      <w:pPr>
        <w:keepNext w:val="0"/>
        <w:keepLines w:val="0"/>
        <w:pageBreakBefore w:val="0"/>
        <w:widowControl w:val="0"/>
        <w:kinsoku/>
        <w:wordWrap/>
        <w:overflowPunct/>
        <w:topLinePunct w:val="0"/>
        <w:autoSpaceDE/>
        <w:autoSpaceDN/>
        <w:bidi w:val="0"/>
        <w:adjustRightInd w:val="0"/>
        <w:snapToGrid w:val="0"/>
        <w:spacing w:line="520" w:lineRule="exact"/>
        <w:ind w:right="-107" w:rightChars="-51" w:firstLine="280" w:firstLineChars="100"/>
        <w:textAlignment w:val="auto"/>
        <w:rPr>
          <w:rFonts w:hint="default" w:ascii="仿宋_GB2312" w:eastAsia="仿宋_GB2312"/>
          <w:sz w:val="32"/>
          <w:szCs w:val="32"/>
          <w:lang w:val="en-US" w:eastAsia="zh-CN"/>
        </w:rPr>
      </w:pPr>
      <w:r>
        <w:rPr>
          <w:rFonts w:hint="eastAsia" w:ascii="仿宋_GB2312" w:hAnsi="仿宋_GB2312" w:eastAsia="仿宋_GB2312" w:cs="仿宋_GB2312"/>
          <w:sz w:val="28"/>
          <w:szCs w:val="28"/>
        </w:rPr>
        <mc:AlternateContent>
          <mc:Choice Requires="wps">
            <w:drawing>
              <wp:anchor distT="0" distB="0" distL="114300" distR="114300" simplePos="0" relativeHeight="251660288" behindDoc="0" locked="0" layoutInCell="1" allowOverlap="1">
                <wp:simplePos x="0" y="0"/>
                <wp:positionH relativeFrom="column">
                  <wp:posOffset>-16510</wp:posOffset>
                </wp:positionH>
                <wp:positionV relativeFrom="paragraph">
                  <wp:posOffset>31750</wp:posOffset>
                </wp:positionV>
                <wp:extent cx="5410200" cy="0"/>
                <wp:effectExtent l="0" t="4445" r="0" b="5080"/>
                <wp:wrapNone/>
                <wp:docPr id="1814430019"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5410200" cy="0"/>
                        </a:xfrm>
                        <a:prstGeom prst="line">
                          <a:avLst/>
                        </a:prstGeom>
                        <a:noFill/>
                        <a:ln w="9525">
                          <a:solidFill>
                            <a:srgbClr val="000000"/>
                          </a:solidFill>
                          <a:round/>
                        </a:ln>
                      </wps:spPr>
                      <wps:bodyPr/>
                    </wps:wsp>
                  </a:graphicData>
                </a:graphic>
              </wp:anchor>
            </w:drawing>
          </mc:Choice>
          <mc:Fallback>
            <w:pict>
              <v:line id="直接连接符 3" o:spid="_x0000_s1026" o:spt="20" style="position:absolute;left:0pt;margin-left:-1.3pt;margin-top:2.5pt;height:0pt;width:426pt;z-index:251660288;mso-width-relative:page;mso-height-relative:page;" filled="f" stroked="t" coordsize="21600,21600" o:gfxdata="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LB/A&#10;HtQAAAAGAQAADwAAAAAAAAABACAAAAAiAAAAZHJzL2Rvd25yZXYueG1sUEsBAhQAFAAAAAgAh07i&#10;QDdjVz3tAQAAswMAAA4AAAAAAAAAAQAgAAAAIwEAAGRycy9lMm9Eb2MueG1sUEsFBgAAAAAGAAYA&#10;WQEAAIIFAAAAAA==&#10;">
                <v:fill on="f" focussize="0,0"/>
                <v:stroke color="#000000" joinstyle="round"/>
                <v:imagedata o:title=""/>
                <o:lock v:ext="edit" aspectratio="f"/>
              </v:line>
            </w:pict>
          </mc:Fallback>
        </mc:AlternateContent>
      </w:r>
      <w:r>
        <w:rPr>
          <w:rFonts w:hint="eastAsia" w:ascii="仿宋_GB2312" w:hAnsi="仿宋_GB2312" w:eastAsia="仿宋_GB2312" w:cs="仿宋_GB2312"/>
          <w:sz w:val="28"/>
          <w:szCs w:val="28"/>
        </w:rPr>
        <mc:AlternateContent>
          <mc:Choice Requires="wps">
            <w:drawing>
              <wp:anchor distT="0" distB="0" distL="114300" distR="114300" simplePos="0" relativeHeight="251661312" behindDoc="0" locked="0" layoutInCell="1" allowOverlap="1">
                <wp:simplePos x="0" y="0"/>
                <wp:positionH relativeFrom="margin">
                  <wp:align>left</wp:align>
                </wp:positionH>
                <wp:positionV relativeFrom="paragraph">
                  <wp:posOffset>373380</wp:posOffset>
                </wp:positionV>
                <wp:extent cx="5427345" cy="0"/>
                <wp:effectExtent l="0" t="4445" r="0" b="5080"/>
                <wp:wrapNone/>
                <wp:docPr id="772891940" name="直接连接符 3"/>
                <wp:cNvGraphicFramePr/>
                <a:graphic xmlns:a="http://schemas.openxmlformats.org/drawingml/2006/main">
                  <a:graphicData uri="http://schemas.microsoft.com/office/word/2010/wordprocessingShape">
                    <wps:wsp>
                      <wps:cNvCnPr>
                        <a:cxnSpLocks noChangeShapeType="1"/>
                      </wps:cNvCnPr>
                      <wps:spPr bwMode="auto">
                        <a:xfrm flipV="1">
                          <a:off x="0" y="0"/>
                          <a:ext cx="5427133" cy="0"/>
                        </a:xfrm>
                        <a:prstGeom prst="line">
                          <a:avLst/>
                        </a:prstGeom>
                        <a:noFill/>
                        <a:ln w="9525">
                          <a:solidFill>
                            <a:srgbClr val="000000"/>
                          </a:solidFill>
                          <a:round/>
                        </a:ln>
                      </wps:spPr>
                      <wps:bodyPr/>
                    </wps:wsp>
                  </a:graphicData>
                </a:graphic>
              </wp:anchor>
            </w:drawing>
          </mc:Choice>
          <mc:Fallback>
            <w:pict>
              <v:line id="直接连接符 3" o:spid="_x0000_s1026" o:spt="20" style="position:absolute;left:0pt;flip:y;margin-top:29.4pt;height:0pt;width:427.35pt;mso-position-horizontal:left;mso-position-horizontal-relative:margin;z-index:251661312;mso-width-relative:page;mso-height-relative:page;" filled="f" stroked="t" coordsize="21600,21600" o:gfxdata="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4SJBnNQAAAAGAQAADwAAAAAAAAABACAAAAAiAAAAZHJzL2Rvd25yZXYueG1sUEsBAhQAFAAA&#10;AAgAh07iQFh9Zp3zAQAAvAMAAA4AAAAAAAAAAQAgAAAAIwEAAGRycy9lMm9Eb2MueG1sUEsFBgAA&#10;AAAGAAYAWQEAAIgFAAAAAA==&#10;">
                <v:fill on="f" focussize="0,0"/>
                <v:stroke color="#000000" joinstyle="round"/>
                <v:imagedata o:title=""/>
                <o:lock v:ext="edit" aspectratio="f"/>
              </v:line>
            </w:pict>
          </mc:Fallback>
        </mc:AlternateContent>
      </w:r>
      <w:r>
        <w:rPr>
          <w:rFonts w:hint="eastAsia" w:ascii="仿宋_GB2312" w:hAnsi="仿宋_GB2312" w:eastAsia="仿宋_GB2312" w:cs="仿宋_GB2312"/>
          <w:sz w:val="28"/>
          <w:szCs w:val="28"/>
        </w:rPr>
        <w:t xml:space="preserve">中共湾里管理局工委 湾里管理局办公室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 2024年</w:t>
      </w: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日印发</w:t>
      </w:r>
    </w:p>
    <w:sectPr>
      <w:footerReference r:id="rId3" w:type="default"/>
      <w:footerReference r:id="rId4" w:type="even"/>
      <w:pgSz w:w="11906" w:h="16838"/>
      <w:pgMar w:top="1701" w:right="1474" w:bottom="1701"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_x000B__x000C_">
    <w:altName w:val="方正公文小标宋"/>
    <w:panose1 w:val="00000000000000000000"/>
    <w:charset w:val="00"/>
    <w:family w:val="roman"/>
    <w:pitch w:val="default"/>
    <w:sig w:usb0="00000000" w:usb1="00000000" w:usb2="00000000"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仿宋_GBK">
    <w:altName w:val="微软雅黑"/>
    <w:panose1 w:val="02000000000000000000"/>
    <w:charset w:val="86"/>
    <w:family w:val="auto"/>
    <w:pitch w:val="default"/>
    <w:sig w:usb0="00000000" w:usb1="00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公文小标宋">
    <w:panose1 w:val="02000500000000000000"/>
    <w:charset w:val="86"/>
    <w:family w:val="auto"/>
    <w:pitch w:val="default"/>
    <w:sig w:usb0="A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right"/>
      <w:rPr>
        <w:rFonts w:asciiTheme="minorEastAsia" w:hAnsiTheme="minorEastAsia"/>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p>
    <w:pPr>
      <w:pStyle w:val="4"/>
    </w:pPr>
  </w:p>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asciiTheme="minorEastAsia" w:hAnsiTheme="minorEastAsia"/>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p>
    <w:pPr>
      <w:pStyle w:val="4"/>
    </w:pPr>
  </w:p>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79EDE9"/>
    <w:multiLevelType w:val="singleLevel"/>
    <w:tmpl w:val="AF79EDE9"/>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revisionView w:markup="0"/>
  <w:trackRevisions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JiM2MzMjg5OWZjNTQwN2EwYzEzNGNkNDYzNWQwMGUifQ=="/>
  </w:docVars>
  <w:rsids>
    <w:rsidRoot w:val="00FE70E4"/>
    <w:rsid w:val="00076C30"/>
    <w:rsid w:val="000A5A8C"/>
    <w:rsid w:val="000B4A1E"/>
    <w:rsid w:val="000F0443"/>
    <w:rsid w:val="001258C6"/>
    <w:rsid w:val="00131E8E"/>
    <w:rsid w:val="00182C24"/>
    <w:rsid w:val="00187195"/>
    <w:rsid w:val="00191532"/>
    <w:rsid w:val="00193BCF"/>
    <w:rsid w:val="0019591A"/>
    <w:rsid w:val="001E32B9"/>
    <w:rsid w:val="00220044"/>
    <w:rsid w:val="002423EF"/>
    <w:rsid w:val="002765C3"/>
    <w:rsid w:val="002C50FD"/>
    <w:rsid w:val="002D0CDD"/>
    <w:rsid w:val="00345F8C"/>
    <w:rsid w:val="0035298B"/>
    <w:rsid w:val="003D66D7"/>
    <w:rsid w:val="00410F62"/>
    <w:rsid w:val="00411B7A"/>
    <w:rsid w:val="004A38F3"/>
    <w:rsid w:val="004E4C3A"/>
    <w:rsid w:val="004E5BC7"/>
    <w:rsid w:val="00516555"/>
    <w:rsid w:val="005241A5"/>
    <w:rsid w:val="00552181"/>
    <w:rsid w:val="006743E3"/>
    <w:rsid w:val="006D08FC"/>
    <w:rsid w:val="006D4A89"/>
    <w:rsid w:val="00700D1C"/>
    <w:rsid w:val="007B5EC5"/>
    <w:rsid w:val="007C5D1C"/>
    <w:rsid w:val="00871EA8"/>
    <w:rsid w:val="00875291"/>
    <w:rsid w:val="00897048"/>
    <w:rsid w:val="00907A0F"/>
    <w:rsid w:val="00923D39"/>
    <w:rsid w:val="00925C7E"/>
    <w:rsid w:val="009520C3"/>
    <w:rsid w:val="009C62CD"/>
    <w:rsid w:val="009F3B00"/>
    <w:rsid w:val="009F6A50"/>
    <w:rsid w:val="00B2699E"/>
    <w:rsid w:val="00B521A0"/>
    <w:rsid w:val="00B63853"/>
    <w:rsid w:val="00B906E4"/>
    <w:rsid w:val="00BA0044"/>
    <w:rsid w:val="00BC3F89"/>
    <w:rsid w:val="00BD00D0"/>
    <w:rsid w:val="00C24213"/>
    <w:rsid w:val="00C36E1C"/>
    <w:rsid w:val="00CB61CE"/>
    <w:rsid w:val="00CD3D65"/>
    <w:rsid w:val="00D10D4E"/>
    <w:rsid w:val="00D66E35"/>
    <w:rsid w:val="00E00CEA"/>
    <w:rsid w:val="00E037E2"/>
    <w:rsid w:val="00E1422E"/>
    <w:rsid w:val="00E16B98"/>
    <w:rsid w:val="00EC2A99"/>
    <w:rsid w:val="00ED2A11"/>
    <w:rsid w:val="00EF238E"/>
    <w:rsid w:val="00F101D0"/>
    <w:rsid w:val="00F24632"/>
    <w:rsid w:val="00F42BC5"/>
    <w:rsid w:val="00F71DDF"/>
    <w:rsid w:val="00FC69DE"/>
    <w:rsid w:val="00FE70E4"/>
    <w:rsid w:val="00FF5935"/>
    <w:rsid w:val="02387B40"/>
    <w:rsid w:val="0AB02759"/>
    <w:rsid w:val="0C2821A0"/>
    <w:rsid w:val="0D10133F"/>
    <w:rsid w:val="0EAB32BF"/>
    <w:rsid w:val="10DD79E1"/>
    <w:rsid w:val="11162DAF"/>
    <w:rsid w:val="143B3350"/>
    <w:rsid w:val="171B2417"/>
    <w:rsid w:val="18EA3D62"/>
    <w:rsid w:val="1D0376F9"/>
    <w:rsid w:val="1D5E4356"/>
    <w:rsid w:val="1EBC6181"/>
    <w:rsid w:val="215B5563"/>
    <w:rsid w:val="21725D08"/>
    <w:rsid w:val="21F726B1"/>
    <w:rsid w:val="22001566"/>
    <w:rsid w:val="27562F9F"/>
    <w:rsid w:val="289C4933"/>
    <w:rsid w:val="28E441EA"/>
    <w:rsid w:val="2B151462"/>
    <w:rsid w:val="2B5A777A"/>
    <w:rsid w:val="32ED6B7E"/>
    <w:rsid w:val="3B073BC8"/>
    <w:rsid w:val="3CA4480B"/>
    <w:rsid w:val="3DFD3296"/>
    <w:rsid w:val="44FC7513"/>
    <w:rsid w:val="48C20A4B"/>
    <w:rsid w:val="4A176B9D"/>
    <w:rsid w:val="4F391F54"/>
    <w:rsid w:val="52100AA2"/>
    <w:rsid w:val="529F001B"/>
    <w:rsid w:val="52D9726D"/>
    <w:rsid w:val="55AF2312"/>
    <w:rsid w:val="5D202DCA"/>
    <w:rsid w:val="5F230898"/>
    <w:rsid w:val="61A82AA5"/>
    <w:rsid w:val="65EE7414"/>
    <w:rsid w:val="681A6716"/>
    <w:rsid w:val="693D3361"/>
    <w:rsid w:val="6E6679E2"/>
    <w:rsid w:val="72F707B6"/>
    <w:rsid w:val="73C71690"/>
    <w:rsid w:val="7EE04734"/>
    <w:rsid w:val="7F5774ED"/>
    <w:rsid w:val="DFB78E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autoRedefine/>
    <w:qFormat/>
    <w:uiPriority w:val="0"/>
    <w:pPr>
      <w:ind w:firstLine="570"/>
    </w:pPr>
    <w:rPr>
      <w:rFonts w:ascii="_x000B__x000C_" w:hAnsi="_x000B__x000C_"/>
      <w:sz w:val="28"/>
      <w:szCs w:val="28"/>
    </w:rPr>
  </w:style>
  <w:style w:type="paragraph" w:styleId="4">
    <w:name w:val="footer"/>
    <w:basedOn w:val="1"/>
    <w:link w:val="10"/>
    <w:autoRedefine/>
    <w:unhideWhenUsed/>
    <w:qFormat/>
    <w:uiPriority w:val="99"/>
    <w:pPr>
      <w:tabs>
        <w:tab w:val="center" w:pos="4153"/>
        <w:tab w:val="right" w:pos="8306"/>
      </w:tabs>
      <w:snapToGrid w:val="0"/>
      <w:jc w:val="left"/>
    </w:pPr>
    <w:rPr>
      <w:sz w:val="18"/>
      <w:szCs w:val="18"/>
    </w:rPr>
  </w:style>
  <w:style w:type="paragraph" w:styleId="5">
    <w:name w:val="header"/>
    <w:basedOn w:val="1"/>
    <w:link w:val="9"/>
    <w:autoRedefine/>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rPr>
      <w:kern w:val="0"/>
      <w:sz w:val="20"/>
      <w:szCs w:val="20"/>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customStyle="1" w:styleId="9">
    <w:name w:val="页眉 Char"/>
    <w:basedOn w:val="8"/>
    <w:link w:val="5"/>
    <w:qFormat/>
    <w:uiPriority w:val="99"/>
    <w:rPr>
      <w:sz w:val="18"/>
      <w:szCs w:val="18"/>
    </w:rPr>
  </w:style>
  <w:style w:type="character" w:customStyle="1" w:styleId="10">
    <w:name w:val="页脚 Char"/>
    <w:basedOn w:val="8"/>
    <w:link w:val="4"/>
    <w:autoRedefine/>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1078</Words>
  <Characters>6150</Characters>
  <Lines>51</Lines>
  <Paragraphs>14</Paragraphs>
  <TotalTime>8</TotalTime>
  <ScaleCrop>false</ScaleCrop>
  <LinksUpToDate>false</LinksUpToDate>
  <CharactersWithSpaces>7214</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2022-10-21T09:18:00Z</dcterms:created>
  <dc:creator>Lenovo</dc:creator>
  <cp:lastModifiedBy>老咪Pisces</cp:lastModifiedBy>
  <cp:lastPrinted>2024-03-06T08:44:00Z</cp:lastPrinted>
  <dcterms:modified xsi:type="dcterms:W3CDTF">2024-03-11T08:10:22Z</dcterms:modified>
  <dc:title>湾管办字〔2024〕号</dc:title>
  <cp:revision>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CE7AAFD4567F46738D13F33A886D662A_13</vt:lpwstr>
  </property>
</Properties>
</file>