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Cs/>
          <w:color w:val="auto"/>
          <w:kern w:val="2"/>
          <w:sz w:val="44"/>
          <w:szCs w:val="44"/>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Cs/>
          <w:color w:val="auto"/>
          <w:kern w:val="2"/>
          <w:sz w:val="44"/>
          <w:szCs w:val="44"/>
          <w:lang w:eastAsia="zh-CN"/>
        </w:rPr>
      </w:pPr>
    </w:p>
    <w:p>
      <w:pPr>
        <w:pStyle w:val="10"/>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bCs/>
          <w:color w:val="auto"/>
          <w:sz w:val="44"/>
          <w:szCs w:val="44"/>
        </w:rPr>
      </w:pPr>
      <w:r>
        <w:rPr>
          <w:rFonts w:hint="eastAsia" w:ascii="方正小标宋简体" w:hAnsi="方正小标宋简体" w:eastAsia="方正小标宋简体" w:cs="方正小标宋简体"/>
          <w:bCs/>
          <w:color w:val="auto"/>
          <w:kern w:val="2"/>
          <w:sz w:val="44"/>
          <w:szCs w:val="44"/>
          <w:lang w:eastAsia="zh-CN"/>
        </w:rPr>
        <w:t>中共湾里管理局工委 湾里管理局办公室</w:t>
      </w:r>
    </w:p>
    <w:p>
      <w:pPr>
        <w:spacing w:line="600" w:lineRule="exact"/>
        <w:jc w:val="center"/>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rPr>
        <w:t>关于</w:t>
      </w:r>
      <w:r>
        <w:rPr>
          <w:rFonts w:hint="eastAsia" w:ascii="方正小标宋简体" w:hAnsi="方正小标宋简体" w:eastAsia="方正小标宋简体" w:cs="方正小标宋简体"/>
          <w:b w:val="0"/>
          <w:bCs w:val="0"/>
          <w:color w:val="auto"/>
          <w:sz w:val="44"/>
          <w:szCs w:val="44"/>
          <w:lang w:val="en-US" w:eastAsia="zh-CN"/>
        </w:rPr>
        <w:t>印发《</w:t>
      </w:r>
      <w:r>
        <w:rPr>
          <w:rFonts w:hint="eastAsia" w:ascii="方正小标宋简体" w:hAnsi="方正小标宋简体" w:eastAsia="方正小标宋简体" w:cs="方正小标宋简体"/>
          <w:b w:val="0"/>
          <w:bCs/>
          <w:color w:val="auto"/>
          <w:sz w:val="44"/>
          <w:szCs w:val="44"/>
        </w:rPr>
        <w:t>湾里</w:t>
      </w:r>
      <w:r>
        <w:rPr>
          <w:rFonts w:hint="eastAsia" w:ascii="方正小标宋简体" w:hAnsi="方正小标宋简体" w:eastAsia="方正小标宋简体" w:cs="方正小标宋简体"/>
          <w:b w:val="0"/>
          <w:bCs/>
          <w:color w:val="auto"/>
          <w:sz w:val="44"/>
          <w:szCs w:val="44"/>
          <w:lang w:val="en-US" w:eastAsia="zh-CN"/>
        </w:rPr>
        <w:t>管理局关于落实江西省退役军人服务专干管理办法的</w:t>
      </w:r>
      <w:r>
        <w:rPr>
          <w:rFonts w:hint="eastAsia" w:ascii="方正小标宋简体" w:hAnsi="方正小标宋简体" w:eastAsia="方正小标宋简体" w:cs="方正小标宋简体"/>
          <w:b w:val="0"/>
          <w:bCs/>
          <w:color w:val="auto"/>
          <w:kern w:val="0"/>
          <w:sz w:val="44"/>
          <w:szCs w:val="44"/>
        </w:rPr>
        <w:t>实施</w:t>
      </w:r>
      <w:r>
        <w:rPr>
          <w:rFonts w:hint="eastAsia" w:ascii="方正小标宋简体" w:hAnsi="方正小标宋简体" w:eastAsia="方正小标宋简体" w:cs="方正小标宋简体"/>
          <w:b w:val="0"/>
          <w:bCs/>
          <w:color w:val="auto"/>
          <w:kern w:val="0"/>
          <w:sz w:val="44"/>
          <w:szCs w:val="44"/>
          <w:lang w:val="en-US" w:eastAsia="zh-CN"/>
        </w:rPr>
        <w:t>细则</w:t>
      </w:r>
      <w:r>
        <w:rPr>
          <w:rFonts w:hint="eastAsia" w:ascii="方正小标宋简体" w:hAnsi="方正小标宋简体" w:eastAsia="方正小标宋简体" w:cs="方正小标宋简体"/>
          <w:b w:val="0"/>
          <w:bCs w:val="0"/>
          <w:color w:val="auto"/>
          <w:sz w:val="44"/>
          <w:szCs w:val="44"/>
          <w:lang w:val="en-US" w:eastAsia="zh-CN"/>
        </w:rPr>
        <w:t>》</w:t>
      </w:r>
    </w:p>
    <w:p>
      <w:pPr>
        <w:pStyle w:val="2"/>
        <w:spacing w:after="0" w:line="560" w:lineRule="exact"/>
        <w:jc w:val="center"/>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的通知</w:t>
      </w:r>
    </w:p>
    <w:p>
      <w:pPr>
        <w:pStyle w:val="2"/>
        <w:spacing w:line="480" w:lineRule="exact"/>
        <w:jc w:val="center"/>
        <w:rPr>
          <w:rFonts w:hint="eastAsia" w:ascii="黑体" w:hAnsi="黑体" w:eastAsia="黑体" w:cs="黑体"/>
          <w:b w:val="0"/>
          <w:bCs/>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rFonts w:hint="eastAsia" w:ascii="仿宋_GB2312" w:eastAsia="仿宋_GB2312"/>
          <w:color w:val="auto"/>
          <w:sz w:val="32"/>
          <w:szCs w:val="32"/>
        </w:rPr>
      </w:pPr>
      <w:r>
        <w:rPr>
          <w:rFonts w:hint="eastAsia" w:ascii="仿宋_GB2312" w:eastAsia="仿宋_GB2312"/>
          <w:color w:val="auto"/>
          <w:sz w:val="32"/>
          <w:szCs w:val="32"/>
        </w:rPr>
        <w:t>各镇</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街办，洗药湖管理</w:t>
      </w:r>
      <w:r>
        <w:rPr>
          <w:rFonts w:hint="eastAsia" w:ascii="仿宋_GB2312" w:eastAsia="仿宋_GB2312"/>
          <w:color w:val="auto"/>
          <w:sz w:val="32"/>
          <w:szCs w:val="32"/>
        </w:rPr>
        <w:t>处，</w:t>
      </w:r>
      <w:r>
        <w:rPr>
          <w:rFonts w:hint="eastAsia" w:ascii="仿宋_GB2312" w:eastAsia="仿宋_GB2312"/>
          <w:color w:val="auto"/>
          <w:sz w:val="32"/>
          <w:szCs w:val="32"/>
          <w:lang w:val="en-US" w:eastAsia="zh-CN"/>
        </w:rPr>
        <w:t>罗亭工业园管委会，</w:t>
      </w:r>
      <w:r>
        <w:rPr>
          <w:rFonts w:hint="eastAsia" w:ascii="仿宋_GB2312" w:eastAsia="仿宋_GB2312"/>
          <w:color w:val="auto"/>
          <w:sz w:val="32"/>
          <w:szCs w:val="32"/>
        </w:rPr>
        <w:t>管理局各</w:t>
      </w:r>
      <w:r>
        <w:rPr>
          <w:rFonts w:hint="eastAsia" w:ascii="仿宋_GB2312" w:eastAsia="仿宋_GB2312"/>
          <w:color w:val="auto"/>
          <w:sz w:val="32"/>
          <w:szCs w:val="32"/>
          <w:lang w:val="en-US" w:eastAsia="zh-CN"/>
        </w:rPr>
        <w:t>部门</w:t>
      </w:r>
      <w:r>
        <w:rPr>
          <w:rFonts w:hint="eastAsia" w:ascii="仿宋_GB2312" w:eastAsia="仿宋_GB2312"/>
          <w:color w:val="auto"/>
          <w:sz w:val="32"/>
          <w:szCs w:val="32"/>
        </w:rPr>
        <w:t>，驻局有关单位：</w:t>
      </w:r>
    </w:p>
    <w:p>
      <w:pPr>
        <w:pStyle w:val="10"/>
        <w:spacing w:line="480" w:lineRule="exact"/>
        <w:ind w:firstLine="640" w:firstLineChars="200"/>
        <w:rPr>
          <w:rFonts w:hint="eastAsia"/>
          <w:color w:val="auto"/>
        </w:rPr>
      </w:pPr>
      <w:r>
        <w:rPr>
          <w:rFonts w:hint="eastAsia" w:ascii="仿宋_GB2312" w:hAnsi="Times New Roman" w:eastAsia="仿宋_GB2312" w:cs="Times New Roman"/>
          <w:color w:val="auto"/>
          <w:sz w:val="32"/>
          <w:szCs w:val="32"/>
          <w:lang w:val="en-US" w:eastAsia="zh-CN"/>
        </w:rPr>
        <w:t>《湾里管理局关于落实江西省退役军人服务专干管理办法的实施细则》已</w:t>
      </w:r>
      <w:r>
        <w:rPr>
          <w:rFonts w:hint="eastAsia" w:ascii="仿宋_GB2312" w:eastAsia="仿宋_GB2312"/>
          <w:color w:val="auto"/>
          <w:sz w:val="32"/>
          <w:szCs w:val="32"/>
          <w:lang w:val="en-US" w:eastAsia="zh-CN"/>
        </w:rPr>
        <w:t>经湾里管理局第44次局长办公会、中共湾里管理局工委第32次会议研究同意，现印发给你们，请认真抓好贯彻落实。</w:t>
      </w:r>
    </w:p>
    <w:p>
      <w:pPr>
        <w:pStyle w:val="10"/>
        <w:keepNext w:val="0"/>
        <w:keepLines w:val="0"/>
        <w:pageBreakBefore w:val="0"/>
        <w:widowControl w:val="0"/>
        <w:kinsoku/>
        <w:wordWrap/>
        <w:overflowPunct/>
        <w:topLinePunct w:val="0"/>
        <w:bidi w:val="0"/>
        <w:spacing w:line="480" w:lineRule="exact"/>
        <w:textAlignment w:val="auto"/>
        <w:rPr>
          <w:rFonts w:hint="eastAsia" w:ascii="仿宋_GB2312" w:eastAsia="仿宋_GB2312"/>
          <w:color w:val="auto"/>
          <w:sz w:val="32"/>
          <w:szCs w:val="32"/>
        </w:rPr>
      </w:pPr>
      <w:r>
        <w:rPr>
          <w:rFonts w:hint="eastAsia" w:ascii="仿宋_GB2312" w:hAnsi="仿宋" w:eastAsia="仿宋_GB2312" w:cs="仿宋"/>
          <w:color w:val="auto"/>
          <w:sz w:val="32"/>
          <w:szCs w:val="32"/>
        </w:rPr>
        <mc:AlternateContent>
          <mc:Choice Requires="wps">
            <w:drawing>
              <wp:anchor distT="0" distB="0" distL="114300" distR="114300" simplePos="0" relativeHeight="251660288" behindDoc="0" locked="0" layoutInCell="1" allowOverlap="1">
                <wp:simplePos x="0" y="0"/>
                <wp:positionH relativeFrom="column">
                  <wp:posOffset>2032000</wp:posOffset>
                </wp:positionH>
                <wp:positionV relativeFrom="paragraph">
                  <wp:posOffset>112395</wp:posOffset>
                </wp:positionV>
                <wp:extent cx="3188970" cy="707390"/>
                <wp:effectExtent l="0" t="0" r="0" b="0"/>
                <wp:wrapNone/>
                <wp:docPr id="1" name="文本框 9"/>
                <wp:cNvGraphicFramePr/>
                <a:graphic xmlns:a="http://schemas.openxmlformats.org/drawingml/2006/main">
                  <a:graphicData uri="http://schemas.microsoft.com/office/word/2010/wordprocessingShape">
                    <wps:wsp>
                      <wps:cNvSpPr txBox="1"/>
                      <wps:spPr>
                        <a:xfrm>
                          <a:off x="0" y="0"/>
                          <a:ext cx="3188970" cy="707390"/>
                        </a:xfrm>
                        <a:prstGeom prst="rect">
                          <a:avLst/>
                        </a:prstGeom>
                        <a:noFill/>
                        <a:ln>
                          <a:noFill/>
                        </a:ln>
                      </wps:spPr>
                      <wps:txbx>
                        <w:txbxContent>
                          <w:p>
                            <w:pPr>
                              <w:spacing w:line="440" w:lineRule="exact"/>
                              <w:ind w:left="0" w:leftChars="0" w:firstLine="0" w:firstLineChars="0"/>
                              <w:rPr>
                                <w:rFonts w:hint="eastAsia" w:ascii="仿宋_GB2312" w:eastAsia="仿宋_GB2312"/>
                                <w:sz w:val="32"/>
                                <w:szCs w:val="32"/>
                              </w:rPr>
                            </w:pPr>
                            <w:r>
                              <w:rPr>
                                <w:rFonts w:hint="eastAsia" w:ascii="仿宋_GB2312" w:eastAsia="仿宋_GB2312"/>
                                <w:sz w:val="32"/>
                                <w:szCs w:val="32"/>
                              </w:rPr>
                              <w:t>中</w:t>
                            </w:r>
                            <w:r>
                              <w:rPr>
                                <w:rFonts w:hint="eastAsia" w:ascii="仿宋_GB2312" w:eastAsia="仿宋_GB2312"/>
                                <w:sz w:val="32"/>
                                <w:szCs w:val="32"/>
                                <w:lang w:eastAsia="zh-CN"/>
                              </w:rPr>
                              <w:t>共</w:t>
                            </w:r>
                            <w:r>
                              <w:rPr>
                                <w:rFonts w:hint="eastAsia" w:ascii="仿宋_GB2312" w:eastAsia="仿宋_GB2312"/>
                                <w:sz w:val="32"/>
                                <w:szCs w:val="32"/>
                              </w:rPr>
                              <w:t>南昌市湾里管理局工委</w:t>
                            </w:r>
                          </w:p>
                          <w:p>
                            <w:pPr>
                              <w:pStyle w:val="10"/>
                              <w:spacing w:line="440" w:lineRule="exact"/>
                              <w:ind w:firstLine="0" w:firstLineChars="0"/>
                              <w:rPr>
                                <w:rFonts w:hint="eastAsia" w:ascii="仿宋_GB2312" w:eastAsia="仿宋_GB2312"/>
                                <w:b w:val="0"/>
                                <w:sz w:val="32"/>
                                <w:szCs w:val="32"/>
                              </w:rPr>
                            </w:pPr>
                            <w:r>
                              <w:rPr>
                                <w:rFonts w:hint="eastAsia" w:ascii="仿宋_GB2312" w:eastAsia="仿宋_GB2312"/>
                                <w:b w:val="0"/>
                                <w:spacing w:val="6"/>
                                <w:sz w:val="32"/>
                                <w:szCs w:val="32"/>
                              </w:rPr>
                              <w:t>南 昌 市 湾 里 管 理 局</w:t>
                            </w:r>
                          </w:p>
                        </w:txbxContent>
                      </wps:txbx>
                      <wps:bodyPr vert="horz" wrap="square" anchor="t" anchorCtr="0" upright="1"/>
                    </wps:wsp>
                  </a:graphicData>
                </a:graphic>
              </wp:anchor>
            </w:drawing>
          </mc:Choice>
          <mc:Fallback>
            <w:pict>
              <v:shape id="文本框 9" o:spid="_x0000_s1026" o:spt="202" type="#_x0000_t202" style="position:absolute;left:0pt;margin-left:160pt;margin-top:8.85pt;height:55.7pt;width:251.1pt;z-index:251660288;mso-width-relative:page;mso-height-relative:page;" filled="f" stroked="f" coordsize="21600,21600" o:gfxdata="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AeaMqo1gAAAAoBAAAP&#10;AAAAAAAAAAEAIAAAADgAAABkcnMvZG93bnJldi54bWxQSwECFAAUAAAACACHTuJA5609GssBAACB&#10;AwAADgAAAAAAAAABACAAAAA7AQAAZHJzL2Uyb0RvYy54bWxQSwUGAAAAAAYABgBZAQAAeAUAAAAA&#10;">
                <v:fill on="f" focussize="0,0"/>
                <v:stroke on="f"/>
                <v:imagedata o:title=""/>
                <o:lock v:ext="edit" aspectratio="f"/>
                <v:textbox>
                  <w:txbxContent>
                    <w:p>
                      <w:pPr>
                        <w:spacing w:line="440" w:lineRule="exact"/>
                        <w:ind w:left="0" w:leftChars="0" w:firstLine="0" w:firstLineChars="0"/>
                        <w:rPr>
                          <w:rFonts w:hint="eastAsia" w:ascii="仿宋_GB2312" w:eastAsia="仿宋_GB2312"/>
                          <w:sz w:val="32"/>
                          <w:szCs w:val="32"/>
                        </w:rPr>
                      </w:pPr>
                      <w:r>
                        <w:rPr>
                          <w:rFonts w:hint="eastAsia" w:ascii="仿宋_GB2312" w:eastAsia="仿宋_GB2312"/>
                          <w:sz w:val="32"/>
                          <w:szCs w:val="32"/>
                        </w:rPr>
                        <w:t>中</w:t>
                      </w:r>
                      <w:r>
                        <w:rPr>
                          <w:rFonts w:hint="eastAsia" w:ascii="仿宋_GB2312" w:eastAsia="仿宋_GB2312"/>
                          <w:sz w:val="32"/>
                          <w:szCs w:val="32"/>
                          <w:lang w:eastAsia="zh-CN"/>
                        </w:rPr>
                        <w:t>共</w:t>
                      </w:r>
                      <w:r>
                        <w:rPr>
                          <w:rFonts w:hint="eastAsia" w:ascii="仿宋_GB2312" w:eastAsia="仿宋_GB2312"/>
                          <w:sz w:val="32"/>
                          <w:szCs w:val="32"/>
                        </w:rPr>
                        <w:t>南昌市湾里管理局工委</w:t>
                      </w:r>
                    </w:p>
                    <w:p>
                      <w:pPr>
                        <w:pStyle w:val="10"/>
                        <w:spacing w:line="440" w:lineRule="exact"/>
                        <w:ind w:firstLine="0" w:firstLineChars="0"/>
                        <w:rPr>
                          <w:rFonts w:hint="eastAsia" w:ascii="仿宋_GB2312" w:eastAsia="仿宋_GB2312"/>
                          <w:b w:val="0"/>
                          <w:sz w:val="32"/>
                          <w:szCs w:val="32"/>
                        </w:rPr>
                      </w:pPr>
                      <w:r>
                        <w:rPr>
                          <w:rFonts w:hint="eastAsia" w:ascii="仿宋_GB2312" w:eastAsia="仿宋_GB2312"/>
                          <w:b w:val="0"/>
                          <w:spacing w:val="6"/>
                          <w:sz w:val="32"/>
                          <w:szCs w:val="32"/>
                        </w:rPr>
                        <w:t>南 昌 市 湾 里 管 理 局</w:t>
                      </w:r>
                    </w:p>
                  </w:txbxContent>
                </v:textbox>
              </v:shape>
            </w:pict>
          </mc:Fallback>
        </mc:AlternateContent>
      </w:r>
      <w:r>
        <w:rPr>
          <w:rFonts w:hint="eastAsia" w:ascii="仿宋_GB2312" w:hAnsi="仿宋_GB2312" w:eastAsia="仿宋_GB2312" w:cs="仿宋_GB2312"/>
          <w:bCs/>
          <w:color w:val="auto"/>
          <w:sz w:val="32"/>
          <w:szCs w:val="32"/>
        </w:rPr>
        <mc:AlternateContent>
          <mc:Choice Requires="wps">
            <w:drawing>
              <wp:anchor distT="0" distB="0" distL="114300" distR="114300" simplePos="0" relativeHeight="251659264" behindDoc="0" locked="0" layoutInCell="1" allowOverlap="1">
                <wp:simplePos x="0" y="0"/>
                <wp:positionH relativeFrom="column">
                  <wp:posOffset>4495165</wp:posOffset>
                </wp:positionH>
                <wp:positionV relativeFrom="paragraph">
                  <wp:posOffset>231775</wp:posOffset>
                </wp:positionV>
                <wp:extent cx="922020" cy="485140"/>
                <wp:effectExtent l="4445" t="4445" r="6985" b="5715"/>
                <wp:wrapNone/>
                <wp:docPr id="3" name="文本框 3"/>
                <wp:cNvGraphicFramePr/>
                <a:graphic xmlns:a="http://schemas.openxmlformats.org/drawingml/2006/main">
                  <a:graphicData uri="http://schemas.microsoft.com/office/word/2010/wordprocessingShape">
                    <wps:wsp>
                      <wps:cNvSpPr txBox="1"/>
                      <wps:spPr>
                        <a:xfrm>
                          <a:off x="0" y="0"/>
                          <a:ext cx="922020" cy="485140"/>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pPr>
                              <w:ind w:left="0" w:leftChars="0" w:firstLine="0" w:firstLineChars="0"/>
                              <w:rPr>
                                <w:rFonts w:hint="eastAsia" w:ascii="仿宋_GB2312" w:eastAsia="仿宋_GB2312"/>
                                <w:sz w:val="32"/>
                                <w:szCs w:val="32"/>
                              </w:rPr>
                            </w:pPr>
                            <w:r>
                              <w:rPr>
                                <w:rFonts w:hint="eastAsia" w:ascii="仿宋_GB2312" w:eastAsia="仿宋_GB2312"/>
                                <w:sz w:val="32"/>
                                <w:szCs w:val="32"/>
                              </w:rPr>
                              <w:t>办公室</w:t>
                            </w:r>
                          </w:p>
                        </w:txbxContent>
                      </wps:txbx>
                      <wps:bodyPr wrap="square" upright="1"/>
                    </wps:wsp>
                  </a:graphicData>
                </a:graphic>
              </wp:anchor>
            </w:drawing>
          </mc:Choice>
          <mc:Fallback>
            <w:pict>
              <v:shape id="_x0000_s1026" o:spid="_x0000_s1026" o:spt="202" type="#_x0000_t202" style="position:absolute;left:0pt;margin-left:353.95pt;margin-top:18.25pt;height:38.2pt;width:72.6pt;z-index:251659264;mso-width-relative:page;mso-height-relative:page;" fillcolor="#FFFFFF" filled="t" stroked="t" coordsize="21600,21600" o:gfxdata="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WAAAAZHJzL1BLAQIUABQA&#10;AAAIAIdO4kDzAMGT2QAAAAoBAAAPAAAAAAAAAAEAIAAAADgAAABkcnMvZG93bnJldi54bWxQSwEC&#10;FAAUAAAACACHTuJAr40HtxYCAABRBAAADgAAAAAAAAABACAAAAA+AQAAZHJzL2Uyb0RvYy54bWxQ&#10;SwUGAAAAAAYABgBZAQAAxgUAAAAA&#10;">
                <v:fill on="t" focussize="0,0"/>
                <v:stroke color="#FFFFFF" joinstyle="miter"/>
                <v:imagedata o:title=""/>
                <o:lock v:ext="edit" aspectratio="f"/>
                <v:textbox>
                  <w:txbxContent>
                    <w:p>
                      <w:pPr>
                        <w:ind w:left="0" w:leftChars="0" w:firstLine="0" w:firstLineChars="0"/>
                        <w:rPr>
                          <w:rFonts w:hint="eastAsia" w:ascii="仿宋_GB2312" w:eastAsia="仿宋_GB2312"/>
                          <w:sz w:val="32"/>
                          <w:szCs w:val="32"/>
                        </w:rPr>
                      </w:pPr>
                      <w:r>
                        <w:rPr>
                          <w:rFonts w:hint="eastAsia" w:ascii="仿宋_GB2312" w:eastAsia="仿宋_GB2312"/>
                          <w:sz w:val="32"/>
                          <w:szCs w:val="32"/>
                        </w:rPr>
                        <w:t>办公室</w:t>
                      </w:r>
                    </w:p>
                  </w:txbxContent>
                </v:textbox>
              </v:shape>
            </w:pict>
          </mc:Fallback>
        </mc:AlternateContent>
      </w:r>
    </w:p>
    <w:p>
      <w:pPr>
        <w:pStyle w:val="10"/>
        <w:keepNext w:val="0"/>
        <w:keepLines w:val="0"/>
        <w:pageBreakBefore w:val="0"/>
        <w:widowControl w:val="0"/>
        <w:kinsoku/>
        <w:wordWrap/>
        <w:overflowPunct/>
        <w:topLinePunct w:val="0"/>
        <w:bidi w:val="0"/>
        <w:spacing w:line="540" w:lineRule="exact"/>
        <w:textAlignment w:val="auto"/>
        <w:rPr>
          <w:rFonts w:hint="eastAsia" w:ascii="仿宋_GB2312" w:eastAsia="仿宋_GB2312"/>
          <w:color w:val="auto"/>
          <w:sz w:val="32"/>
          <w:szCs w:val="32"/>
        </w:rPr>
      </w:pPr>
    </w:p>
    <w:p>
      <w:pPr>
        <w:bidi w:val="0"/>
        <w:adjustRightInd w:val="0"/>
        <w:snapToGrid w:val="0"/>
        <w:spacing w:line="440" w:lineRule="exact"/>
        <w:ind w:firstLine="616" w:firstLineChars="200"/>
        <w:jc w:val="left"/>
        <w:rPr>
          <w:rFonts w:hint="eastAsia"/>
          <w:lang w:val="en-US" w:eastAsia="zh-CN"/>
        </w:rPr>
        <w:sectPr>
          <w:headerReference r:id="rId3" w:type="default"/>
          <w:footerReference r:id="rId4" w:type="default"/>
          <w:pgSz w:w="11906" w:h="16838"/>
          <w:pgMar w:top="1417" w:right="1701" w:bottom="1417" w:left="1701" w:header="851" w:footer="992" w:gutter="0"/>
          <w:pgBorders>
            <w:top w:val="none" w:sz="0" w:space="0"/>
            <w:left w:val="none" w:sz="0" w:space="0"/>
            <w:bottom w:val="none" w:sz="0" w:space="0"/>
            <w:right w:val="none" w:sz="0" w:space="0"/>
          </w:pgBorders>
          <w:pgNumType w:fmt="numberInDash"/>
          <w:cols w:space="720" w:num="1"/>
          <w:rtlGutter w:val="0"/>
          <w:docGrid w:type="lines" w:linePitch="435" w:charSpace="0"/>
        </w:sectPr>
      </w:pPr>
      <w:r>
        <w:rPr>
          <w:rFonts w:hint="eastAsia" w:ascii="仿宋_GB2312" w:hAnsi="仿宋_GB2312" w:eastAsia="仿宋_GB2312" w:cs="仿宋_GB2312"/>
          <w:b w:val="0"/>
          <w:bCs w:val="0"/>
          <w:color w:val="auto"/>
          <w:spacing w:val="-6"/>
          <w:sz w:val="32"/>
          <w:szCs w:val="32"/>
          <w:lang w:val="en-US" w:eastAsia="zh-CN"/>
        </w:rPr>
        <w:t xml:space="preserve">              </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3</w:t>
      </w:r>
      <w:r>
        <w:rPr>
          <w:rFonts w:hint="eastAsia" w:ascii="仿宋_GB2312" w:hAnsi="仿宋" w:eastAsia="仿宋_GB2312" w:cs="仿宋"/>
          <w:color w:val="auto"/>
          <w:sz w:val="32"/>
          <w:szCs w:val="32"/>
        </w:rPr>
        <w:t>年</w:t>
      </w:r>
      <w:r>
        <w:rPr>
          <w:rFonts w:hint="eastAsia" w:ascii="仿宋_GB2312" w:hAnsi="仿宋" w:cs="仿宋"/>
          <w:color w:val="auto"/>
          <w:sz w:val="32"/>
          <w:szCs w:val="32"/>
          <w:lang w:val="en-US" w:eastAsia="zh-CN"/>
        </w:rPr>
        <w:t>1</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6</w:t>
      </w:r>
      <w:r>
        <w:rPr>
          <w:rFonts w:hint="eastAsia" w:ascii="仿宋_GB2312" w:hAnsi="仿宋" w:eastAsia="仿宋_GB2312" w:cs="仿宋"/>
          <w:color w:val="auto"/>
          <w:sz w:val="32"/>
          <w:szCs w:val="32"/>
        </w:rPr>
        <w:t>日</w:t>
      </w:r>
    </w:p>
    <w:p>
      <w:pPr>
        <w:spacing w:line="600" w:lineRule="exact"/>
        <w:jc w:val="center"/>
        <w:rPr>
          <w:rFonts w:hint="eastAsia" w:ascii="方正小标宋简体" w:hAnsi="方正小标宋简体" w:eastAsia="方正小标宋简体" w:cs="方正小标宋简体"/>
          <w:b w:val="0"/>
          <w:bCs/>
          <w:color w:val="auto"/>
          <w:sz w:val="44"/>
          <w:szCs w:val="44"/>
          <w:lang w:val="en-US" w:eastAsia="zh-CN"/>
        </w:rPr>
      </w:pPr>
      <w:r>
        <w:rPr>
          <w:rFonts w:hint="eastAsia" w:ascii="方正小标宋简体" w:hAnsi="方正小标宋简体" w:eastAsia="方正小标宋简体" w:cs="方正小标宋简体"/>
          <w:b w:val="0"/>
          <w:bCs/>
          <w:color w:val="auto"/>
          <w:sz w:val="44"/>
          <w:szCs w:val="44"/>
        </w:rPr>
        <w:t>湾里</w:t>
      </w:r>
      <w:r>
        <w:rPr>
          <w:rFonts w:hint="eastAsia" w:ascii="方正小标宋简体" w:hAnsi="方正小标宋简体" w:eastAsia="方正小标宋简体" w:cs="方正小标宋简体"/>
          <w:b w:val="0"/>
          <w:bCs/>
          <w:color w:val="auto"/>
          <w:sz w:val="44"/>
          <w:szCs w:val="44"/>
          <w:lang w:val="en-US" w:eastAsia="zh-CN"/>
        </w:rPr>
        <w:t>管理局关于落实江西省退役军人</w:t>
      </w:r>
    </w:p>
    <w:p>
      <w:pPr>
        <w:spacing w:line="600" w:lineRule="exact"/>
        <w:jc w:val="center"/>
        <w:rPr>
          <w:rFonts w:hint="eastAsia" w:ascii="方正小标宋简体" w:hAnsi="方正小标宋简体" w:eastAsia="方正小标宋简体" w:cs="方正小标宋简体"/>
          <w:b w:val="0"/>
          <w:bCs/>
          <w:color w:val="auto"/>
          <w:kern w:val="0"/>
          <w:sz w:val="44"/>
          <w:szCs w:val="44"/>
          <w:lang w:val="en-US" w:eastAsia="zh-CN"/>
        </w:rPr>
      </w:pPr>
      <w:r>
        <w:rPr>
          <w:rFonts w:hint="eastAsia" w:ascii="方正小标宋简体" w:hAnsi="方正小标宋简体" w:eastAsia="方正小标宋简体" w:cs="方正小标宋简体"/>
          <w:b w:val="0"/>
          <w:bCs/>
          <w:color w:val="auto"/>
          <w:sz w:val="44"/>
          <w:szCs w:val="44"/>
          <w:lang w:val="en-US" w:eastAsia="zh-CN"/>
        </w:rPr>
        <w:t>服务专干管理办法的</w:t>
      </w:r>
      <w:r>
        <w:rPr>
          <w:rFonts w:hint="eastAsia" w:ascii="方正小标宋简体" w:hAnsi="方正小标宋简体" w:eastAsia="方正小标宋简体" w:cs="方正小标宋简体"/>
          <w:b w:val="0"/>
          <w:bCs/>
          <w:color w:val="auto"/>
          <w:kern w:val="0"/>
          <w:sz w:val="44"/>
          <w:szCs w:val="44"/>
        </w:rPr>
        <w:t>实施</w:t>
      </w:r>
      <w:r>
        <w:rPr>
          <w:rFonts w:hint="eastAsia" w:ascii="方正小标宋简体" w:hAnsi="方正小标宋简体" w:eastAsia="方正小标宋简体" w:cs="方正小标宋简体"/>
          <w:b w:val="0"/>
          <w:bCs/>
          <w:color w:val="auto"/>
          <w:kern w:val="0"/>
          <w:sz w:val="44"/>
          <w:szCs w:val="44"/>
          <w:lang w:val="en-US" w:eastAsia="zh-CN"/>
        </w:rPr>
        <w:t>细则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eastAsia="仿宋_GB2312"/>
          <w:color w:val="auto"/>
          <w:kern w:val="0"/>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为认真落实江西省退役军人事务厅 中共江西省委组织部 中共江西省委机构编制委员会办公室等5部门联合印发《江西省退役军人服务专干管理办法》（</w:t>
      </w:r>
      <w:r>
        <w:rPr>
          <w:rFonts w:hint="eastAsia" w:ascii="仿宋_GB2312" w:hAnsi="仿宋_GB2312" w:eastAsia="仿宋_GB2312" w:cs="仿宋_GB2312"/>
          <w:color w:val="auto"/>
          <w:kern w:val="0"/>
          <w:sz w:val="32"/>
          <w:szCs w:val="32"/>
        </w:rPr>
        <w:t>赣</w:t>
      </w:r>
      <w:r>
        <w:rPr>
          <w:rFonts w:hint="eastAsia" w:ascii="仿宋_GB2312" w:hAnsi="仿宋_GB2312" w:eastAsia="仿宋_GB2312" w:cs="仿宋_GB2312"/>
          <w:color w:val="auto"/>
          <w:kern w:val="0"/>
          <w:sz w:val="32"/>
          <w:szCs w:val="32"/>
          <w:lang w:val="en-US" w:eastAsia="zh-CN"/>
        </w:rPr>
        <w:t>退役军人发</w:t>
      </w:r>
      <w:r>
        <w:rPr>
          <w:rFonts w:hint="eastAsia" w:ascii="仿宋_GB2312" w:hAnsi="仿宋_GB2312" w:eastAsia="仿宋_GB2312" w:cs="仿宋_GB2312"/>
          <w:color w:val="auto"/>
          <w:kern w:val="0"/>
          <w:sz w:val="32"/>
          <w:szCs w:val="32"/>
        </w:rPr>
        <w:t>〔20</w:t>
      </w:r>
      <w:r>
        <w:rPr>
          <w:rFonts w:hint="eastAsia" w:ascii="仿宋_GB2312" w:hAnsi="仿宋_GB2312" w:eastAsia="仿宋_GB2312" w:cs="仿宋_GB2312"/>
          <w:color w:val="auto"/>
          <w:kern w:val="0"/>
          <w:sz w:val="32"/>
          <w:szCs w:val="32"/>
          <w:lang w:val="en-US" w:eastAsia="zh-CN"/>
        </w:rPr>
        <w:t>22</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25</w:t>
      </w:r>
      <w:r>
        <w:rPr>
          <w:rFonts w:hint="eastAsia" w:ascii="仿宋_GB2312" w:hAnsi="仿宋_GB2312" w:eastAsia="仿宋_GB2312" w:cs="仿宋_GB2312"/>
          <w:color w:val="auto"/>
          <w:kern w:val="0"/>
          <w:sz w:val="32"/>
          <w:szCs w:val="32"/>
        </w:rPr>
        <w:t>号</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文件及局主要领导批示要求，</w:t>
      </w:r>
      <w:r>
        <w:rPr>
          <w:rFonts w:hint="eastAsia" w:ascii="仿宋_GB2312" w:hAnsi="仿宋_GB2312" w:eastAsia="仿宋_GB2312" w:cs="仿宋_GB2312"/>
          <w:color w:val="auto"/>
          <w:kern w:val="0"/>
          <w:sz w:val="32"/>
          <w:szCs w:val="32"/>
        </w:rPr>
        <w:t>结合我</w:t>
      </w:r>
      <w:r>
        <w:rPr>
          <w:rFonts w:hint="eastAsia" w:ascii="仿宋_GB2312" w:hAnsi="仿宋_GB2312" w:eastAsia="仿宋_GB2312" w:cs="仿宋_GB2312"/>
          <w:color w:val="auto"/>
          <w:kern w:val="0"/>
          <w:sz w:val="32"/>
          <w:szCs w:val="32"/>
          <w:lang w:val="en-US" w:eastAsia="zh-CN"/>
        </w:rPr>
        <w:t>局</w:t>
      </w:r>
      <w:r>
        <w:rPr>
          <w:rFonts w:hint="eastAsia" w:ascii="仿宋_GB2312" w:hAnsi="仿宋_GB2312" w:eastAsia="仿宋_GB2312" w:cs="仿宋_GB2312"/>
          <w:color w:val="auto"/>
          <w:kern w:val="0"/>
          <w:sz w:val="32"/>
          <w:szCs w:val="32"/>
        </w:rPr>
        <w:t>实际，制定本实施</w:t>
      </w:r>
      <w:r>
        <w:rPr>
          <w:rFonts w:hint="eastAsia" w:ascii="仿宋_GB2312" w:hAnsi="仿宋_GB2312" w:eastAsia="仿宋_GB2312" w:cs="仿宋_GB2312"/>
          <w:color w:val="auto"/>
          <w:kern w:val="0"/>
          <w:sz w:val="32"/>
          <w:szCs w:val="32"/>
          <w:lang w:val="en-US" w:eastAsia="zh-CN"/>
        </w:rPr>
        <w:t>细则</w:t>
      </w:r>
      <w:r>
        <w:rPr>
          <w:rFonts w:hint="eastAsia" w:ascii="仿宋_GB2312" w:hAnsi="仿宋_GB2312" w:eastAsia="仿宋_GB2312" w:cs="仿宋_GB2312"/>
          <w:color w:val="auto"/>
          <w:kern w:val="0"/>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黑体" w:hAnsi="黑体" w:eastAsia="黑体" w:cs="黑体"/>
          <w:b w:val="0"/>
          <w:bCs w:val="0"/>
          <w:color w:val="auto"/>
          <w:kern w:val="0"/>
          <w:sz w:val="32"/>
          <w:szCs w:val="32"/>
          <w:lang w:val="en-US" w:eastAsia="zh-CN"/>
        </w:rPr>
      </w:pPr>
      <w:r>
        <w:rPr>
          <w:rFonts w:hint="eastAsia" w:ascii="黑体" w:hAnsi="黑体" w:eastAsia="黑体" w:cs="黑体"/>
          <w:b w:val="0"/>
          <w:bCs w:val="0"/>
          <w:color w:val="auto"/>
          <w:kern w:val="0"/>
          <w:sz w:val="32"/>
          <w:szCs w:val="32"/>
          <w:lang w:val="en-US" w:eastAsia="zh-CN"/>
        </w:rPr>
        <w:t>一、指导思想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坚持以习近平新时代中国特色社会主义思想为指导，贯彻落实习近平总书记关于退役军人服务保障体系建设重要批示精神，按照“全覆盖”和“有机构、有编制、有人员、有经费、有保障”要求，优化提升局退役军人服务保障体系，不断增强退役军人和其他优抚对象的获得感、幸福感、荣誉感。</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黑体" w:hAnsi="黑体" w:eastAsia="黑体" w:cs="黑体"/>
          <w:b w:val="0"/>
          <w:bCs w:val="0"/>
          <w:color w:val="auto"/>
          <w:kern w:val="0"/>
          <w:sz w:val="32"/>
          <w:szCs w:val="32"/>
          <w:lang w:val="en-US" w:eastAsia="zh-CN"/>
        </w:rPr>
      </w:pPr>
      <w:r>
        <w:rPr>
          <w:rFonts w:hint="eastAsia" w:ascii="黑体" w:hAnsi="黑体" w:eastAsia="黑体" w:cs="黑体"/>
          <w:b w:val="0"/>
          <w:bCs w:val="0"/>
          <w:color w:val="auto"/>
          <w:kern w:val="0"/>
          <w:sz w:val="32"/>
          <w:szCs w:val="32"/>
          <w:lang w:val="en-US" w:eastAsia="zh-CN"/>
        </w:rPr>
        <w:t>二、选配原则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退役军人服务专干的选配，应当充分考虑退役军人服务保障工作的特点，退役军人、烈属军属、中共党员优先，原则为当地人，也可从镇（街、处）现有编外人员中选配。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1.退役军人服务专干的选配按照以下程序进行：村(社区)党组织会议研究推荐人员名单报镇（街、处）党（工）委，镇（街、处）党（工）委组织考察组考察，并研究确定人员名单，研究确定人员名单于15日内报局退役军人事务办备案，同时由局退役军人事务办报</w:t>
      </w:r>
      <w:r>
        <w:rPr>
          <w:rFonts w:hint="eastAsia" w:ascii="仿宋_GB2312" w:hAnsi="仿宋_GB2312" w:eastAsia="仿宋_GB2312" w:cs="仿宋_GB2312"/>
          <w:color w:val="auto"/>
          <w:spacing w:val="-11"/>
          <w:kern w:val="0"/>
          <w:sz w:val="32"/>
          <w:szCs w:val="32"/>
          <w:lang w:val="en-US" w:eastAsia="zh-CN"/>
        </w:rPr>
        <w:t>局党工委退役军人事务工作领导小组办公室</w:t>
      </w:r>
      <w:r>
        <w:rPr>
          <w:rFonts w:hint="default" w:ascii="仿宋_GB2312" w:hAnsi="仿宋_GB2312" w:eastAsia="仿宋_GB2312" w:cs="仿宋_GB2312"/>
          <w:color w:val="auto"/>
          <w:kern w:val="0"/>
          <w:sz w:val="32"/>
          <w:szCs w:val="32"/>
          <w:lang w:val="en-US" w:eastAsia="zh-CN"/>
        </w:rPr>
        <w:t>备案</w:t>
      </w:r>
      <w:r>
        <w:rPr>
          <w:rFonts w:hint="eastAsia" w:ascii="仿宋_GB2312" w:hAnsi="仿宋_GB2312" w:eastAsia="仿宋_GB2312" w:cs="仿宋_GB2312"/>
          <w:color w:val="auto"/>
          <w:kern w:val="0"/>
          <w:sz w:val="32"/>
          <w:szCs w:val="32"/>
          <w:lang w:val="en-US" w:eastAsia="zh-CN"/>
        </w:rPr>
        <w:t>，村</w:t>
      </w:r>
      <w:r>
        <w:rPr>
          <w:rFonts w:hint="eastAsia" w:ascii="仿宋_GB2312" w:hAnsi="仿宋_GB2312" w:eastAsia="仿宋_GB2312" w:cs="仿宋_GB2312"/>
          <w:color w:val="auto"/>
          <w:spacing w:val="-11"/>
          <w:kern w:val="0"/>
          <w:sz w:val="32"/>
          <w:szCs w:val="32"/>
          <w:lang w:val="en-US" w:eastAsia="zh-CN"/>
        </w:rPr>
        <w:t>(社区)与退役军人服务专干确认工作协助关系，备案实行实名制。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2.</w:t>
      </w:r>
      <w:r>
        <w:rPr>
          <w:rFonts w:hint="eastAsia" w:ascii="仿宋_GB2312" w:hAnsi="仿宋_GB2312" w:eastAsia="仿宋_GB2312" w:cs="仿宋_GB2312"/>
          <w:b w:val="0"/>
          <w:bCs w:val="0"/>
          <w:color w:val="auto"/>
          <w:kern w:val="0"/>
          <w:sz w:val="32"/>
          <w:szCs w:val="32"/>
          <w:lang w:val="en-US" w:eastAsia="zh-CN"/>
        </w:rPr>
        <w:t>政府购买村（社区）退役军人服务数量确定依据</w:t>
      </w:r>
      <w:r>
        <w:rPr>
          <w:rFonts w:hint="eastAsia" w:ascii="仿宋_GB2312" w:hAnsi="仿宋_GB2312" w:eastAsia="仿宋_GB2312" w:cs="仿宋_GB2312"/>
          <w:color w:val="auto"/>
          <w:kern w:val="0"/>
          <w:sz w:val="32"/>
          <w:szCs w:val="32"/>
          <w:lang w:val="en-US" w:eastAsia="zh-CN"/>
        </w:rPr>
        <w:t>：每个村(社区)原则上配备1名退役军人服务专干，退役军人事务办根据服务对象数量确定购买服务数量，并由镇（街、处）统筹分配，实行网格化管理。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3.退役军人服务专干应当具备以下基本条件：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(1)政治立场坚定。自觉学习贯彻习近平新时代中国特色社会主义思想，坚定捍卫“两个确立”，坚决做到“两个维护”，宣传和贯彻落实党和国家关于退役军人工作的路线方针政策，模范遵守宪法和法律法规，确保退役军人服务保障工作沿着正确的政治方向前进。</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(2)服务意识较强。热爱退役军人工作，带着感情、带着责任做工作，主动提供热情、周到的服务。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(3)道德品行端正。具有热爱祖国、敬业好学、诚实守信、</w:t>
      </w:r>
      <w:r>
        <w:rPr>
          <w:rFonts w:hint="eastAsia" w:ascii="仿宋_GB2312" w:hAnsi="仿宋_GB2312" w:eastAsia="仿宋_GB2312" w:cs="仿宋_GB2312"/>
          <w:color w:val="auto"/>
          <w:spacing w:val="-6"/>
          <w:kern w:val="0"/>
          <w:sz w:val="32"/>
          <w:szCs w:val="32"/>
          <w:lang w:val="en-US" w:eastAsia="zh-CN"/>
        </w:rPr>
        <w:t>文明礼貌等品质，弘扬中华传统美德，践行社会主义核心价值观。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(4)文化素质较好。具有高中（中专）以上文化程度，有一定的政策执行、文字表述能力，计算机操作熟练。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(5)纪律作风过硬。坚持原则、公道正派，讲规矩、守纪律，无不良嗜好。</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(6)身体条件良好。符合国家公共场所从业人员体检标准。年龄原则上在20周岁以上，50周岁以下，特别优秀者可适当放宽条件，应更多比例选配年轻同志。</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4.有下列情形之一的不得作为选配人选：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(1)政治上“两面人”，政治觉悟不高、组织观念不强、法治</w:t>
      </w:r>
      <w:bookmarkStart w:id="0" w:name="_GoBack"/>
      <w:bookmarkEnd w:id="0"/>
      <w:r>
        <w:rPr>
          <w:rFonts w:hint="eastAsia" w:ascii="仿宋_GB2312" w:hAnsi="仿宋_GB2312" w:eastAsia="仿宋_GB2312" w:cs="仿宋_GB2312"/>
          <w:color w:val="auto"/>
          <w:kern w:val="0"/>
          <w:sz w:val="32"/>
          <w:szCs w:val="32"/>
          <w:lang w:val="en-US" w:eastAsia="zh-CN"/>
        </w:rPr>
        <w:t>意识淡薄的；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(2)受过刑事处罚、存在“村霸”和涉黑涉恶问题，加入邪教组织、组织或参与非法宗教活动的；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(3)因涉黄、涉赌、涉毒或聚众斗殴、敲诈勒索、非法拘禁等受到行政处罚的；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(4)不担当、不作为，长期不履职，近三年有考核不称职或被评为不合格党员的；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(5)近3年受过撤销党内职务及以上处分、撤职及以上(政务)处分，或涉嫌严重违纪违法正在接受立案审查调查的；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(6)有严重危害集体利益和群众合法权益行为的；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(7)有严重违法用地、严重违章建房、严重损害生态环境、严重失信等行为尚未整改的；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(8)非法组织参与集体上访，影响社会稳定的；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(9)道德品行低劣、群众普遍反映不好的；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(10)其他不予选配的情形。</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黑体" w:hAnsi="黑体" w:eastAsia="黑体" w:cs="黑体"/>
          <w:b w:val="0"/>
          <w:bCs w:val="0"/>
          <w:color w:val="auto"/>
          <w:kern w:val="0"/>
          <w:sz w:val="32"/>
          <w:szCs w:val="32"/>
          <w:lang w:val="en-US" w:eastAsia="zh-CN"/>
        </w:rPr>
      </w:pPr>
      <w:r>
        <w:rPr>
          <w:rFonts w:hint="eastAsia" w:ascii="黑体" w:hAnsi="黑体" w:eastAsia="黑体" w:cs="黑体"/>
          <w:b w:val="0"/>
          <w:bCs w:val="0"/>
          <w:color w:val="auto"/>
          <w:kern w:val="0"/>
          <w:sz w:val="32"/>
          <w:szCs w:val="32"/>
          <w:lang w:val="en-US" w:eastAsia="zh-CN"/>
        </w:rPr>
        <w:t>三、业务培训</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局退役军人事务办依据省、市培训计划和退役军人服务专干培训大纲，年初制定当年的培训计划，所需经费列入年初预算予以保障。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1.局退役军人事务办结合上级要求组织退役军人服务专干开展学习培训，也可委托镇（街、处）党（工）委组织实施。</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2.村(社区)党组织应当支持和协助做好培训工作，督促退役军人服务专干完成培训任务。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3.退役军人服务专干应当定期集中参加业务培训，每年不少于2次。培训大纲内容包括政治理论、退役军人事务领域政策文件、法律法规、业务知识、工作程序、应急管理、心理健康咨询等，具体由局退役军人事务办制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黑体" w:hAnsi="黑体" w:eastAsia="黑体" w:cs="黑体"/>
          <w:b w:val="0"/>
          <w:bCs w:val="0"/>
          <w:color w:val="auto"/>
          <w:kern w:val="0"/>
          <w:sz w:val="32"/>
          <w:szCs w:val="32"/>
          <w:lang w:val="en-US" w:eastAsia="zh-CN"/>
        </w:rPr>
      </w:pPr>
      <w:r>
        <w:rPr>
          <w:rFonts w:hint="eastAsia" w:ascii="黑体" w:hAnsi="黑体" w:eastAsia="黑体" w:cs="黑体"/>
          <w:b w:val="0"/>
          <w:bCs w:val="0"/>
          <w:color w:val="auto"/>
          <w:kern w:val="0"/>
          <w:sz w:val="32"/>
          <w:szCs w:val="32"/>
          <w:lang w:val="en-US" w:eastAsia="zh-CN"/>
        </w:rPr>
        <w:t>四、管理考核</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1.村</w:t>
      </w:r>
      <w:r>
        <w:rPr>
          <w:rFonts w:hint="default" w:ascii="仿宋_GB2312" w:hAnsi="仿宋_GB2312" w:eastAsia="仿宋_GB2312" w:cs="仿宋_GB2312"/>
          <w:color w:val="auto"/>
          <w:kern w:val="0"/>
          <w:sz w:val="32"/>
          <w:szCs w:val="32"/>
          <w:lang w:val="en-US" w:eastAsia="zh-CN"/>
        </w:rPr>
        <w:t>(社区)党组织负责辖区内退役军人服务站及退役军人服务专干的日常管理。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2.局退役军人事务办牵头各</w:t>
      </w:r>
      <w:r>
        <w:rPr>
          <w:rFonts w:hint="default" w:ascii="仿宋_GB2312" w:hAnsi="仿宋_GB2312" w:eastAsia="仿宋_GB2312" w:cs="仿宋_GB2312"/>
          <w:color w:val="auto"/>
          <w:kern w:val="0"/>
          <w:sz w:val="32"/>
          <w:szCs w:val="32"/>
          <w:lang w:val="en-US" w:eastAsia="zh-CN"/>
        </w:rPr>
        <w:t>镇</w:t>
      </w:r>
      <w:r>
        <w:rPr>
          <w:rFonts w:hint="eastAsia" w:ascii="仿宋_GB2312" w:hAnsi="仿宋_GB2312" w:eastAsia="仿宋_GB2312" w:cs="仿宋_GB2312"/>
          <w:color w:val="auto"/>
          <w:kern w:val="0"/>
          <w:sz w:val="32"/>
          <w:szCs w:val="32"/>
          <w:lang w:val="en-US" w:eastAsia="zh-CN"/>
        </w:rPr>
        <w:t>（街、处）</w:t>
      </w:r>
      <w:r>
        <w:rPr>
          <w:rFonts w:hint="default" w:ascii="仿宋_GB2312" w:hAnsi="仿宋_GB2312" w:eastAsia="仿宋_GB2312" w:cs="仿宋_GB2312"/>
          <w:color w:val="auto"/>
          <w:kern w:val="0"/>
          <w:sz w:val="32"/>
          <w:szCs w:val="32"/>
          <w:lang w:val="en-US" w:eastAsia="zh-CN"/>
        </w:rPr>
        <w:t>党</w:t>
      </w:r>
      <w:r>
        <w:rPr>
          <w:rFonts w:hint="eastAsia" w:ascii="仿宋_GB2312" w:hAnsi="仿宋_GB2312" w:eastAsia="仿宋_GB2312" w:cs="仿宋_GB2312"/>
          <w:color w:val="auto"/>
          <w:kern w:val="0"/>
          <w:sz w:val="32"/>
          <w:szCs w:val="32"/>
          <w:lang w:val="en-US" w:eastAsia="zh-CN"/>
        </w:rPr>
        <w:t>（工）</w:t>
      </w:r>
      <w:r>
        <w:rPr>
          <w:rFonts w:hint="default" w:ascii="仿宋_GB2312" w:hAnsi="仿宋_GB2312" w:eastAsia="仿宋_GB2312" w:cs="仿宋_GB2312"/>
          <w:color w:val="auto"/>
          <w:kern w:val="0"/>
          <w:sz w:val="32"/>
          <w:szCs w:val="32"/>
          <w:lang w:val="en-US" w:eastAsia="zh-CN"/>
        </w:rPr>
        <w:t>委负责退役军人服务专干的考核工作</w:t>
      </w:r>
      <w:r>
        <w:rPr>
          <w:rFonts w:hint="eastAsia" w:ascii="仿宋_GB2312" w:hAnsi="仿宋_GB2312" w:eastAsia="仿宋_GB2312" w:cs="仿宋_GB2312"/>
          <w:color w:val="auto"/>
          <w:kern w:val="0"/>
          <w:sz w:val="32"/>
          <w:szCs w:val="32"/>
          <w:lang w:val="en-US" w:eastAsia="zh-CN"/>
        </w:rPr>
        <w:t>，</w:t>
      </w:r>
      <w:r>
        <w:rPr>
          <w:rFonts w:hint="default" w:ascii="仿宋_GB2312" w:hAnsi="仿宋_GB2312" w:eastAsia="仿宋_GB2312" w:cs="仿宋_GB2312"/>
          <w:color w:val="auto"/>
          <w:kern w:val="0"/>
          <w:sz w:val="32"/>
          <w:szCs w:val="32"/>
          <w:lang w:val="en-US" w:eastAsia="zh-CN"/>
        </w:rPr>
        <w:t>建立退役军人服务专干年度考核和日常考核机制。从政治思想、工作作风、工作能力、工作任务量大小以及完成任务情况等方面进行考核</w:t>
      </w:r>
      <w:r>
        <w:rPr>
          <w:rFonts w:hint="eastAsia" w:ascii="仿宋_GB2312" w:hAnsi="仿宋_GB2312" w:eastAsia="仿宋_GB2312" w:cs="仿宋_GB2312"/>
          <w:color w:val="auto"/>
          <w:kern w:val="0"/>
          <w:sz w:val="32"/>
          <w:szCs w:val="32"/>
          <w:lang w:val="en-US" w:eastAsia="zh-CN"/>
        </w:rPr>
        <w:t>，</w:t>
      </w:r>
      <w:r>
        <w:rPr>
          <w:rFonts w:hint="default" w:ascii="仿宋_GB2312" w:hAnsi="仿宋_GB2312" w:eastAsia="仿宋_GB2312" w:cs="仿宋_GB2312"/>
          <w:color w:val="auto"/>
          <w:kern w:val="0"/>
          <w:sz w:val="32"/>
          <w:szCs w:val="32"/>
          <w:lang w:val="en-US" w:eastAsia="zh-CN"/>
        </w:rPr>
        <w:t>并将考评结果报</w:t>
      </w:r>
      <w:r>
        <w:rPr>
          <w:rFonts w:hint="eastAsia" w:ascii="仿宋_GB2312" w:hAnsi="仿宋_GB2312" w:eastAsia="仿宋_GB2312" w:cs="仿宋_GB2312"/>
          <w:color w:val="auto"/>
          <w:spacing w:val="-11"/>
          <w:kern w:val="0"/>
          <w:sz w:val="32"/>
          <w:szCs w:val="32"/>
          <w:lang w:val="en-US" w:eastAsia="zh-CN"/>
        </w:rPr>
        <w:t>局党工委退役军人事务工作领导小组办公室</w:t>
      </w:r>
      <w:r>
        <w:rPr>
          <w:rFonts w:hint="default" w:ascii="仿宋_GB2312" w:hAnsi="仿宋_GB2312" w:eastAsia="仿宋_GB2312" w:cs="仿宋_GB2312"/>
          <w:color w:val="auto"/>
          <w:kern w:val="0"/>
          <w:sz w:val="32"/>
          <w:szCs w:val="32"/>
          <w:lang w:val="en-US" w:eastAsia="zh-CN"/>
        </w:rPr>
        <w:t>备案。考核等次分为优秀、合格、基本合格、不合格。优秀等</w:t>
      </w:r>
      <w:r>
        <w:rPr>
          <w:rFonts w:hint="eastAsia" w:ascii="仿宋_GB2312" w:hAnsi="仿宋_GB2312" w:eastAsia="仿宋_GB2312" w:cs="仿宋_GB2312"/>
          <w:color w:val="auto"/>
          <w:kern w:val="0"/>
          <w:sz w:val="32"/>
          <w:szCs w:val="32"/>
          <w:lang w:val="en-US" w:eastAsia="zh-CN"/>
        </w:rPr>
        <w:t>次</w:t>
      </w:r>
      <w:r>
        <w:rPr>
          <w:rFonts w:hint="default" w:ascii="仿宋_GB2312" w:hAnsi="仿宋_GB2312" w:eastAsia="仿宋_GB2312" w:cs="仿宋_GB2312"/>
          <w:color w:val="auto"/>
          <w:kern w:val="0"/>
          <w:sz w:val="32"/>
          <w:szCs w:val="32"/>
          <w:lang w:val="en-US" w:eastAsia="zh-CN"/>
        </w:rPr>
        <w:t>不超过镇</w:t>
      </w:r>
      <w:r>
        <w:rPr>
          <w:rFonts w:hint="eastAsia" w:ascii="仿宋_GB2312" w:hAnsi="仿宋_GB2312" w:eastAsia="仿宋_GB2312" w:cs="仿宋_GB2312"/>
          <w:color w:val="auto"/>
          <w:kern w:val="0"/>
          <w:sz w:val="32"/>
          <w:szCs w:val="32"/>
          <w:lang w:val="en-US" w:eastAsia="zh-CN"/>
        </w:rPr>
        <w:t>（街、处）</w:t>
      </w:r>
      <w:r>
        <w:rPr>
          <w:rFonts w:hint="default" w:ascii="仿宋_GB2312" w:hAnsi="仿宋_GB2312" w:eastAsia="仿宋_GB2312" w:cs="仿宋_GB2312"/>
          <w:color w:val="auto"/>
          <w:kern w:val="0"/>
          <w:sz w:val="32"/>
          <w:szCs w:val="32"/>
          <w:lang w:val="en-US" w:eastAsia="zh-CN"/>
        </w:rPr>
        <w:t>退役军人服务专干总人数的20%</w:t>
      </w:r>
      <w:r>
        <w:rPr>
          <w:rFonts w:hint="eastAsia" w:ascii="仿宋_GB2312" w:hAnsi="仿宋_GB2312" w:eastAsia="仿宋_GB2312" w:cs="仿宋_GB2312"/>
          <w:color w:val="auto"/>
          <w:kern w:val="0"/>
          <w:sz w:val="32"/>
          <w:szCs w:val="32"/>
          <w:lang w:val="en-US" w:eastAsia="zh-CN"/>
        </w:rPr>
        <w:t>（四舍五入），基本合格等次不低于镇（街、处）退役军人服务专干总人数的20%（四舍五入）。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3.局</w:t>
      </w:r>
      <w:r>
        <w:rPr>
          <w:rFonts w:hint="default" w:ascii="仿宋_GB2312" w:hAnsi="仿宋_GB2312" w:eastAsia="仿宋_GB2312" w:cs="仿宋_GB2312"/>
          <w:color w:val="auto"/>
          <w:kern w:val="0"/>
          <w:sz w:val="32"/>
          <w:szCs w:val="32"/>
          <w:lang w:val="en-US" w:eastAsia="zh-CN"/>
        </w:rPr>
        <w:t>退役军人事务</w:t>
      </w:r>
      <w:r>
        <w:rPr>
          <w:rFonts w:hint="eastAsia" w:ascii="仿宋_GB2312" w:hAnsi="仿宋_GB2312" w:eastAsia="仿宋_GB2312" w:cs="仿宋_GB2312"/>
          <w:color w:val="auto"/>
          <w:kern w:val="0"/>
          <w:sz w:val="32"/>
          <w:szCs w:val="32"/>
          <w:lang w:val="en-US" w:eastAsia="zh-CN"/>
        </w:rPr>
        <w:t>办</w:t>
      </w:r>
      <w:r>
        <w:rPr>
          <w:rFonts w:hint="default" w:ascii="仿宋_GB2312" w:hAnsi="仿宋_GB2312" w:eastAsia="仿宋_GB2312" w:cs="仿宋_GB2312"/>
          <w:color w:val="auto"/>
          <w:kern w:val="0"/>
          <w:sz w:val="32"/>
          <w:szCs w:val="32"/>
          <w:lang w:val="en-US" w:eastAsia="zh-CN"/>
        </w:rPr>
        <w:t>负责退役军人服务专干的业务指导、督促检查。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4.</w:t>
      </w:r>
      <w:r>
        <w:rPr>
          <w:rFonts w:hint="default" w:ascii="仿宋_GB2312" w:hAnsi="仿宋_GB2312" w:eastAsia="仿宋_GB2312" w:cs="仿宋_GB2312"/>
          <w:color w:val="auto"/>
          <w:kern w:val="0"/>
          <w:sz w:val="32"/>
          <w:szCs w:val="32"/>
          <w:lang w:val="en-US" w:eastAsia="zh-CN"/>
        </w:rPr>
        <w:t>退役军人服务专干考核结果</w:t>
      </w:r>
      <w:r>
        <w:rPr>
          <w:rFonts w:hint="eastAsia" w:ascii="仿宋_GB2312" w:hAnsi="仿宋_GB2312" w:eastAsia="仿宋_GB2312" w:cs="仿宋_GB2312"/>
          <w:color w:val="auto"/>
          <w:kern w:val="0"/>
          <w:sz w:val="32"/>
          <w:szCs w:val="32"/>
          <w:lang w:val="en-US" w:eastAsia="zh-CN"/>
        </w:rPr>
        <w:t>，</w:t>
      </w:r>
      <w:r>
        <w:rPr>
          <w:rFonts w:hint="default" w:ascii="仿宋_GB2312" w:hAnsi="仿宋_GB2312" w:eastAsia="仿宋_GB2312" w:cs="仿宋_GB2312"/>
          <w:color w:val="auto"/>
          <w:kern w:val="0"/>
          <w:sz w:val="32"/>
          <w:szCs w:val="32"/>
          <w:lang w:val="en-US" w:eastAsia="zh-CN"/>
        </w:rPr>
        <w:t>应作为其评先评优的重要依据。对工作表现突出、连续3年考核成绩优秀、服务对象评价好且符合相关条件的退役军人服务专干</w:t>
      </w:r>
      <w:r>
        <w:rPr>
          <w:rFonts w:hint="eastAsia" w:ascii="仿宋_GB2312" w:hAnsi="仿宋_GB2312" w:eastAsia="仿宋_GB2312" w:cs="仿宋_GB2312"/>
          <w:color w:val="auto"/>
          <w:kern w:val="0"/>
          <w:sz w:val="32"/>
          <w:szCs w:val="32"/>
          <w:lang w:val="en-US" w:eastAsia="zh-CN"/>
        </w:rPr>
        <w:t>，</w:t>
      </w:r>
      <w:r>
        <w:rPr>
          <w:rFonts w:hint="default" w:ascii="仿宋_GB2312" w:hAnsi="仿宋_GB2312" w:eastAsia="仿宋_GB2312" w:cs="仿宋_GB2312"/>
          <w:color w:val="auto"/>
          <w:kern w:val="0"/>
          <w:sz w:val="32"/>
          <w:szCs w:val="32"/>
          <w:lang w:val="en-US" w:eastAsia="zh-CN"/>
        </w:rPr>
        <w:t>镇</w:t>
      </w:r>
      <w:r>
        <w:rPr>
          <w:rFonts w:hint="eastAsia" w:ascii="仿宋_GB2312" w:hAnsi="仿宋_GB2312" w:eastAsia="仿宋_GB2312" w:cs="仿宋_GB2312"/>
          <w:color w:val="auto"/>
          <w:kern w:val="0"/>
          <w:sz w:val="32"/>
          <w:szCs w:val="32"/>
          <w:lang w:val="en-US" w:eastAsia="zh-CN"/>
        </w:rPr>
        <w:t>（街、处）</w:t>
      </w:r>
      <w:r>
        <w:rPr>
          <w:rFonts w:hint="default" w:ascii="仿宋_GB2312" w:hAnsi="仿宋_GB2312" w:eastAsia="仿宋_GB2312" w:cs="仿宋_GB2312"/>
          <w:color w:val="auto"/>
          <w:kern w:val="0"/>
          <w:sz w:val="32"/>
          <w:szCs w:val="32"/>
          <w:lang w:val="en-US" w:eastAsia="zh-CN"/>
        </w:rPr>
        <w:t>党</w:t>
      </w:r>
      <w:r>
        <w:rPr>
          <w:rFonts w:hint="eastAsia" w:ascii="仿宋_GB2312" w:hAnsi="仿宋_GB2312" w:eastAsia="仿宋_GB2312" w:cs="仿宋_GB2312"/>
          <w:color w:val="auto"/>
          <w:kern w:val="0"/>
          <w:sz w:val="32"/>
          <w:szCs w:val="32"/>
          <w:lang w:val="en-US" w:eastAsia="zh-CN"/>
        </w:rPr>
        <w:t>（工）</w:t>
      </w:r>
      <w:r>
        <w:rPr>
          <w:rFonts w:hint="default" w:ascii="仿宋_GB2312" w:hAnsi="仿宋_GB2312" w:eastAsia="仿宋_GB2312" w:cs="仿宋_GB2312"/>
          <w:color w:val="auto"/>
          <w:kern w:val="0"/>
          <w:sz w:val="32"/>
          <w:szCs w:val="32"/>
          <w:lang w:val="en-US" w:eastAsia="zh-CN"/>
        </w:rPr>
        <w:t>委应将其推荐为村(社区)“两委”人选。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仿宋_GB2312" w:hAnsi="仿宋_GB2312" w:eastAsia="仿宋_GB2312" w:cs="仿宋_GB2312"/>
          <w:color w:val="auto"/>
          <w:kern w:val="0"/>
          <w:sz w:val="32"/>
          <w:szCs w:val="32"/>
          <w:lang w:val="en-US" w:eastAsia="zh-CN"/>
        </w:rPr>
      </w:pPr>
      <w:r>
        <w:rPr>
          <w:rFonts w:hint="default" w:ascii="仿宋_GB2312" w:hAnsi="仿宋_GB2312" w:eastAsia="仿宋_GB2312" w:cs="仿宋_GB2312"/>
          <w:color w:val="auto"/>
          <w:kern w:val="0"/>
          <w:sz w:val="32"/>
          <w:szCs w:val="32"/>
          <w:lang w:val="en-US" w:eastAsia="zh-CN"/>
        </w:rPr>
        <w:t>对考核结果不合格、不能胜任退役军人服务专干工作的</w:t>
      </w:r>
      <w:r>
        <w:rPr>
          <w:rFonts w:hint="eastAsia" w:ascii="仿宋_GB2312" w:hAnsi="仿宋_GB2312" w:eastAsia="仿宋_GB2312" w:cs="仿宋_GB2312"/>
          <w:color w:val="auto"/>
          <w:kern w:val="0"/>
          <w:sz w:val="32"/>
          <w:szCs w:val="32"/>
          <w:lang w:val="en-US" w:eastAsia="zh-CN"/>
        </w:rPr>
        <w:t>，</w:t>
      </w:r>
      <w:r>
        <w:rPr>
          <w:rFonts w:hint="default" w:ascii="仿宋_GB2312" w:hAnsi="仿宋_GB2312" w:eastAsia="仿宋_GB2312" w:cs="仿宋_GB2312"/>
          <w:color w:val="auto"/>
          <w:kern w:val="0"/>
          <w:sz w:val="32"/>
          <w:szCs w:val="32"/>
          <w:lang w:val="en-US" w:eastAsia="zh-CN"/>
        </w:rPr>
        <w:t>村(社区)与退役军人服务专干解除协助工作关系。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黑体" w:hAnsi="黑体" w:eastAsia="黑体" w:cs="黑体"/>
          <w:b w:val="0"/>
          <w:bCs w:val="0"/>
          <w:color w:val="auto"/>
          <w:kern w:val="0"/>
          <w:sz w:val="32"/>
          <w:szCs w:val="32"/>
          <w:lang w:val="en-US" w:eastAsia="zh-CN"/>
        </w:rPr>
      </w:pPr>
      <w:r>
        <w:rPr>
          <w:rFonts w:hint="eastAsia" w:ascii="黑体" w:hAnsi="黑体" w:eastAsia="黑体" w:cs="黑体"/>
          <w:b w:val="0"/>
          <w:bCs w:val="0"/>
          <w:color w:val="auto"/>
          <w:kern w:val="0"/>
          <w:sz w:val="32"/>
          <w:szCs w:val="32"/>
          <w:lang w:val="en-US" w:eastAsia="zh-CN"/>
        </w:rPr>
        <w:t>五、购买服务的内容及期限</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1.服务内容：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（1）组织退役军人参与线下、线上学习培训，开展“一月一堂课”，加强退役军人思想政治引领。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（2）协助做好退役军人党员教育管理工作。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3）整合各方力量，打造“一域一队伍”，通过“‘新长征’退役军人志愿服务队”、“党员八一服务站”等多种形式，激发退役军人在疫情防控、应急救援、社会治理、脱贫攻坚、环境保护、国防教育等方面发挥示范带动作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（4）积极鼓励退役军人争当种粮大户、养殖大户、就业创业能手等带头人，激励退役军人争当“领头羊”。</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（5）协助做好建档立卡、数据统计，走访慰问、褒扬纪念工作。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（6）“尊崇工作法”工作的落实。</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（7）协助落实享受优待抚恤政策，协助困难退役军人申请关爱基金和其他帮扶资金。</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（8）开展普法宣传活动，引导广大退役军人尊法、学法、守法、用法。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（9）协助维护退役军人合法权益，常态化排查矛盾隐患，做好矛盾纠纷调解工作。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（10）来访接待做到“六个一”：一张笑脸、一声问候、一杯热水、一把椅子、一站服务、一办到底，登记办理流程记录齐全、手续完备，无服务对象投诉。</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（11）就业创业帮扶工作，动员退役军人参加适应性培训，职业技能培训和学历教育。</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（12）引导退役军人在基层组织建设、乡村振兴、精神文明建设、应急救援、社会治理、环境保护、国防教育等方面发挥作用，协助做好“新长征”退役军人志愿者服务队相关事务。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（13）完成上级交办的其它任务。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2.服务期限：自签订政府购买合同之日起，一年为一个服务周期。</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黑体" w:hAnsi="黑体" w:eastAsia="黑体" w:cs="黑体"/>
          <w:b w:val="0"/>
          <w:bCs w:val="0"/>
          <w:color w:val="auto"/>
          <w:kern w:val="0"/>
          <w:sz w:val="32"/>
          <w:szCs w:val="32"/>
          <w:lang w:val="en-US" w:eastAsia="zh-CN"/>
        </w:rPr>
      </w:pPr>
      <w:r>
        <w:rPr>
          <w:rFonts w:hint="eastAsia" w:ascii="黑体" w:hAnsi="黑体" w:eastAsia="黑体" w:cs="黑体"/>
          <w:b w:val="0"/>
          <w:bCs w:val="0"/>
          <w:color w:val="auto"/>
          <w:kern w:val="0"/>
          <w:sz w:val="32"/>
          <w:szCs w:val="32"/>
          <w:lang w:val="en-US" w:eastAsia="zh-CN"/>
        </w:rPr>
        <w:t>六、经费保障</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楷体_GB2312" w:hAnsi="楷体_GB2312" w:eastAsia="楷体_GB2312" w:cs="楷体_GB2312"/>
          <w:b/>
          <w:bCs/>
          <w:color w:val="auto"/>
          <w:kern w:val="0"/>
          <w:sz w:val="32"/>
          <w:szCs w:val="32"/>
          <w:lang w:val="en-US" w:eastAsia="zh-CN"/>
        </w:rPr>
        <w:t>1.镇村两级退役军人服务站工作经费：</w:t>
      </w:r>
      <w:r>
        <w:rPr>
          <w:rFonts w:hint="eastAsia" w:ascii="仿宋_GB2312" w:hAnsi="仿宋_GB2312" w:eastAsia="仿宋_GB2312" w:cs="仿宋_GB2312"/>
          <w:color w:val="auto"/>
          <w:kern w:val="0"/>
          <w:sz w:val="32"/>
          <w:szCs w:val="32"/>
          <w:lang w:val="en-US" w:eastAsia="zh-CN"/>
        </w:rPr>
        <w:t>根据原湾里区人民政府办公室《关于抓紧落实区退役军人服务保障体系建设工作的通知》(湾府办字〔2019〕37号)和（湾府办抄字〔2019〕149号）精神，镇（街、处）退役军人服务站工作经费每年不低于5万元、村（社区）退役军人服务站每年工作经费不低于2万元。局财政自2020年起已经安排镇村两级退役军人服务站工作经费共计38万元，其中招贤镇8万元，梅岭镇、罗亭镇、太平镇、站前街办、幸福街办、洗药湖管理处各5万元，不足部分由各镇（街、处）各自承担。现因工作需要，按照每个镇（街、处）不低于5万元，村（社区）根据服务对象数量，按照每人不低于360元标准配备工作经费，局财政安排镇村两级退役军人服务站工作经费共计34.5万元，不足部分由各镇（街、处）各自承担，工作经费支出据实拨付，具体测算见附件1。</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楷体_GB2312" w:hAnsi="楷体_GB2312" w:eastAsia="楷体_GB2312" w:cs="楷体_GB2312"/>
          <w:b/>
          <w:bCs/>
          <w:color w:val="auto"/>
          <w:kern w:val="0"/>
          <w:sz w:val="32"/>
          <w:szCs w:val="32"/>
          <w:lang w:val="en-US" w:eastAsia="zh-CN"/>
        </w:rPr>
        <w:t>2.政府购买村（社区）退役军人服务经费：</w:t>
      </w:r>
      <w:r>
        <w:rPr>
          <w:rFonts w:hint="eastAsia" w:ascii="仿宋_GB2312" w:hAnsi="仿宋_GB2312" w:eastAsia="仿宋_GB2312" w:cs="仿宋_GB2312"/>
          <w:color w:val="auto"/>
          <w:kern w:val="0"/>
          <w:sz w:val="32"/>
          <w:szCs w:val="32"/>
          <w:lang w:val="en-US" w:eastAsia="zh-CN"/>
        </w:rPr>
        <w:t>根据《江西省退役军人服务专干管理办法》(赣退役军人发〔2022〕25号)文件精神，“政府购买退役军人服务资金，按人均不低于当地上年度农村(城镇)居民人均可支配收入的1.2倍标准测算，由县级财政统筹安排”，2023年</w:t>
      </w:r>
      <w:r>
        <w:rPr>
          <w:rFonts w:hint="eastAsia" w:ascii="仿宋_GB2312" w:hAnsi="仿宋_GB2312" w:eastAsia="仿宋_GB2312" w:cs="仿宋_GB2312"/>
          <w:b w:val="0"/>
          <w:bCs w:val="0"/>
          <w:color w:val="auto"/>
          <w:kern w:val="0"/>
          <w:sz w:val="32"/>
          <w:szCs w:val="32"/>
          <w:lang w:val="en-US" w:eastAsia="zh-CN"/>
        </w:rPr>
        <w:t>政府购买村（社区）退役军人服务经费依据</w:t>
      </w:r>
      <w:r>
        <w:rPr>
          <w:rFonts w:hint="eastAsia" w:ascii="仿宋_GB2312" w:hAnsi="仿宋_GB2312" w:eastAsia="仿宋_GB2312" w:cs="仿宋_GB2312"/>
          <w:color w:val="auto"/>
          <w:kern w:val="0"/>
          <w:sz w:val="32"/>
          <w:szCs w:val="32"/>
          <w:lang w:val="en-US" w:eastAsia="zh-CN"/>
        </w:rPr>
        <w:t>2021年局城镇居民人均可支配收入的1.2倍标准测算每人5.4万元/年（城镇：45086元/年*1.2=54103.2元/年），往后每年均按上年度城镇居民人均可支配收入的1.2倍的标准测算当年政府</w:t>
      </w:r>
      <w:r>
        <w:rPr>
          <w:rFonts w:hint="eastAsia" w:ascii="仿宋_GB2312" w:hAnsi="仿宋_GB2312" w:eastAsia="仿宋_GB2312" w:cs="仿宋_GB2312"/>
          <w:b w:val="0"/>
          <w:bCs w:val="0"/>
          <w:color w:val="auto"/>
          <w:kern w:val="0"/>
          <w:sz w:val="32"/>
          <w:szCs w:val="32"/>
          <w:lang w:val="en-US" w:eastAsia="zh-CN"/>
        </w:rPr>
        <w:t>购买村（社区）退役军人服务经费</w:t>
      </w:r>
      <w:r>
        <w:rPr>
          <w:rFonts w:hint="eastAsia" w:ascii="仿宋_GB2312" w:hAnsi="仿宋_GB2312" w:eastAsia="仿宋_GB2312" w:cs="仿宋_GB2312"/>
          <w:color w:val="auto"/>
          <w:kern w:val="0"/>
          <w:sz w:val="32"/>
          <w:szCs w:val="32"/>
          <w:lang w:val="en-US" w:eastAsia="zh-CN"/>
        </w:rPr>
        <w:t>。资金来源根据原湾府办抄字〔2019〕149号抄告单精神，政府购买村（社区）购买服务经费由局、镇（街、处）两级财政按照5：5的比例承担，具体配备情况见附件2。</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3.各镇（街、处）、村(社区)为承接服务主体，村（社区）根据购买服务事项与退役军人服务专干签订选配合同。</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4.为激励先进，提升服务质量。服务专干的工作报酬分为基本工资和绩效工资，基本工资占总工资的80%，由镇（街、处）财政按月发放，绩效工资占总工资的20%，绩效工资由局财政拨付到局退役军人事务办，局退役军人事务办根据全年工作考核结果明确具体金额，考核优秀绩效工资上浮10%，</w:t>
      </w:r>
      <w:r>
        <w:rPr>
          <w:rFonts w:hint="default" w:ascii="仿宋_GB2312" w:hAnsi="仿宋_GB2312" w:eastAsia="仿宋_GB2312" w:cs="仿宋_GB2312"/>
          <w:color w:val="auto"/>
          <w:kern w:val="0"/>
          <w:sz w:val="32"/>
          <w:szCs w:val="32"/>
          <w:lang w:val="en-US" w:eastAsia="zh-CN"/>
        </w:rPr>
        <w:t>基本合格</w:t>
      </w:r>
      <w:r>
        <w:rPr>
          <w:rFonts w:hint="eastAsia" w:ascii="仿宋_GB2312" w:hAnsi="仿宋_GB2312" w:eastAsia="仿宋_GB2312" w:cs="仿宋_GB2312"/>
          <w:color w:val="auto"/>
          <w:kern w:val="0"/>
          <w:sz w:val="32"/>
          <w:szCs w:val="32"/>
          <w:lang w:val="en-US" w:eastAsia="zh-CN"/>
        </w:rPr>
        <w:t>绩效工资下浮10%</w:t>
      </w:r>
      <w:r>
        <w:rPr>
          <w:rFonts w:hint="default" w:ascii="仿宋_GB2312" w:hAnsi="仿宋_GB2312" w:eastAsia="仿宋_GB2312" w:cs="仿宋_GB2312"/>
          <w:color w:val="auto"/>
          <w:kern w:val="0"/>
          <w:sz w:val="32"/>
          <w:szCs w:val="32"/>
          <w:lang w:val="en-US" w:eastAsia="zh-CN"/>
        </w:rPr>
        <w:t>、不合格</w:t>
      </w:r>
      <w:r>
        <w:rPr>
          <w:rFonts w:hint="eastAsia" w:ascii="仿宋_GB2312" w:hAnsi="仿宋_GB2312" w:eastAsia="仿宋_GB2312" w:cs="仿宋_GB2312"/>
          <w:color w:val="auto"/>
          <w:kern w:val="0"/>
          <w:sz w:val="32"/>
          <w:szCs w:val="32"/>
          <w:lang w:val="en-US" w:eastAsia="zh-CN"/>
        </w:rPr>
        <w:t>的不发放绩效工资，绩效工资由局退役军人事务办年终一次性发放。</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5.对不按照规定落实退役军人服务专干有关待遇，以及不支持甚至阻扰退役军人服务专干履行职责的单位和个人，根据情节轻重，依照有关规定予以追责问责。</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黑体" w:hAnsi="黑体" w:eastAsia="黑体" w:cs="黑体"/>
          <w:b w:val="0"/>
          <w:bCs w:val="0"/>
          <w:color w:val="auto"/>
          <w:kern w:val="0"/>
          <w:sz w:val="32"/>
          <w:szCs w:val="32"/>
          <w:lang w:val="en-US" w:eastAsia="zh-CN"/>
        </w:rPr>
      </w:pPr>
      <w:r>
        <w:rPr>
          <w:rFonts w:hint="eastAsia" w:ascii="黑体" w:hAnsi="黑体" w:eastAsia="黑体" w:cs="黑体"/>
          <w:b w:val="0"/>
          <w:bCs w:val="0"/>
          <w:color w:val="auto"/>
          <w:kern w:val="0"/>
          <w:sz w:val="32"/>
          <w:szCs w:val="32"/>
          <w:lang w:val="en-US" w:eastAsia="zh-CN"/>
        </w:rPr>
        <w:t>七、附则</w:t>
      </w:r>
    </w:p>
    <w:p>
      <w:pPr>
        <w:keepNext w:val="0"/>
        <w:keepLines w:val="0"/>
        <w:pageBreakBefore w:val="0"/>
        <w:widowControl w:val="0"/>
        <w:kinsoku/>
        <w:wordWrap/>
        <w:overflowPunct/>
        <w:topLinePunct w:val="0"/>
        <w:autoSpaceDE/>
        <w:autoSpaceDN/>
        <w:bidi w:val="0"/>
        <w:adjustRightInd/>
        <w:snapToGrid/>
        <w:spacing w:line="600" w:lineRule="exact"/>
        <w:ind w:left="1600" w:leftChars="200" w:hanging="960" w:hangingChars="300"/>
        <w:textAlignment w:val="auto"/>
        <w:outlineLvl w:val="9"/>
        <w:rPr>
          <w:rFonts w:hint="default"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本实施细则自印发之日起施行。</w:t>
      </w:r>
    </w:p>
    <w:p>
      <w:pPr>
        <w:adjustRightInd w:val="0"/>
        <w:snapToGrid w:val="0"/>
        <w:spacing w:line="520" w:lineRule="exact"/>
        <w:ind w:firstLine="320"/>
        <w:rPr>
          <w:rFonts w:hint="default"/>
          <w:lang w:val="en-US" w:eastAsia="zh-CN"/>
        </w:rPr>
      </w:pPr>
    </w:p>
    <w:sectPr>
      <w:pgSz w:w="11906" w:h="16838"/>
      <w:pgMar w:top="1417" w:right="1701" w:bottom="1417" w:left="1701" w:header="851" w:footer="992" w:gutter="0"/>
      <w:pgBorders>
        <w:top w:val="none" w:sz="0" w:space="0"/>
        <w:left w:val="none" w:sz="0" w:space="0"/>
        <w:bottom w:val="none" w:sz="0" w:space="0"/>
        <w:right w:val="none" w:sz="0" w:space="0"/>
      </w:pgBorders>
      <w:pgNumType w:fmt="numberInDash"/>
      <w:cols w:space="720" w:num="1"/>
      <w:rtlGutter w:val="0"/>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Droid Sans Ethiopic"/>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Droid Sans Ethiopic"/>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00"/>
    <w:family w:val="modern"/>
    <w:pitch w:val="default"/>
    <w:sig w:usb0="00000000" w:usb1="00000000" w:usb2="00000000" w:usb3="00000000" w:csb0="00040000" w:csb1="00000000"/>
  </w:font>
  <w:font w:name="仿宋">
    <w:altName w:val="方正仿宋_GBK"/>
    <w:panose1 w:val="02010609060101010101"/>
    <w:charset w:val="00"/>
    <w:family w:val="auto"/>
    <w:pitch w:val="default"/>
    <w:sig w:usb0="00000000" w:usb1="00000000" w:usb2="00000016" w:usb3="00000000" w:csb0="00040001" w:csb1="00000000"/>
  </w:font>
  <w:font w:name="楷体_GB2312">
    <w:altName w:val="方正楷体_GBK"/>
    <w:panose1 w:val="02010609030101010101"/>
    <w:charset w:val="00"/>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Arial">
    <w:altName w:val="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outside" w:y="1"/>
      <w:rPr>
        <w:rStyle w:val="14"/>
        <w:rFonts w:ascii="宋体" w:hAnsi="宋体" w:eastAsia="宋体"/>
        <w:sz w:val="28"/>
        <w:szCs w:val="28"/>
      </w:rPr>
    </w:pPr>
    <w:r>
      <w:rPr>
        <w:rFonts w:ascii="宋体" w:hAnsi="宋体" w:eastAsia="宋体"/>
        <w:sz w:val="28"/>
        <w:szCs w:val="28"/>
      </w:rPr>
      <w:fldChar w:fldCharType="begin"/>
    </w:r>
    <w:r>
      <w:rPr>
        <w:rStyle w:val="14"/>
        <w:rFonts w:ascii="宋体" w:hAnsi="宋体" w:eastAsia="宋体"/>
        <w:sz w:val="28"/>
        <w:szCs w:val="28"/>
      </w:rPr>
      <w:instrText xml:space="preserve">PAGE  </w:instrText>
    </w:r>
    <w:r>
      <w:rPr>
        <w:rFonts w:ascii="宋体" w:hAnsi="宋体" w:eastAsia="宋体"/>
        <w:sz w:val="28"/>
        <w:szCs w:val="28"/>
      </w:rPr>
      <w:fldChar w:fldCharType="separate"/>
    </w:r>
    <w:r>
      <w:rPr>
        <w:rStyle w:val="14"/>
        <w:rFonts w:ascii="宋体" w:hAnsi="宋体" w:eastAsia="宋体"/>
        <w:sz w:val="28"/>
        <w:szCs w:val="28"/>
      </w:rPr>
      <w:t>- 6 -</w:t>
    </w:r>
    <w:r>
      <w:rPr>
        <w:rFonts w:ascii="宋体" w:hAnsi="宋体" w:eastAsia="宋体"/>
        <w:sz w:val="28"/>
        <w:szCs w:val="28"/>
      </w:rPr>
      <w:fldChar w:fldCharType="end"/>
    </w:r>
  </w:p>
  <w:p>
    <w:pPr>
      <w:pStyle w:val="7"/>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revisionView w:markup="0"/>
  <w:trackRevisions w:val="1"/>
  <w:documentProtection w:enforcement="0"/>
  <w:defaultTabStop w:val="420"/>
  <w:hyphenationZone w:val="360"/>
  <w:drawingGridVerticalSpacing w:val="22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JiM2MzMjg5OWZjNTQwN2EwYzEzNGNkNDYzNWQwMGUifQ=="/>
  </w:docVars>
  <w:rsids>
    <w:rsidRoot w:val="005A6A4F"/>
    <w:rsid w:val="000C3DA7"/>
    <w:rsid w:val="00142CF5"/>
    <w:rsid w:val="002146B6"/>
    <w:rsid w:val="002D23A6"/>
    <w:rsid w:val="00301004"/>
    <w:rsid w:val="00351640"/>
    <w:rsid w:val="003E16C2"/>
    <w:rsid w:val="005A6A4F"/>
    <w:rsid w:val="005C4AC0"/>
    <w:rsid w:val="007919AC"/>
    <w:rsid w:val="007A6BAA"/>
    <w:rsid w:val="00823546"/>
    <w:rsid w:val="00885978"/>
    <w:rsid w:val="008B61AC"/>
    <w:rsid w:val="008E0C60"/>
    <w:rsid w:val="00A72030"/>
    <w:rsid w:val="00AC71F9"/>
    <w:rsid w:val="00AE65F3"/>
    <w:rsid w:val="00C430D9"/>
    <w:rsid w:val="00C86859"/>
    <w:rsid w:val="00DA1218"/>
    <w:rsid w:val="00DE7CB4"/>
    <w:rsid w:val="00E707FE"/>
    <w:rsid w:val="00E74251"/>
    <w:rsid w:val="00F43109"/>
    <w:rsid w:val="00F65C1F"/>
    <w:rsid w:val="00F92EBB"/>
    <w:rsid w:val="01D008B4"/>
    <w:rsid w:val="020813DD"/>
    <w:rsid w:val="026C6D7F"/>
    <w:rsid w:val="028175C9"/>
    <w:rsid w:val="028C4C1D"/>
    <w:rsid w:val="02AC27AF"/>
    <w:rsid w:val="034F46D6"/>
    <w:rsid w:val="038F4273"/>
    <w:rsid w:val="0399233F"/>
    <w:rsid w:val="039E6FA0"/>
    <w:rsid w:val="04A56F56"/>
    <w:rsid w:val="04BC0CAD"/>
    <w:rsid w:val="051C683A"/>
    <w:rsid w:val="05276CC1"/>
    <w:rsid w:val="052D7892"/>
    <w:rsid w:val="054D6E97"/>
    <w:rsid w:val="065B7836"/>
    <w:rsid w:val="06787FCA"/>
    <w:rsid w:val="076F6403"/>
    <w:rsid w:val="07F62CC9"/>
    <w:rsid w:val="085F73BB"/>
    <w:rsid w:val="088149FF"/>
    <w:rsid w:val="08A70B11"/>
    <w:rsid w:val="08E104C7"/>
    <w:rsid w:val="08FD168A"/>
    <w:rsid w:val="09236188"/>
    <w:rsid w:val="093D5236"/>
    <w:rsid w:val="096B5197"/>
    <w:rsid w:val="09B251B0"/>
    <w:rsid w:val="09B35590"/>
    <w:rsid w:val="0A913826"/>
    <w:rsid w:val="0AF94F29"/>
    <w:rsid w:val="0B18090C"/>
    <w:rsid w:val="0B73044A"/>
    <w:rsid w:val="0BEB6F66"/>
    <w:rsid w:val="0C4F71E7"/>
    <w:rsid w:val="0C5C5F27"/>
    <w:rsid w:val="0CEB4E1C"/>
    <w:rsid w:val="0CFE7E90"/>
    <w:rsid w:val="0E6A5EB5"/>
    <w:rsid w:val="0EEE56EB"/>
    <w:rsid w:val="0F3B4F6E"/>
    <w:rsid w:val="0F841672"/>
    <w:rsid w:val="0F957737"/>
    <w:rsid w:val="105C4ED4"/>
    <w:rsid w:val="108F016D"/>
    <w:rsid w:val="10A432DB"/>
    <w:rsid w:val="10B60A0F"/>
    <w:rsid w:val="116858A5"/>
    <w:rsid w:val="119D7F29"/>
    <w:rsid w:val="12452D0D"/>
    <w:rsid w:val="12C21845"/>
    <w:rsid w:val="134A5094"/>
    <w:rsid w:val="137726F1"/>
    <w:rsid w:val="141F4E20"/>
    <w:rsid w:val="149E33E8"/>
    <w:rsid w:val="14C21829"/>
    <w:rsid w:val="14CB44CF"/>
    <w:rsid w:val="15E86E50"/>
    <w:rsid w:val="16622A37"/>
    <w:rsid w:val="166A18E0"/>
    <w:rsid w:val="16D57BEB"/>
    <w:rsid w:val="16DB309B"/>
    <w:rsid w:val="17FF425D"/>
    <w:rsid w:val="185323BE"/>
    <w:rsid w:val="18612A4B"/>
    <w:rsid w:val="1894252A"/>
    <w:rsid w:val="18D86AC4"/>
    <w:rsid w:val="18E92A80"/>
    <w:rsid w:val="197E58BE"/>
    <w:rsid w:val="1A5C3DFB"/>
    <w:rsid w:val="1A830915"/>
    <w:rsid w:val="1AAE15D1"/>
    <w:rsid w:val="1B5E59A7"/>
    <w:rsid w:val="1BF340B7"/>
    <w:rsid w:val="1C251810"/>
    <w:rsid w:val="1C3406A5"/>
    <w:rsid w:val="1C436FFF"/>
    <w:rsid w:val="1C4A476A"/>
    <w:rsid w:val="1CDA7915"/>
    <w:rsid w:val="1D1756D3"/>
    <w:rsid w:val="1D8F658D"/>
    <w:rsid w:val="1D9C4524"/>
    <w:rsid w:val="1E1C65BF"/>
    <w:rsid w:val="1EAA4359"/>
    <w:rsid w:val="1EE76E35"/>
    <w:rsid w:val="1F264A2D"/>
    <w:rsid w:val="1F8D6850"/>
    <w:rsid w:val="1FDC3182"/>
    <w:rsid w:val="201B58C3"/>
    <w:rsid w:val="2020322B"/>
    <w:rsid w:val="202D2D02"/>
    <w:rsid w:val="204D499E"/>
    <w:rsid w:val="20757798"/>
    <w:rsid w:val="209968C7"/>
    <w:rsid w:val="213F0634"/>
    <w:rsid w:val="21896A01"/>
    <w:rsid w:val="21D40771"/>
    <w:rsid w:val="22166B89"/>
    <w:rsid w:val="22C574E9"/>
    <w:rsid w:val="22D36C7A"/>
    <w:rsid w:val="22EB3FC4"/>
    <w:rsid w:val="22F555AD"/>
    <w:rsid w:val="232330B3"/>
    <w:rsid w:val="23CF3744"/>
    <w:rsid w:val="243277E8"/>
    <w:rsid w:val="24A0513A"/>
    <w:rsid w:val="24C77160"/>
    <w:rsid w:val="24DB27A1"/>
    <w:rsid w:val="25BE1C37"/>
    <w:rsid w:val="25D01E4D"/>
    <w:rsid w:val="272F15AD"/>
    <w:rsid w:val="27721E93"/>
    <w:rsid w:val="27E733E2"/>
    <w:rsid w:val="2865321E"/>
    <w:rsid w:val="289E096D"/>
    <w:rsid w:val="29C25B39"/>
    <w:rsid w:val="29DF088C"/>
    <w:rsid w:val="29F73FD6"/>
    <w:rsid w:val="2A2F26F6"/>
    <w:rsid w:val="2A586BFE"/>
    <w:rsid w:val="2ACD10D6"/>
    <w:rsid w:val="2B473985"/>
    <w:rsid w:val="2B926E07"/>
    <w:rsid w:val="2BBD0841"/>
    <w:rsid w:val="2BFB1365"/>
    <w:rsid w:val="2CA174A1"/>
    <w:rsid w:val="2CA8032D"/>
    <w:rsid w:val="2DBC2859"/>
    <w:rsid w:val="2E654339"/>
    <w:rsid w:val="2F711063"/>
    <w:rsid w:val="2F9E6B13"/>
    <w:rsid w:val="2FA774C5"/>
    <w:rsid w:val="305F5DE4"/>
    <w:rsid w:val="308C66BA"/>
    <w:rsid w:val="309B7CA4"/>
    <w:rsid w:val="313E62B2"/>
    <w:rsid w:val="315D1C96"/>
    <w:rsid w:val="319F292B"/>
    <w:rsid w:val="31DE6AA2"/>
    <w:rsid w:val="32BA6CA1"/>
    <w:rsid w:val="33244856"/>
    <w:rsid w:val="33A96506"/>
    <w:rsid w:val="349C37D9"/>
    <w:rsid w:val="34A639EA"/>
    <w:rsid w:val="34B12447"/>
    <w:rsid w:val="34C77457"/>
    <w:rsid w:val="351115DC"/>
    <w:rsid w:val="358E1C7D"/>
    <w:rsid w:val="367321DA"/>
    <w:rsid w:val="36D52EB3"/>
    <w:rsid w:val="373A7329"/>
    <w:rsid w:val="3760522E"/>
    <w:rsid w:val="378456FA"/>
    <w:rsid w:val="37EC51BD"/>
    <w:rsid w:val="381E22EE"/>
    <w:rsid w:val="38402264"/>
    <w:rsid w:val="38D468CA"/>
    <w:rsid w:val="38FC731C"/>
    <w:rsid w:val="3A0E1EEE"/>
    <w:rsid w:val="3A1931FF"/>
    <w:rsid w:val="3A244AB4"/>
    <w:rsid w:val="3A2D66E4"/>
    <w:rsid w:val="3AC6691C"/>
    <w:rsid w:val="3AE43E6B"/>
    <w:rsid w:val="3B483B18"/>
    <w:rsid w:val="3B48557C"/>
    <w:rsid w:val="3B846B4F"/>
    <w:rsid w:val="3BA26D92"/>
    <w:rsid w:val="3C686EF3"/>
    <w:rsid w:val="3CCC1B8F"/>
    <w:rsid w:val="3E241AF7"/>
    <w:rsid w:val="3E38282B"/>
    <w:rsid w:val="3E7F70C7"/>
    <w:rsid w:val="3E96495D"/>
    <w:rsid w:val="3ED62E5A"/>
    <w:rsid w:val="3EEC2D59"/>
    <w:rsid w:val="3F0E2CCE"/>
    <w:rsid w:val="3F9A0A40"/>
    <w:rsid w:val="3FDD6A86"/>
    <w:rsid w:val="40024A89"/>
    <w:rsid w:val="40311767"/>
    <w:rsid w:val="40727651"/>
    <w:rsid w:val="41406C2F"/>
    <w:rsid w:val="4194054A"/>
    <w:rsid w:val="41A80661"/>
    <w:rsid w:val="41CF41E8"/>
    <w:rsid w:val="42103034"/>
    <w:rsid w:val="42115CC5"/>
    <w:rsid w:val="42397621"/>
    <w:rsid w:val="4277066E"/>
    <w:rsid w:val="42D04969"/>
    <w:rsid w:val="43CF6D53"/>
    <w:rsid w:val="44273D80"/>
    <w:rsid w:val="447334B4"/>
    <w:rsid w:val="44F301AD"/>
    <w:rsid w:val="45162AD5"/>
    <w:rsid w:val="45586243"/>
    <w:rsid w:val="45952558"/>
    <w:rsid w:val="46F33FA4"/>
    <w:rsid w:val="47534F1C"/>
    <w:rsid w:val="48816B39"/>
    <w:rsid w:val="48BB215A"/>
    <w:rsid w:val="48E14B94"/>
    <w:rsid w:val="48F72D2D"/>
    <w:rsid w:val="492A65A4"/>
    <w:rsid w:val="49CF6E63"/>
    <w:rsid w:val="49D07705"/>
    <w:rsid w:val="4A041511"/>
    <w:rsid w:val="4A2A4EBB"/>
    <w:rsid w:val="4A2D1BF5"/>
    <w:rsid w:val="4A421B48"/>
    <w:rsid w:val="4A995979"/>
    <w:rsid w:val="4A9A3996"/>
    <w:rsid w:val="4ABC613F"/>
    <w:rsid w:val="4B7826D3"/>
    <w:rsid w:val="4B7C136C"/>
    <w:rsid w:val="4BC87741"/>
    <w:rsid w:val="4C0D2006"/>
    <w:rsid w:val="4C151798"/>
    <w:rsid w:val="4C5952E7"/>
    <w:rsid w:val="4CBC7810"/>
    <w:rsid w:val="4D311FF5"/>
    <w:rsid w:val="4D8E7AE1"/>
    <w:rsid w:val="4DD374C6"/>
    <w:rsid w:val="4E375968"/>
    <w:rsid w:val="4ED94A57"/>
    <w:rsid w:val="500D3746"/>
    <w:rsid w:val="50175DEE"/>
    <w:rsid w:val="50CE4CCF"/>
    <w:rsid w:val="513D2B54"/>
    <w:rsid w:val="51417358"/>
    <w:rsid w:val="51B03F49"/>
    <w:rsid w:val="523D6365"/>
    <w:rsid w:val="527C6500"/>
    <w:rsid w:val="53132525"/>
    <w:rsid w:val="535075C0"/>
    <w:rsid w:val="53784C84"/>
    <w:rsid w:val="54224ABD"/>
    <w:rsid w:val="54340D91"/>
    <w:rsid w:val="547B5B26"/>
    <w:rsid w:val="54DA0EF3"/>
    <w:rsid w:val="54F507E9"/>
    <w:rsid w:val="55322ADD"/>
    <w:rsid w:val="55EF4E69"/>
    <w:rsid w:val="564866E7"/>
    <w:rsid w:val="578718CF"/>
    <w:rsid w:val="57AC27F0"/>
    <w:rsid w:val="582A6089"/>
    <w:rsid w:val="582D6320"/>
    <w:rsid w:val="585D7B3D"/>
    <w:rsid w:val="585E0EE9"/>
    <w:rsid w:val="5866141B"/>
    <w:rsid w:val="58BD5D1A"/>
    <w:rsid w:val="594B7D2D"/>
    <w:rsid w:val="596D415F"/>
    <w:rsid w:val="59AB5A58"/>
    <w:rsid w:val="5A1768C4"/>
    <w:rsid w:val="5A382716"/>
    <w:rsid w:val="5A8D0F00"/>
    <w:rsid w:val="5AD360FD"/>
    <w:rsid w:val="5B037457"/>
    <w:rsid w:val="5B06747D"/>
    <w:rsid w:val="5B537FC8"/>
    <w:rsid w:val="5BA644B7"/>
    <w:rsid w:val="5C04476D"/>
    <w:rsid w:val="5C0C169D"/>
    <w:rsid w:val="5C327A4F"/>
    <w:rsid w:val="5C355C6E"/>
    <w:rsid w:val="5C4C68AE"/>
    <w:rsid w:val="5C8C61E1"/>
    <w:rsid w:val="5D4D023D"/>
    <w:rsid w:val="5DE4305E"/>
    <w:rsid w:val="5E0A3E44"/>
    <w:rsid w:val="5E1C2B5E"/>
    <w:rsid w:val="5E4C31E7"/>
    <w:rsid w:val="5F1B47E7"/>
    <w:rsid w:val="5F4C77EC"/>
    <w:rsid w:val="5F7D4A81"/>
    <w:rsid w:val="6079442B"/>
    <w:rsid w:val="60F86F5F"/>
    <w:rsid w:val="61586C2D"/>
    <w:rsid w:val="616125C1"/>
    <w:rsid w:val="61BE7FFD"/>
    <w:rsid w:val="631B2E02"/>
    <w:rsid w:val="639C3BA5"/>
    <w:rsid w:val="63A05DFF"/>
    <w:rsid w:val="63A63898"/>
    <w:rsid w:val="63BD018E"/>
    <w:rsid w:val="6439017D"/>
    <w:rsid w:val="64911A8E"/>
    <w:rsid w:val="65550A72"/>
    <w:rsid w:val="656F07DD"/>
    <w:rsid w:val="66BE55FA"/>
    <w:rsid w:val="670D4287"/>
    <w:rsid w:val="67443F9C"/>
    <w:rsid w:val="68301095"/>
    <w:rsid w:val="68417660"/>
    <w:rsid w:val="685259C5"/>
    <w:rsid w:val="68AC0E1F"/>
    <w:rsid w:val="68C1269E"/>
    <w:rsid w:val="68F66CA1"/>
    <w:rsid w:val="6943432D"/>
    <w:rsid w:val="696701A6"/>
    <w:rsid w:val="6999371C"/>
    <w:rsid w:val="6A102DD5"/>
    <w:rsid w:val="6AD53880"/>
    <w:rsid w:val="6C9134F0"/>
    <w:rsid w:val="6CF7668E"/>
    <w:rsid w:val="6D2855B2"/>
    <w:rsid w:val="6D321384"/>
    <w:rsid w:val="6D902763"/>
    <w:rsid w:val="6D932B27"/>
    <w:rsid w:val="6DA23667"/>
    <w:rsid w:val="6DFF6A28"/>
    <w:rsid w:val="6E7C4E04"/>
    <w:rsid w:val="6ED6118E"/>
    <w:rsid w:val="6F687EF5"/>
    <w:rsid w:val="6F745D74"/>
    <w:rsid w:val="70184AF2"/>
    <w:rsid w:val="70680F8D"/>
    <w:rsid w:val="71422784"/>
    <w:rsid w:val="716A7D11"/>
    <w:rsid w:val="71C747A9"/>
    <w:rsid w:val="71CC0CB8"/>
    <w:rsid w:val="72316A9A"/>
    <w:rsid w:val="727E13CE"/>
    <w:rsid w:val="729D3834"/>
    <w:rsid w:val="72AD2705"/>
    <w:rsid w:val="72B666A4"/>
    <w:rsid w:val="72F97114"/>
    <w:rsid w:val="732256B6"/>
    <w:rsid w:val="7358790D"/>
    <w:rsid w:val="738878F8"/>
    <w:rsid w:val="73942502"/>
    <w:rsid w:val="73C76DCF"/>
    <w:rsid w:val="73E34456"/>
    <w:rsid w:val="73F92AD6"/>
    <w:rsid w:val="741B702C"/>
    <w:rsid w:val="74610E8A"/>
    <w:rsid w:val="747C2B1C"/>
    <w:rsid w:val="74957D57"/>
    <w:rsid w:val="74C0580B"/>
    <w:rsid w:val="75E71D3B"/>
    <w:rsid w:val="76110431"/>
    <w:rsid w:val="762B3CD8"/>
    <w:rsid w:val="764C23CC"/>
    <w:rsid w:val="7655212D"/>
    <w:rsid w:val="7689653E"/>
    <w:rsid w:val="77547F96"/>
    <w:rsid w:val="778F62F0"/>
    <w:rsid w:val="77A45F20"/>
    <w:rsid w:val="77B33803"/>
    <w:rsid w:val="77E86559"/>
    <w:rsid w:val="77F557F9"/>
    <w:rsid w:val="786519A0"/>
    <w:rsid w:val="78BB1C4D"/>
    <w:rsid w:val="78F75EE9"/>
    <w:rsid w:val="794A349B"/>
    <w:rsid w:val="79B10208"/>
    <w:rsid w:val="79FFC0E4"/>
    <w:rsid w:val="7A053A27"/>
    <w:rsid w:val="7A0D3C7B"/>
    <w:rsid w:val="7A112AFE"/>
    <w:rsid w:val="7A4E5C01"/>
    <w:rsid w:val="7A986D67"/>
    <w:rsid w:val="7B3C6E19"/>
    <w:rsid w:val="7B590A4F"/>
    <w:rsid w:val="7B787023"/>
    <w:rsid w:val="7B883540"/>
    <w:rsid w:val="7C0A612E"/>
    <w:rsid w:val="7C15629C"/>
    <w:rsid w:val="7C704679"/>
    <w:rsid w:val="7C801FF1"/>
    <w:rsid w:val="7C9F7B6E"/>
    <w:rsid w:val="7DBD1142"/>
    <w:rsid w:val="7DCF320F"/>
    <w:rsid w:val="7DE832DF"/>
    <w:rsid w:val="7DE86A84"/>
    <w:rsid w:val="7E1F3CD9"/>
    <w:rsid w:val="7E807F57"/>
    <w:rsid w:val="7E8F694D"/>
    <w:rsid w:val="7EB92265"/>
    <w:rsid w:val="7FEF32F5"/>
    <w:rsid w:val="7FFF0943"/>
    <w:rsid w:val="CB3ED5B1"/>
    <w:rsid w:val="EF7F3245"/>
    <w:rsid w:val="EFAFA8A2"/>
    <w:rsid w:val="FF3F6D9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ocked="1"/>
    <w:lsdException w:qFormat="1" w:unhideWhenUsed="0" w:uiPriority="0" w:semiHidden="0" w:name="heading 2" w:locked="1"/>
    <w:lsdException w:qFormat="1" w:unhideWhenUsed="0" w:uiPriority="0" w:semiHidden="0" w:name="heading 3" w:locked="1"/>
    <w:lsdException w:unhideWhenUsed="0" w:uiPriority="0" w:semiHidden="0" w:name="heading 4" w:locked="1"/>
    <w:lsdException w:unhideWhenUsed="0" w:uiPriority="0" w:semiHidden="0" w:name="heading 5" w:locked="1"/>
    <w:lsdException w:unhideWhenUsed="0" w:uiPriority="0" w:semiHidden="0" w:name="heading 6" w:locked="1"/>
    <w:lsdException w:unhideWhenUsed="0" w:uiPriority="0" w:semiHidden="0" w:name="heading 7" w:locked="1"/>
    <w:lsdException w:unhideWhenUsed="0" w:uiPriority="0" w:semiHidden="0" w:name="heading 8" w:locked="1"/>
    <w:lsdException w:unhideWhenUsed="0" w:uiPriority="0" w:semiHidden="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ocked="1"/>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ocked="1"/>
    <w:lsdException w:unhideWhenUsed="0" w:uiPriority="0" w:semiHidden="0" w:name="Salutation"/>
    <w:lsdException w:qFormat="1"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ocked="1"/>
    <w:lsdException w:unhideWhenUsed="0" w:uiPriority="0" w:semiHidden="0" w:name="Emphasis" w:locked="1"/>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Times New Roman" w:cs="Times New Roman"/>
      <w:kern w:val="2"/>
      <w:sz w:val="32"/>
      <w:szCs w:val="32"/>
      <w:lang w:val="en-US" w:eastAsia="zh-CN" w:bidi="ar-SA"/>
    </w:rPr>
  </w:style>
  <w:style w:type="paragraph" w:styleId="4">
    <w:name w:val="heading 2"/>
    <w:basedOn w:val="1"/>
    <w:next w:val="1"/>
    <w:qFormat/>
    <w:locked/>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qFormat/>
    <w:locked/>
    <w:uiPriority w:val="0"/>
    <w:pPr>
      <w:keepNext/>
      <w:keepLines/>
      <w:spacing w:before="260" w:beforeLines="0" w:beforeAutospacing="0" w:after="260" w:afterLines="0" w:afterAutospacing="0" w:line="413" w:lineRule="auto"/>
      <w:outlineLvl w:val="2"/>
    </w:pPr>
    <w:rPr>
      <w:b/>
      <w:sz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customStyle="1" w:styleId="3">
    <w:name w:val="引用1"/>
    <w:next w:val="1"/>
    <w:qFormat/>
    <w:uiPriority w:val="0"/>
    <w:pPr>
      <w:wordWrap w:val="0"/>
      <w:spacing w:before="200" w:after="160"/>
      <w:ind w:left="864" w:right="864"/>
      <w:jc w:val="center"/>
    </w:pPr>
    <w:rPr>
      <w:rFonts w:ascii="Calibri" w:hAnsi="Calibri" w:eastAsia="宋体" w:cs="Times New Roman"/>
      <w:i/>
      <w:sz w:val="21"/>
      <w:szCs w:val="22"/>
      <w:lang w:val="en-US" w:eastAsia="zh-CN" w:bidi="ar-SA"/>
    </w:rPr>
  </w:style>
  <w:style w:type="paragraph" w:styleId="6">
    <w:name w:val="Date"/>
    <w:basedOn w:val="1"/>
    <w:next w:val="1"/>
    <w:qFormat/>
    <w:uiPriority w:val="0"/>
    <w:pPr>
      <w:ind w:left="100" w:leftChars="2500"/>
    </w:p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0">
    <w:name w:val="Body Text First Indent"/>
    <w:basedOn w:val="2"/>
    <w:unhideWhenUsed/>
    <w:qFormat/>
    <w:uiPriority w:val="99"/>
    <w:pPr>
      <w:spacing w:after="120"/>
      <w:ind w:firstLine="420" w:firstLineChars="100"/>
    </w:pPr>
    <w:rPr>
      <w:rFonts w:ascii="Calibri" w:hAnsi="Calibri" w:eastAsia="宋体" w:cs="Times New Roman"/>
      <w:szCs w:val="22"/>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qFormat/>
    <w:uiPriority w:val="0"/>
    <w:rPr>
      <w:rFonts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5951</Words>
  <Characters>6803</Characters>
  <Lines>18</Lines>
  <Paragraphs>5</Paragraphs>
  <TotalTime>275</TotalTime>
  <ScaleCrop>false</ScaleCrop>
  <LinksUpToDate>false</LinksUpToDate>
  <CharactersWithSpaces>6872</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2017-11-15T08:05:00Z</dcterms:created>
  <dc:creator>pc</dc:creator>
  <cp:lastModifiedBy>kylin</cp:lastModifiedBy>
  <cp:lastPrinted>2023-01-10T03:12:00Z</cp:lastPrinted>
  <dcterms:modified xsi:type="dcterms:W3CDTF">2024-04-16T09:06:39Z</dcterms:modified>
  <dc:title> </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B0B7B135EDCE4B1A8D6ABEDF387CE56B</vt:lpwstr>
  </property>
</Properties>
</file>