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E2E45">
      <w:pPr>
        <w:spacing w:line="560" w:lineRule="exact"/>
        <w:rPr>
          <w:rFonts w:ascii="黑体" w:hAnsi="黑体" w:eastAsia="黑体" w:cs="仿宋_GB2312"/>
          <w:color w:val="auto"/>
          <w:sz w:val="30"/>
          <w:szCs w:val="30"/>
        </w:rPr>
      </w:pPr>
      <w:r>
        <w:rPr>
          <w:rFonts w:hint="eastAsia" w:ascii="黑体" w:hAnsi="黑体" w:eastAsia="黑体" w:cs="仿宋_GB2312"/>
          <w:color w:val="auto"/>
          <w:sz w:val="30"/>
          <w:szCs w:val="30"/>
        </w:rPr>
        <w:t>附件</w:t>
      </w:r>
    </w:p>
    <w:p w14:paraId="2168B972">
      <w:pPr>
        <w:spacing w:line="560" w:lineRule="exact"/>
        <w:ind w:firstLine="64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w:t>
      </w:r>
      <w:r>
        <w:rPr>
          <w:rFonts w:hint="eastAsia" w:ascii="方正小标宋简体" w:hAnsi="方正小标宋简体" w:eastAsia="方正小标宋简体" w:cs="方正小标宋简体"/>
          <w:color w:val="auto"/>
          <w:sz w:val="44"/>
          <w:szCs w:val="44"/>
          <w:lang w:val="en-US" w:eastAsia="zh-CN"/>
        </w:rPr>
        <w:t>25</w:t>
      </w:r>
      <w:r>
        <w:rPr>
          <w:rFonts w:hint="eastAsia" w:ascii="方正小标宋简体" w:hAnsi="方正小标宋简体" w:eastAsia="方正小标宋简体" w:cs="方正小标宋简体"/>
          <w:color w:val="auto"/>
          <w:sz w:val="44"/>
          <w:szCs w:val="44"/>
        </w:rPr>
        <w:t>年度</w:t>
      </w:r>
      <w:r>
        <w:rPr>
          <w:rFonts w:hint="eastAsia" w:ascii="方正小标宋简体" w:hAnsi="方正小标宋简体" w:eastAsia="方正小标宋简体" w:cs="方正小标宋简体"/>
          <w:color w:val="auto"/>
          <w:sz w:val="44"/>
          <w:szCs w:val="44"/>
          <w:lang w:val="en-US" w:eastAsia="zh-CN"/>
        </w:rPr>
        <w:t>南昌</w:t>
      </w:r>
      <w:r>
        <w:rPr>
          <w:rFonts w:hint="eastAsia" w:ascii="方正小标宋简体" w:hAnsi="方正小标宋简体" w:eastAsia="方正小标宋简体" w:cs="方正小标宋简体"/>
          <w:color w:val="auto"/>
          <w:sz w:val="44"/>
          <w:szCs w:val="44"/>
        </w:rPr>
        <w:t>县</w:t>
      </w:r>
      <w:r>
        <w:rPr>
          <w:rFonts w:hint="eastAsia" w:ascii="方正小标宋简体" w:hAnsi="方正小标宋简体" w:eastAsia="方正小标宋简体" w:cs="方正小标宋简体"/>
          <w:color w:val="auto"/>
          <w:sz w:val="44"/>
          <w:szCs w:val="44"/>
          <w:lang w:val="en-US" w:eastAsia="zh-CN"/>
        </w:rPr>
        <w:t>行政</w:t>
      </w:r>
      <w:r>
        <w:rPr>
          <w:rFonts w:hint="eastAsia" w:ascii="方正小标宋简体" w:hAnsi="方正小标宋简体" w:eastAsia="方正小标宋简体" w:cs="方正小标宋简体"/>
          <w:color w:val="auto"/>
          <w:sz w:val="44"/>
          <w:szCs w:val="44"/>
        </w:rPr>
        <w:t>规范性文件清理结果表</w:t>
      </w:r>
    </w:p>
    <w:p w14:paraId="308DACDC">
      <w:pPr>
        <w:spacing w:line="480" w:lineRule="auto"/>
        <w:rPr>
          <w:rFonts w:hint="eastAsia"/>
        </w:rPr>
      </w:pPr>
      <w:r>
        <w:rPr>
          <w:rFonts w:hint="eastAsia" w:ascii="黑体" w:hAnsi="黑体" w:eastAsia="黑体" w:cs="黑体"/>
          <w:color w:val="auto"/>
          <w:sz w:val="30"/>
          <w:szCs w:val="30"/>
        </w:rPr>
        <w:t>一、继续施行的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（共</w:t>
      </w:r>
      <w:r>
        <w:rPr>
          <w:rFonts w:hint="eastAsia" w:ascii="黑体" w:hAnsi="黑体" w:eastAsia="黑体" w:cs="黑体"/>
          <w:color w:val="auto"/>
          <w:sz w:val="30"/>
          <w:szCs w:val="30"/>
          <w:lang w:val="en-US" w:eastAsia="zh-CN"/>
        </w:rPr>
        <w:t>16</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5880"/>
        <w:gridCol w:w="3270"/>
        <w:gridCol w:w="2340"/>
        <w:gridCol w:w="1814"/>
      </w:tblGrid>
      <w:tr w14:paraId="00D9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70" w:type="dxa"/>
            <w:vAlign w:val="center"/>
          </w:tcPr>
          <w:p w14:paraId="0099CAC0">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序号</w:t>
            </w:r>
          </w:p>
        </w:tc>
        <w:tc>
          <w:tcPr>
            <w:tcW w:w="5880" w:type="dxa"/>
            <w:vAlign w:val="center"/>
          </w:tcPr>
          <w:p w14:paraId="69F6E357">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文件名称</w:t>
            </w:r>
          </w:p>
        </w:tc>
        <w:tc>
          <w:tcPr>
            <w:tcW w:w="3270" w:type="dxa"/>
            <w:vAlign w:val="center"/>
          </w:tcPr>
          <w:p w14:paraId="1B3C7CC9">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文号</w:t>
            </w:r>
          </w:p>
        </w:tc>
        <w:tc>
          <w:tcPr>
            <w:tcW w:w="2340" w:type="dxa"/>
            <w:vAlign w:val="center"/>
          </w:tcPr>
          <w:p w14:paraId="49FE4052">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起草或实施单位</w:t>
            </w:r>
          </w:p>
        </w:tc>
        <w:tc>
          <w:tcPr>
            <w:tcW w:w="1814" w:type="dxa"/>
            <w:vAlign w:val="center"/>
          </w:tcPr>
          <w:p w14:paraId="06475DF5">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备注</w:t>
            </w:r>
          </w:p>
        </w:tc>
      </w:tr>
      <w:tr w14:paraId="586F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16493ACA">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w:t>
            </w:r>
          </w:p>
        </w:tc>
        <w:tc>
          <w:tcPr>
            <w:tcW w:w="5880" w:type="dxa"/>
            <w:vAlign w:val="center"/>
          </w:tcPr>
          <w:p w14:paraId="08A99A9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关于印发《南昌县重点水域退捕渔民养老保障实施意见》及《南昌县重点水域退捕渔民转产就业实施意见》的通知</w:t>
            </w:r>
          </w:p>
        </w:tc>
        <w:tc>
          <w:tcPr>
            <w:tcW w:w="3270" w:type="dxa"/>
            <w:vAlign w:val="center"/>
          </w:tcPr>
          <w:p w14:paraId="2D4A53AE">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南政办发〔2020〕12号</w:t>
            </w:r>
          </w:p>
        </w:tc>
        <w:tc>
          <w:tcPr>
            <w:tcW w:w="2340" w:type="dxa"/>
            <w:vAlign w:val="center"/>
          </w:tcPr>
          <w:p w14:paraId="582FA5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vAlign w:val="center"/>
          </w:tcPr>
          <w:p w14:paraId="12A37AB8">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继续施行</w:t>
            </w:r>
          </w:p>
        </w:tc>
      </w:tr>
      <w:tr w14:paraId="374C9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32BE65A5">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w:t>
            </w:r>
          </w:p>
        </w:tc>
        <w:tc>
          <w:tcPr>
            <w:tcW w:w="5880" w:type="dxa"/>
            <w:vAlign w:val="center"/>
          </w:tcPr>
          <w:p w14:paraId="2086B0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关于印发《南昌县农村集体资金资产资源管理办法》的通知</w:t>
            </w:r>
          </w:p>
        </w:tc>
        <w:tc>
          <w:tcPr>
            <w:tcW w:w="3270" w:type="dxa"/>
            <w:vAlign w:val="center"/>
          </w:tcPr>
          <w:p w14:paraId="5EBD7C42">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南政办发[2020]51号</w:t>
            </w:r>
          </w:p>
        </w:tc>
        <w:tc>
          <w:tcPr>
            <w:tcW w:w="2340" w:type="dxa"/>
            <w:vAlign w:val="center"/>
          </w:tcPr>
          <w:p w14:paraId="696508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vAlign w:val="center"/>
          </w:tcPr>
          <w:p w14:paraId="00DB6184">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color w:val="auto"/>
                <w:sz w:val="28"/>
                <w:szCs w:val="28"/>
              </w:rPr>
              <w:t>继续施行</w:t>
            </w:r>
          </w:p>
        </w:tc>
      </w:tr>
      <w:tr w14:paraId="0583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2FA233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5880" w:type="dxa"/>
            <w:vAlign w:val="center"/>
          </w:tcPr>
          <w:p w14:paraId="286A11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关于印发《南昌县被征地农民参加养老保险实施办法（修订）》的通知</w:t>
            </w:r>
          </w:p>
        </w:tc>
        <w:tc>
          <w:tcPr>
            <w:tcW w:w="3270" w:type="dxa"/>
            <w:vAlign w:val="center"/>
          </w:tcPr>
          <w:p w14:paraId="222761E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南政发〔2021〕8号</w:t>
            </w:r>
          </w:p>
        </w:tc>
        <w:tc>
          <w:tcPr>
            <w:tcW w:w="2340" w:type="dxa"/>
            <w:vAlign w:val="center"/>
          </w:tcPr>
          <w:p w14:paraId="07C6C95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县人社局</w:t>
            </w:r>
          </w:p>
        </w:tc>
        <w:tc>
          <w:tcPr>
            <w:tcW w:w="1814" w:type="dxa"/>
            <w:vAlign w:val="center"/>
          </w:tcPr>
          <w:p w14:paraId="14622B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继续施行</w:t>
            </w:r>
          </w:p>
        </w:tc>
      </w:tr>
      <w:tr w14:paraId="64BE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783F6E43">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w:t>
            </w:r>
          </w:p>
        </w:tc>
        <w:tc>
          <w:tcPr>
            <w:tcW w:w="5880" w:type="dxa"/>
            <w:vAlign w:val="center"/>
          </w:tcPr>
          <w:p w14:paraId="773299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关于调整南昌县养犬重点管理区的通告</w:t>
            </w:r>
          </w:p>
        </w:tc>
        <w:tc>
          <w:tcPr>
            <w:tcW w:w="3270" w:type="dxa"/>
            <w:vAlign w:val="center"/>
          </w:tcPr>
          <w:p w14:paraId="7FB94181">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南政字〔2021〕129号</w:t>
            </w:r>
          </w:p>
        </w:tc>
        <w:tc>
          <w:tcPr>
            <w:tcW w:w="2340" w:type="dxa"/>
            <w:vAlign w:val="center"/>
          </w:tcPr>
          <w:p w14:paraId="561FE23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县公安局</w:t>
            </w:r>
          </w:p>
        </w:tc>
        <w:tc>
          <w:tcPr>
            <w:tcW w:w="1814" w:type="dxa"/>
            <w:vAlign w:val="center"/>
          </w:tcPr>
          <w:p w14:paraId="71329274">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color w:val="auto"/>
                <w:sz w:val="28"/>
                <w:szCs w:val="28"/>
              </w:rPr>
              <w:t>继续施行</w:t>
            </w:r>
          </w:p>
        </w:tc>
      </w:tr>
      <w:tr w14:paraId="7C6E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4368BEA7">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5</w:t>
            </w:r>
          </w:p>
        </w:tc>
        <w:tc>
          <w:tcPr>
            <w:tcW w:w="5880" w:type="dxa"/>
            <w:vAlign w:val="center"/>
          </w:tcPr>
          <w:p w14:paraId="517DA05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关于扩大禁止燃放烟花爆竹区域的通告</w:t>
            </w:r>
          </w:p>
        </w:tc>
        <w:tc>
          <w:tcPr>
            <w:tcW w:w="3270" w:type="dxa"/>
            <w:vAlign w:val="center"/>
          </w:tcPr>
          <w:p w14:paraId="4E1CA29E">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南政字〔2021〕130号</w:t>
            </w:r>
          </w:p>
        </w:tc>
        <w:tc>
          <w:tcPr>
            <w:tcW w:w="2340" w:type="dxa"/>
            <w:vAlign w:val="center"/>
          </w:tcPr>
          <w:p w14:paraId="0758D7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县公安局</w:t>
            </w:r>
          </w:p>
        </w:tc>
        <w:tc>
          <w:tcPr>
            <w:tcW w:w="1814" w:type="dxa"/>
            <w:vAlign w:val="center"/>
          </w:tcPr>
          <w:p w14:paraId="49542CAF">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color w:val="auto"/>
                <w:sz w:val="28"/>
                <w:szCs w:val="28"/>
              </w:rPr>
              <w:t>继续施行</w:t>
            </w:r>
          </w:p>
        </w:tc>
      </w:tr>
      <w:tr w14:paraId="51A9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37D95539">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6</w:t>
            </w:r>
          </w:p>
        </w:tc>
        <w:tc>
          <w:tcPr>
            <w:tcW w:w="5880" w:type="dxa"/>
            <w:vAlign w:val="center"/>
          </w:tcPr>
          <w:p w14:paraId="7628C9F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关于印发《南昌县保障性租赁住房建设和管理实施办法》的通知</w:t>
            </w:r>
          </w:p>
        </w:tc>
        <w:tc>
          <w:tcPr>
            <w:tcW w:w="3270" w:type="dxa"/>
            <w:vAlign w:val="center"/>
          </w:tcPr>
          <w:p w14:paraId="7AA29B30">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南政办发〔2022〕24号</w:t>
            </w:r>
          </w:p>
        </w:tc>
        <w:tc>
          <w:tcPr>
            <w:tcW w:w="2340" w:type="dxa"/>
            <w:vAlign w:val="center"/>
          </w:tcPr>
          <w:p w14:paraId="70A9C3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vAlign w:val="center"/>
          </w:tcPr>
          <w:p w14:paraId="0E632F2A">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color w:val="auto"/>
                <w:sz w:val="28"/>
                <w:szCs w:val="28"/>
              </w:rPr>
              <w:t>继续施行</w:t>
            </w:r>
          </w:p>
        </w:tc>
      </w:tr>
      <w:tr w14:paraId="055C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4A71F4C5">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7</w:t>
            </w:r>
          </w:p>
        </w:tc>
        <w:tc>
          <w:tcPr>
            <w:tcW w:w="5880" w:type="dxa"/>
            <w:vAlign w:val="center"/>
          </w:tcPr>
          <w:p w14:paraId="4406FA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关于印发《南昌县关于有效应对新冠疫情影响促进房地产市场健康发展的若干措施》的通知</w:t>
            </w:r>
          </w:p>
        </w:tc>
        <w:tc>
          <w:tcPr>
            <w:tcW w:w="3270" w:type="dxa"/>
            <w:vAlign w:val="center"/>
          </w:tcPr>
          <w:p w14:paraId="4BB3DAE6">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南政办发〔2022〕35号</w:t>
            </w:r>
          </w:p>
        </w:tc>
        <w:tc>
          <w:tcPr>
            <w:tcW w:w="2340" w:type="dxa"/>
            <w:vAlign w:val="center"/>
          </w:tcPr>
          <w:p w14:paraId="218BC47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vAlign w:val="center"/>
          </w:tcPr>
          <w:p w14:paraId="4B43FD91">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color w:val="auto"/>
                <w:sz w:val="28"/>
                <w:szCs w:val="28"/>
              </w:rPr>
              <w:t>继续施行</w:t>
            </w:r>
          </w:p>
        </w:tc>
      </w:tr>
      <w:tr w14:paraId="38F8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6533DF0E">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8</w:t>
            </w:r>
          </w:p>
        </w:tc>
        <w:tc>
          <w:tcPr>
            <w:tcW w:w="5880" w:type="dxa"/>
            <w:vAlign w:val="center"/>
          </w:tcPr>
          <w:p w14:paraId="31DC9155">
            <w:pPr>
              <w:spacing w:line="560" w:lineRule="exact"/>
              <w:jc w:val="center"/>
              <w:rPr>
                <w:rFonts w:hint="eastAsia" w:ascii="仿宋_GB2312" w:hAnsi="仿宋_GB2312" w:eastAsia="仿宋_GB2312" w:cs="仿宋_GB2312"/>
                <w:color w:val="auto"/>
                <w:sz w:val="28"/>
                <w:szCs w:val="28"/>
                <w:vertAlign w:val="baseline"/>
                <w:lang w:val="en-US"/>
              </w:rPr>
            </w:pPr>
            <w:r>
              <w:rPr>
                <w:rFonts w:hint="eastAsia" w:ascii="仿宋_GB2312" w:hAnsi="仿宋_GB2312" w:eastAsia="仿宋_GB2312" w:cs="仿宋_GB2312"/>
                <w:sz w:val="28"/>
                <w:szCs w:val="28"/>
                <w:vertAlign w:val="baseline"/>
                <w:lang w:val="en-US" w:eastAsia="zh-CN"/>
              </w:rPr>
              <w:t>关于印发《南昌县县级储备粮管理办法（修订）》的通知</w:t>
            </w:r>
          </w:p>
        </w:tc>
        <w:tc>
          <w:tcPr>
            <w:tcW w:w="3270" w:type="dxa"/>
            <w:vAlign w:val="center"/>
          </w:tcPr>
          <w:p w14:paraId="529C4EF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南政发</w:t>
            </w:r>
            <w:r>
              <w:rPr>
                <w:rFonts w:hint="eastAsia" w:ascii="仿宋_GB2312" w:hAnsi="仿宋_GB2312" w:eastAsia="仿宋_GB2312" w:cs="仿宋_GB2312"/>
                <w:sz w:val="28"/>
                <w:szCs w:val="28"/>
              </w:rPr>
              <w:t>〔2022〕</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号</w:t>
            </w:r>
          </w:p>
          <w:p w14:paraId="4F655AA3">
            <w:pPr>
              <w:spacing w:line="560" w:lineRule="exact"/>
              <w:jc w:val="center"/>
              <w:rPr>
                <w:rFonts w:hint="eastAsia" w:ascii="仿宋_GB2312" w:hAnsi="仿宋_GB2312" w:eastAsia="仿宋_GB2312" w:cs="仿宋_GB2312"/>
                <w:color w:val="auto"/>
                <w:sz w:val="28"/>
                <w:szCs w:val="28"/>
                <w:vertAlign w:val="baseline"/>
              </w:rPr>
            </w:pPr>
          </w:p>
        </w:tc>
        <w:tc>
          <w:tcPr>
            <w:tcW w:w="2340" w:type="dxa"/>
            <w:vAlign w:val="center"/>
          </w:tcPr>
          <w:p w14:paraId="61EE49D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县发改委</w:t>
            </w:r>
          </w:p>
        </w:tc>
        <w:tc>
          <w:tcPr>
            <w:tcW w:w="1814" w:type="dxa"/>
            <w:vAlign w:val="center"/>
          </w:tcPr>
          <w:p w14:paraId="4E1C85C0">
            <w:pPr>
              <w:spacing w:line="560" w:lineRule="exact"/>
              <w:jc w:val="center"/>
              <w:rPr>
                <w:rFonts w:hint="eastAsia" w:ascii="仿宋_GB2312" w:hAnsi="仿宋_GB2312" w:eastAsia="仿宋_GB2312" w:cs="仿宋_GB2312"/>
                <w:color w:val="auto"/>
                <w:sz w:val="28"/>
                <w:szCs w:val="28"/>
                <w:vertAlign w:val="baseline"/>
              </w:rPr>
            </w:pPr>
            <w:r>
              <w:rPr>
                <w:rFonts w:hint="eastAsia" w:ascii="仿宋_GB2312" w:hAnsi="仿宋_GB2312" w:eastAsia="仿宋_GB2312" w:cs="仿宋_GB2312"/>
                <w:color w:val="auto"/>
                <w:sz w:val="28"/>
                <w:szCs w:val="28"/>
              </w:rPr>
              <w:t>继续施行</w:t>
            </w:r>
          </w:p>
        </w:tc>
      </w:tr>
      <w:tr w14:paraId="7AA7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shd w:val="clear" w:color="auto" w:fill="auto"/>
            <w:vAlign w:val="center"/>
          </w:tcPr>
          <w:p w14:paraId="048B080B">
            <w:pPr>
              <w:spacing w:line="3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9</w:t>
            </w:r>
          </w:p>
        </w:tc>
        <w:tc>
          <w:tcPr>
            <w:tcW w:w="5880" w:type="dxa"/>
            <w:shd w:val="clear" w:color="auto" w:fill="auto"/>
            <w:vAlign w:val="center"/>
          </w:tcPr>
          <w:p w14:paraId="3FAF640E">
            <w:pPr>
              <w:spacing w:line="560" w:lineRule="exact"/>
              <w:jc w:val="center"/>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关于印发《南昌县城镇排水与污水处理管理细则》的通知</w:t>
            </w:r>
          </w:p>
        </w:tc>
        <w:tc>
          <w:tcPr>
            <w:tcW w:w="3270" w:type="dxa"/>
            <w:shd w:val="clear" w:color="auto" w:fill="auto"/>
            <w:vAlign w:val="center"/>
          </w:tcPr>
          <w:p w14:paraId="1BB440D9">
            <w:pPr>
              <w:spacing w:line="560" w:lineRule="exact"/>
              <w:jc w:val="center"/>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南政发〔2022〕17号</w:t>
            </w:r>
          </w:p>
        </w:tc>
        <w:tc>
          <w:tcPr>
            <w:tcW w:w="2340" w:type="dxa"/>
            <w:shd w:val="clear" w:color="auto" w:fill="auto"/>
            <w:vAlign w:val="center"/>
          </w:tcPr>
          <w:p w14:paraId="07F8CA9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县城管执法局</w:t>
            </w:r>
          </w:p>
        </w:tc>
        <w:tc>
          <w:tcPr>
            <w:tcW w:w="1814" w:type="dxa"/>
            <w:shd w:val="clear" w:color="auto" w:fill="auto"/>
            <w:vAlign w:val="center"/>
          </w:tcPr>
          <w:p w14:paraId="17C5C22D">
            <w:pPr>
              <w:spacing w:line="560" w:lineRule="exact"/>
              <w:jc w:val="center"/>
              <w:rPr>
                <w:rFonts w:hint="eastAsia" w:ascii="仿宋_GB2312" w:hAnsi="仿宋_GB2312" w:eastAsia="仿宋_GB2312" w:cs="仿宋_GB2312"/>
                <w:color w:val="auto"/>
                <w:kern w:val="2"/>
                <w:sz w:val="28"/>
                <w:szCs w:val="28"/>
                <w:vertAlign w:val="baseline"/>
                <w:lang w:val="en-US" w:eastAsia="zh-CN" w:bidi="ar-SA"/>
              </w:rPr>
            </w:pPr>
            <w:r>
              <w:rPr>
                <w:rFonts w:hint="eastAsia" w:ascii="仿宋_GB2312" w:hAnsi="仿宋_GB2312" w:eastAsia="仿宋_GB2312" w:cs="仿宋_GB2312"/>
                <w:color w:val="auto"/>
                <w:sz w:val="28"/>
                <w:szCs w:val="28"/>
              </w:rPr>
              <w:t>继续施行</w:t>
            </w:r>
          </w:p>
        </w:tc>
      </w:tr>
      <w:tr w14:paraId="4682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683BCC28">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10</w:t>
            </w:r>
          </w:p>
        </w:tc>
        <w:tc>
          <w:tcPr>
            <w:tcW w:w="5880" w:type="dxa"/>
            <w:vAlign w:val="center"/>
          </w:tcPr>
          <w:p w14:paraId="5DDAE1CA">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关于印发《南昌县政府投资项目管理办法》的通知</w:t>
            </w:r>
          </w:p>
        </w:tc>
        <w:tc>
          <w:tcPr>
            <w:tcW w:w="3270" w:type="dxa"/>
            <w:vAlign w:val="center"/>
          </w:tcPr>
          <w:p w14:paraId="63D1CD9A">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南政规〔2024〕1号</w:t>
            </w:r>
          </w:p>
        </w:tc>
        <w:tc>
          <w:tcPr>
            <w:tcW w:w="2340" w:type="dxa"/>
            <w:vAlign w:val="center"/>
          </w:tcPr>
          <w:p w14:paraId="5E0F7180">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县发改委</w:t>
            </w:r>
          </w:p>
        </w:tc>
        <w:tc>
          <w:tcPr>
            <w:tcW w:w="1814" w:type="dxa"/>
            <w:vAlign w:val="center"/>
          </w:tcPr>
          <w:p w14:paraId="4586A275">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继续施行</w:t>
            </w:r>
          </w:p>
        </w:tc>
      </w:tr>
      <w:tr w14:paraId="6A96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561827E8">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11</w:t>
            </w:r>
          </w:p>
        </w:tc>
        <w:tc>
          <w:tcPr>
            <w:tcW w:w="5880" w:type="dxa"/>
            <w:vAlign w:val="center"/>
          </w:tcPr>
          <w:p w14:paraId="1CC26E98">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关于印发《南昌县（小蓝经开区）制造业数字化转型专项资金管理办法》的通知</w:t>
            </w:r>
          </w:p>
        </w:tc>
        <w:tc>
          <w:tcPr>
            <w:tcW w:w="3270" w:type="dxa"/>
            <w:vAlign w:val="center"/>
          </w:tcPr>
          <w:p w14:paraId="5B9EE790">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南政规〔2024〕2号</w:t>
            </w:r>
          </w:p>
        </w:tc>
        <w:tc>
          <w:tcPr>
            <w:tcW w:w="2340" w:type="dxa"/>
            <w:vAlign w:val="center"/>
          </w:tcPr>
          <w:p w14:paraId="28190E24">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县科工局</w:t>
            </w:r>
          </w:p>
        </w:tc>
        <w:tc>
          <w:tcPr>
            <w:tcW w:w="1814" w:type="dxa"/>
            <w:vAlign w:val="center"/>
          </w:tcPr>
          <w:p w14:paraId="09C1E2BE">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继续施行</w:t>
            </w:r>
          </w:p>
        </w:tc>
      </w:tr>
      <w:tr w14:paraId="6512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7366CF1E">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12</w:t>
            </w:r>
          </w:p>
        </w:tc>
        <w:tc>
          <w:tcPr>
            <w:tcW w:w="5880" w:type="dxa"/>
            <w:vAlign w:val="center"/>
          </w:tcPr>
          <w:p w14:paraId="7BFE4563">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关于在天然水域划定禁钓区的通告</w:t>
            </w:r>
          </w:p>
        </w:tc>
        <w:tc>
          <w:tcPr>
            <w:tcW w:w="3270" w:type="dxa"/>
            <w:vAlign w:val="center"/>
          </w:tcPr>
          <w:p w14:paraId="7DF01073">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南政规〔2025〕1号</w:t>
            </w:r>
          </w:p>
        </w:tc>
        <w:tc>
          <w:tcPr>
            <w:tcW w:w="2340" w:type="dxa"/>
            <w:vAlign w:val="center"/>
          </w:tcPr>
          <w:p w14:paraId="1F018572">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县农业农村局</w:t>
            </w:r>
          </w:p>
        </w:tc>
        <w:tc>
          <w:tcPr>
            <w:tcW w:w="1814" w:type="dxa"/>
            <w:vAlign w:val="center"/>
          </w:tcPr>
          <w:p w14:paraId="654B77D9">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继续施行</w:t>
            </w:r>
          </w:p>
        </w:tc>
      </w:tr>
      <w:tr w14:paraId="324F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74917F8E">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13</w:t>
            </w:r>
          </w:p>
          <w:p w14:paraId="0231A299">
            <w:pPr>
              <w:spacing w:line="560" w:lineRule="exact"/>
              <w:jc w:val="center"/>
              <w:rPr>
                <w:rFonts w:hint="eastAsia" w:ascii="仿宋_GB2312" w:hAnsi="仿宋_GB2312" w:eastAsia="仿宋_GB2312" w:cs="仿宋_GB2312"/>
                <w:sz w:val="28"/>
                <w:szCs w:val="28"/>
                <w:vertAlign w:val="baseline"/>
                <w:lang w:val="en-US" w:eastAsia="zh-CN"/>
              </w:rPr>
            </w:pPr>
          </w:p>
        </w:tc>
        <w:tc>
          <w:tcPr>
            <w:tcW w:w="5880" w:type="dxa"/>
            <w:vAlign w:val="center"/>
          </w:tcPr>
          <w:p w14:paraId="5B693E5C">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关于印发《南昌县公共租赁住房管理办法》的通知</w:t>
            </w:r>
          </w:p>
        </w:tc>
        <w:tc>
          <w:tcPr>
            <w:tcW w:w="3270" w:type="dxa"/>
            <w:vAlign w:val="center"/>
          </w:tcPr>
          <w:p w14:paraId="369FE99F">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南政规〔2025〕2号</w:t>
            </w:r>
          </w:p>
        </w:tc>
        <w:tc>
          <w:tcPr>
            <w:tcW w:w="2340" w:type="dxa"/>
            <w:vAlign w:val="center"/>
          </w:tcPr>
          <w:p w14:paraId="3CE3177B">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县住房保障中心</w:t>
            </w:r>
          </w:p>
        </w:tc>
        <w:tc>
          <w:tcPr>
            <w:tcW w:w="1814" w:type="dxa"/>
            <w:vAlign w:val="center"/>
          </w:tcPr>
          <w:p w14:paraId="170B547D">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继续施行</w:t>
            </w:r>
          </w:p>
        </w:tc>
      </w:tr>
      <w:tr w14:paraId="397F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1E3AED5A">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14</w:t>
            </w:r>
          </w:p>
        </w:tc>
        <w:tc>
          <w:tcPr>
            <w:tcW w:w="5880" w:type="dxa"/>
            <w:vAlign w:val="center"/>
          </w:tcPr>
          <w:p w14:paraId="5FD11C5F">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关于印发《南昌县被征地农民参加基本养老保险实施办法》的通知</w:t>
            </w:r>
          </w:p>
        </w:tc>
        <w:tc>
          <w:tcPr>
            <w:tcW w:w="3270" w:type="dxa"/>
            <w:vAlign w:val="center"/>
          </w:tcPr>
          <w:p w14:paraId="7414CA2B">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南政规〔2025〕3号</w:t>
            </w:r>
          </w:p>
        </w:tc>
        <w:tc>
          <w:tcPr>
            <w:tcW w:w="2340" w:type="dxa"/>
            <w:vAlign w:val="center"/>
          </w:tcPr>
          <w:p w14:paraId="02F831B3">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县人社局</w:t>
            </w:r>
          </w:p>
        </w:tc>
        <w:tc>
          <w:tcPr>
            <w:tcW w:w="1814" w:type="dxa"/>
            <w:vAlign w:val="center"/>
          </w:tcPr>
          <w:p w14:paraId="1D316833">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继续施行</w:t>
            </w:r>
          </w:p>
        </w:tc>
      </w:tr>
      <w:tr w14:paraId="0D67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1537D012">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15</w:t>
            </w:r>
          </w:p>
        </w:tc>
        <w:tc>
          <w:tcPr>
            <w:tcW w:w="5880" w:type="dxa"/>
            <w:vAlign w:val="center"/>
          </w:tcPr>
          <w:p w14:paraId="5264F038">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关于印发《南昌县（小蓝经开区）促进商贸经济提质增量的若干政策措施（试行）》的通知</w:t>
            </w:r>
          </w:p>
        </w:tc>
        <w:tc>
          <w:tcPr>
            <w:tcW w:w="3270" w:type="dxa"/>
            <w:vAlign w:val="center"/>
          </w:tcPr>
          <w:p w14:paraId="43835C71">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南政办规〔2025〕1号</w:t>
            </w:r>
          </w:p>
        </w:tc>
        <w:tc>
          <w:tcPr>
            <w:tcW w:w="2340" w:type="dxa"/>
            <w:vAlign w:val="center"/>
          </w:tcPr>
          <w:p w14:paraId="13CD101D">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县商务局</w:t>
            </w:r>
          </w:p>
        </w:tc>
        <w:tc>
          <w:tcPr>
            <w:tcW w:w="1814" w:type="dxa"/>
            <w:vAlign w:val="center"/>
          </w:tcPr>
          <w:p w14:paraId="6160E2BF">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继续施行</w:t>
            </w:r>
          </w:p>
        </w:tc>
      </w:tr>
      <w:tr w14:paraId="0782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vAlign w:val="center"/>
          </w:tcPr>
          <w:p w14:paraId="730D570B">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16</w:t>
            </w:r>
          </w:p>
        </w:tc>
        <w:tc>
          <w:tcPr>
            <w:tcW w:w="5880" w:type="dxa"/>
            <w:vAlign w:val="center"/>
          </w:tcPr>
          <w:p w14:paraId="79F85775">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关于印发《南昌县残疾儿童康复救助制度实施细则（试行）》</w:t>
            </w:r>
            <w:bookmarkStart w:id="0" w:name="_GoBack"/>
            <w:bookmarkEnd w:id="0"/>
            <w:r>
              <w:rPr>
                <w:rFonts w:hint="eastAsia" w:ascii="仿宋_GB2312" w:hAnsi="仿宋_GB2312" w:eastAsia="仿宋_GB2312" w:cs="仿宋_GB2312"/>
                <w:sz w:val="28"/>
                <w:szCs w:val="28"/>
                <w:vertAlign w:val="baseline"/>
                <w:lang w:val="en-US" w:eastAsia="zh-CN"/>
              </w:rPr>
              <w:t>的通知</w:t>
            </w:r>
          </w:p>
        </w:tc>
        <w:tc>
          <w:tcPr>
            <w:tcW w:w="3270" w:type="dxa"/>
            <w:vAlign w:val="center"/>
          </w:tcPr>
          <w:p w14:paraId="47CF7392">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南政规〔2025〕4号</w:t>
            </w:r>
          </w:p>
        </w:tc>
        <w:tc>
          <w:tcPr>
            <w:tcW w:w="2340" w:type="dxa"/>
            <w:vAlign w:val="center"/>
          </w:tcPr>
          <w:p w14:paraId="1E2F645A">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县残联</w:t>
            </w:r>
          </w:p>
        </w:tc>
        <w:tc>
          <w:tcPr>
            <w:tcW w:w="1814" w:type="dxa"/>
            <w:vAlign w:val="center"/>
          </w:tcPr>
          <w:p w14:paraId="0D8A9FD1">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继续施行</w:t>
            </w:r>
          </w:p>
        </w:tc>
      </w:tr>
    </w:tbl>
    <w:p w14:paraId="51A70AE1">
      <w:pPr>
        <w:numPr>
          <w:ilvl w:val="0"/>
          <w:numId w:val="1"/>
        </w:numPr>
        <w:spacing w:line="560" w:lineRule="exact"/>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废止</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w:t>
      </w:r>
      <w:r>
        <w:rPr>
          <w:rFonts w:hint="eastAsia" w:ascii="黑体" w:hAnsi="黑体" w:eastAsia="黑体" w:cs="黑体"/>
          <w:color w:val="auto"/>
          <w:sz w:val="30"/>
          <w:szCs w:val="30"/>
          <w:lang w:val="en-US" w:eastAsia="zh-CN"/>
        </w:rPr>
        <w:t>2</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5880"/>
        <w:gridCol w:w="3240"/>
        <w:gridCol w:w="2385"/>
        <w:gridCol w:w="1784"/>
      </w:tblGrid>
      <w:tr w14:paraId="3200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885" w:type="dxa"/>
            <w:vAlign w:val="center"/>
          </w:tcPr>
          <w:p w14:paraId="1611E333">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880" w:type="dxa"/>
            <w:vAlign w:val="center"/>
          </w:tcPr>
          <w:p w14:paraId="41EC974C">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40" w:type="dxa"/>
            <w:vAlign w:val="center"/>
          </w:tcPr>
          <w:p w14:paraId="1A3EC332">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385" w:type="dxa"/>
            <w:vAlign w:val="center"/>
          </w:tcPr>
          <w:p w14:paraId="12E616E2">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784" w:type="dxa"/>
            <w:vAlign w:val="center"/>
          </w:tcPr>
          <w:p w14:paraId="0E34585E">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14:paraId="137F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Align w:val="center"/>
          </w:tcPr>
          <w:p w14:paraId="5E9F36F5">
            <w:pPr>
              <w:pStyle w:val="6"/>
              <w:numPr>
                <w:ilvl w:val="0"/>
                <w:numId w:val="0"/>
              </w:numPr>
              <w:jc w:val="center"/>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1</w:t>
            </w:r>
          </w:p>
        </w:tc>
        <w:tc>
          <w:tcPr>
            <w:tcW w:w="5880" w:type="dxa"/>
            <w:vAlign w:val="center"/>
          </w:tcPr>
          <w:p w14:paraId="13071E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eastAsia="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关于印发《南昌县公租房实物配租管理办法》的通知</w:t>
            </w:r>
          </w:p>
        </w:tc>
        <w:tc>
          <w:tcPr>
            <w:tcW w:w="3240" w:type="dxa"/>
            <w:vAlign w:val="center"/>
          </w:tcPr>
          <w:p w14:paraId="4B865949">
            <w:pPr>
              <w:spacing w:line="560" w:lineRule="exact"/>
              <w:jc w:val="center"/>
              <w:rPr>
                <w:rFonts w:hint="default"/>
                <w:sz w:val="28"/>
                <w:szCs w:val="28"/>
                <w:vertAlign w:val="baseline"/>
                <w:lang w:val="en-US"/>
              </w:rPr>
            </w:pPr>
            <w:r>
              <w:rPr>
                <w:rFonts w:hint="eastAsia" w:ascii="仿宋_GB2312" w:hAnsi="仿宋_GB2312" w:eastAsia="仿宋_GB2312" w:cs="仿宋_GB2312"/>
                <w:i w:val="0"/>
                <w:iCs w:val="0"/>
                <w:color w:val="000000"/>
                <w:kern w:val="0"/>
                <w:sz w:val="28"/>
                <w:szCs w:val="28"/>
                <w:u w:val="none"/>
                <w:lang w:val="en-US" w:eastAsia="zh-CN" w:bidi="ar"/>
              </w:rPr>
              <w:t>南政办发〔2022〕23号</w:t>
            </w:r>
          </w:p>
        </w:tc>
        <w:tc>
          <w:tcPr>
            <w:tcW w:w="2385" w:type="dxa"/>
            <w:vAlign w:val="center"/>
          </w:tcPr>
          <w:p w14:paraId="3C4DEB9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eastAsia="仿宋_GB2312"/>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784" w:type="dxa"/>
            <w:vAlign w:val="center"/>
          </w:tcPr>
          <w:p w14:paraId="40FC3CB9">
            <w:pPr>
              <w:pStyle w:val="6"/>
              <w:numPr>
                <w:ilvl w:val="0"/>
                <w:numId w:val="0"/>
              </w:numPr>
              <w:jc w:val="center"/>
              <w:rPr>
                <w:rFonts w:hint="default" w:eastAsia="仿宋_GB2312"/>
                <w:sz w:val="28"/>
                <w:szCs w:val="28"/>
                <w:vertAlign w:val="baseline"/>
                <w:lang w:val="en-US" w:eastAsia="zh-CN"/>
              </w:rPr>
            </w:pPr>
            <w:r>
              <w:rPr>
                <w:rFonts w:hint="eastAsia"/>
                <w:sz w:val="28"/>
                <w:szCs w:val="28"/>
                <w:vertAlign w:val="baseline"/>
                <w:lang w:val="en-US" w:eastAsia="zh-CN"/>
              </w:rPr>
              <w:t>废止</w:t>
            </w:r>
          </w:p>
        </w:tc>
      </w:tr>
      <w:tr w14:paraId="2D75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Align w:val="center"/>
          </w:tcPr>
          <w:p w14:paraId="0FAEADB7">
            <w:pPr>
              <w:pStyle w:val="6"/>
              <w:numPr>
                <w:ilvl w:val="0"/>
                <w:numId w:val="0"/>
              </w:numPr>
              <w:jc w:val="center"/>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2</w:t>
            </w:r>
          </w:p>
        </w:tc>
        <w:tc>
          <w:tcPr>
            <w:tcW w:w="5880" w:type="dxa"/>
            <w:vAlign w:val="center"/>
          </w:tcPr>
          <w:p w14:paraId="3821ED50">
            <w:pPr>
              <w:spacing w:line="560" w:lineRule="exac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vertAlign w:val="baseline"/>
                <w:lang w:val="en-US" w:eastAsia="zh-CN"/>
              </w:rPr>
              <w:t>关于印发《南昌县（小蓝经开区）乡村振兴产业高质量发展扶持办法》的通知</w:t>
            </w:r>
          </w:p>
        </w:tc>
        <w:tc>
          <w:tcPr>
            <w:tcW w:w="3240" w:type="dxa"/>
            <w:vAlign w:val="center"/>
          </w:tcPr>
          <w:p w14:paraId="12F463B7">
            <w:pPr>
              <w:spacing w:line="560" w:lineRule="exac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南政办规〔2023〕1号</w:t>
            </w:r>
          </w:p>
        </w:tc>
        <w:tc>
          <w:tcPr>
            <w:tcW w:w="2385" w:type="dxa"/>
            <w:vAlign w:val="center"/>
          </w:tcPr>
          <w:p w14:paraId="041AD4D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784" w:type="dxa"/>
            <w:vAlign w:val="center"/>
          </w:tcPr>
          <w:p w14:paraId="1FE34C6E">
            <w:pPr>
              <w:pStyle w:val="6"/>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废止</w:t>
            </w:r>
          </w:p>
        </w:tc>
      </w:tr>
    </w:tbl>
    <w:p w14:paraId="2D02F494">
      <w:pPr>
        <w:numPr>
          <w:ilvl w:val="0"/>
          <w:numId w:val="1"/>
        </w:numPr>
        <w:spacing w:line="560" w:lineRule="exact"/>
        <w:ind w:left="0" w:leftChars="0" w:firstLine="0" w:firstLineChars="0"/>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失效</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w:t>
      </w:r>
      <w:r>
        <w:rPr>
          <w:rFonts w:hint="eastAsia" w:ascii="黑体" w:hAnsi="黑体" w:eastAsia="黑体" w:cs="黑体"/>
          <w:color w:val="auto"/>
          <w:sz w:val="30"/>
          <w:szCs w:val="30"/>
          <w:lang w:val="en-US" w:eastAsia="zh-CN"/>
        </w:rPr>
        <w:t>1</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5925"/>
        <w:gridCol w:w="3225"/>
        <w:gridCol w:w="2400"/>
        <w:gridCol w:w="1754"/>
      </w:tblGrid>
      <w:tr w14:paraId="200B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70" w:type="dxa"/>
            <w:vAlign w:val="center"/>
          </w:tcPr>
          <w:p w14:paraId="5E18F5F3">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925" w:type="dxa"/>
            <w:vAlign w:val="center"/>
          </w:tcPr>
          <w:p w14:paraId="2737CF1B">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25" w:type="dxa"/>
            <w:vAlign w:val="center"/>
          </w:tcPr>
          <w:p w14:paraId="5CF73AFD">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400" w:type="dxa"/>
            <w:vAlign w:val="center"/>
          </w:tcPr>
          <w:p w14:paraId="4FB509D4">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754" w:type="dxa"/>
            <w:vAlign w:val="center"/>
          </w:tcPr>
          <w:p w14:paraId="7F67C45D">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14:paraId="2DD5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0C174803">
            <w:pPr>
              <w:pStyle w:val="6"/>
              <w:numPr>
                <w:ilvl w:val="0"/>
                <w:numId w:val="0"/>
              </w:numPr>
              <w:jc w:val="center"/>
              <w:rPr>
                <w:rFonts w:hint="default" w:eastAsia="仿宋_GB2312"/>
                <w:vertAlign w:val="baseline"/>
                <w:lang w:val="en-US" w:eastAsia="zh-CN"/>
              </w:rPr>
            </w:pPr>
            <w:r>
              <w:rPr>
                <w:rFonts w:hint="eastAsia"/>
                <w:vertAlign w:val="baseline"/>
                <w:lang w:val="en-US" w:eastAsia="zh-CN"/>
              </w:rPr>
              <w:t>无</w:t>
            </w:r>
          </w:p>
        </w:tc>
        <w:tc>
          <w:tcPr>
            <w:tcW w:w="5925" w:type="dxa"/>
          </w:tcPr>
          <w:p w14:paraId="345520F9">
            <w:pPr>
              <w:pStyle w:val="6"/>
              <w:numPr>
                <w:ilvl w:val="0"/>
                <w:numId w:val="0"/>
              </w:numPr>
              <w:jc w:val="center"/>
              <w:rPr>
                <w:rFonts w:hint="eastAsia"/>
                <w:vertAlign w:val="baseline"/>
              </w:rPr>
            </w:pPr>
          </w:p>
        </w:tc>
        <w:tc>
          <w:tcPr>
            <w:tcW w:w="3225" w:type="dxa"/>
          </w:tcPr>
          <w:p w14:paraId="728ED582">
            <w:pPr>
              <w:pStyle w:val="6"/>
              <w:numPr>
                <w:ilvl w:val="0"/>
                <w:numId w:val="0"/>
              </w:numPr>
              <w:jc w:val="center"/>
              <w:rPr>
                <w:rFonts w:hint="eastAsia"/>
                <w:vertAlign w:val="baseline"/>
              </w:rPr>
            </w:pPr>
          </w:p>
        </w:tc>
        <w:tc>
          <w:tcPr>
            <w:tcW w:w="2400" w:type="dxa"/>
          </w:tcPr>
          <w:p w14:paraId="70800B0A">
            <w:pPr>
              <w:pStyle w:val="6"/>
              <w:numPr>
                <w:ilvl w:val="0"/>
                <w:numId w:val="0"/>
              </w:numPr>
              <w:jc w:val="center"/>
              <w:rPr>
                <w:rFonts w:hint="eastAsia"/>
                <w:vertAlign w:val="baseline"/>
              </w:rPr>
            </w:pPr>
          </w:p>
        </w:tc>
        <w:tc>
          <w:tcPr>
            <w:tcW w:w="1754" w:type="dxa"/>
          </w:tcPr>
          <w:p w14:paraId="1FA2F697">
            <w:pPr>
              <w:pStyle w:val="6"/>
              <w:numPr>
                <w:ilvl w:val="0"/>
                <w:numId w:val="0"/>
              </w:numPr>
              <w:jc w:val="center"/>
              <w:rPr>
                <w:rFonts w:hint="eastAsia" w:eastAsia="仿宋_GB2312"/>
                <w:vertAlign w:val="baseline"/>
                <w:lang w:val="en-US" w:eastAsia="zh-CN"/>
              </w:rPr>
            </w:pPr>
          </w:p>
        </w:tc>
      </w:tr>
    </w:tbl>
    <w:p w14:paraId="37FD8961">
      <w:pPr>
        <w:numPr>
          <w:ilvl w:val="0"/>
          <w:numId w:val="1"/>
        </w:numPr>
        <w:spacing w:line="560" w:lineRule="exact"/>
        <w:ind w:left="0" w:leftChars="0" w:firstLine="0" w:firstLineChars="0"/>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修改</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w:t>
      </w:r>
      <w:r>
        <w:rPr>
          <w:rFonts w:hint="eastAsia" w:ascii="黑体" w:hAnsi="黑体" w:eastAsia="黑体" w:cs="黑体"/>
          <w:color w:val="auto"/>
          <w:sz w:val="30"/>
          <w:szCs w:val="30"/>
          <w:lang w:val="en-US" w:eastAsia="zh-CN"/>
        </w:rPr>
        <w:t>0</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5925"/>
        <w:gridCol w:w="3225"/>
        <w:gridCol w:w="2400"/>
        <w:gridCol w:w="1754"/>
      </w:tblGrid>
      <w:tr w14:paraId="64A1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trPr>
        <w:tc>
          <w:tcPr>
            <w:tcW w:w="870" w:type="dxa"/>
            <w:vAlign w:val="center"/>
          </w:tcPr>
          <w:p w14:paraId="1E6A1058">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925" w:type="dxa"/>
            <w:vAlign w:val="center"/>
          </w:tcPr>
          <w:p w14:paraId="1E43B12B">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25" w:type="dxa"/>
            <w:vAlign w:val="center"/>
          </w:tcPr>
          <w:p w14:paraId="6E082C60">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400" w:type="dxa"/>
            <w:vAlign w:val="center"/>
          </w:tcPr>
          <w:p w14:paraId="48485ADB">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754" w:type="dxa"/>
            <w:vAlign w:val="center"/>
          </w:tcPr>
          <w:p w14:paraId="1F754347">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14:paraId="4860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5257693A">
            <w:pPr>
              <w:pStyle w:val="6"/>
              <w:numPr>
                <w:ilvl w:val="0"/>
                <w:numId w:val="0"/>
              </w:numPr>
              <w:jc w:val="center"/>
              <w:rPr>
                <w:rFonts w:hint="default" w:eastAsia="仿宋_GB2312"/>
                <w:vertAlign w:val="baseline"/>
                <w:lang w:val="en-US" w:eastAsia="zh-CN"/>
              </w:rPr>
            </w:pPr>
            <w:r>
              <w:rPr>
                <w:rFonts w:hint="eastAsia"/>
                <w:vertAlign w:val="baseline"/>
                <w:lang w:val="en-US" w:eastAsia="zh-CN"/>
              </w:rPr>
              <w:t>无</w:t>
            </w:r>
          </w:p>
        </w:tc>
        <w:tc>
          <w:tcPr>
            <w:tcW w:w="5925" w:type="dxa"/>
          </w:tcPr>
          <w:p w14:paraId="40A7BAF8">
            <w:pPr>
              <w:pStyle w:val="6"/>
              <w:numPr>
                <w:ilvl w:val="0"/>
                <w:numId w:val="0"/>
              </w:numPr>
              <w:jc w:val="center"/>
              <w:rPr>
                <w:rFonts w:hint="eastAsia"/>
                <w:vertAlign w:val="baseline"/>
              </w:rPr>
            </w:pPr>
          </w:p>
        </w:tc>
        <w:tc>
          <w:tcPr>
            <w:tcW w:w="3225" w:type="dxa"/>
          </w:tcPr>
          <w:p w14:paraId="0D8397DB">
            <w:pPr>
              <w:pStyle w:val="6"/>
              <w:numPr>
                <w:ilvl w:val="0"/>
                <w:numId w:val="0"/>
              </w:numPr>
              <w:jc w:val="center"/>
              <w:rPr>
                <w:rFonts w:hint="eastAsia"/>
                <w:vertAlign w:val="baseline"/>
              </w:rPr>
            </w:pPr>
          </w:p>
        </w:tc>
        <w:tc>
          <w:tcPr>
            <w:tcW w:w="2400" w:type="dxa"/>
          </w:tcPr>
          <w:p w14:paraId="5E7F5CAA">
            <w:pPr>
              <w:pStyle w:val="6"/>
              <w:numPr>
                <w:ilvl w:val="0"/>
                <w:numId w:val="0"/>
              </w:numPr>
              <w:jc w:val="center"/>
              <w:rPr>
                <w:rFonts w:hint="eastAsia"/>
                <w:vertAlign w:val="baseline"/>
              </w:rPr>
            </w:pPr>
          </w:p>
        </w:tc>
        <w:tc>
          <w:tcPr>
            <w:tcW w:w="1754" w:type="dxa"/>
          </w:tcPr>
          <w:p w14:paraId="62D2D94E">
            <w:pPr>
              <w:pStyle w:val="6"/>
              <w:numPr>
                <w:ilvl w:val="0"/>
                <w:numId w:val="0"/>
              </w:numPr>
              <w:jc w:val="center"/>
              <w:rPr>
                <w:rFonts w:hint="eastAsia" w:eastAsia="仿宋_GB2312"/>
                <w:vertAlign w:val="baseline"/>
                <w:lang w:val="en-US" w:eastAsia="zh-CN"/>
              </w:rPr>
            </w:pPr>
          </w:p>
        </w:tc>
      </w:tr>
    </w:tbl>
    <w:p w14:paraId="602CE5B6">
      <w:pPr>
        <w:pStyle w:val="6"/>
        <w:rPr>
          <w:rFonts w:hint="eastAsia"/>
        </w:rPr>
      </w:pPr>
    </w:p>
    <w:p w14:paraId="7E15D072"/>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D9B505"/>
    <w:multiLevelType w:val="singleLevel"/>
    <w:tmpl w:val="36D9B5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hOGY2YTgxZDE0M2ZiYTJlNDI4ZGViMzM5MGZiZGQifQ=="/>
  </w:docVars>
  <w:rsids>
    <w:rsidRoot w:val="6D8C1A99"/>
    <w:rsid w:val="02994018"/>
    <w:rsid w:val="06A0349B"/>
    <w:rsid w:val="09607A8C"/>
    <w:rsid w:val="0B882E7B"/>
    <w:rsid w:val="101D276A"/>
    <w:rsid w:val="13C0517C"/>
    <w:rsid w:val="1A2A0C9F"/>
    <w:rsid w:val="1C9410AC"/>
    <w:rsid w:val="1DDF4451"/>
    <w:rsid w:val="2C674DE3"/>
    <w:rsid w:val="34D643A8"/>
    <w:rsid w:val="362E090B"/>
    <w:rsid w:val="371A67CE"/>
    <w:rsid w:val="3821593A"/>
    <w:rsid w:val="494D2A33"/>
    <w:rsid w:val="4CC32A63"/>
    <w:rsid w:val="4D4F0235"/>
    <w:rsid w:val="4EEC05F8"/>
    <w:rsid w:val="4F9A0054"/>
    <w:rsid w:val="578B02ED"/>
    <w:rsid w:val="5AEB5C08"/>
    <w:rsid w:val="5D1C654D"/>
    <w:rsid w:val="60B91557"/>
    <w:rsid w:val="6137785B"/>
    <w:rsid w:val="6A0C16F7"/>
    <w:rsid w:val="6D5E495F"/>
    <w:rsid w:val="6D8C1A99"/>
    <w:rsid w:val="74001E13"/>
    <w:rsid w:val="79523975"/>
    <w:rsid w:val="7C484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First Indent 2"/>
    <w:basedOn w:val="1"/>
    <w:qFormat/>
    <w:uiPriority w:val="0"/>
    <w:pPr>
      <w:ind w:left="420" w:leftChars="200" w:firstLine="21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BodyText"/>
    <w:next w:val="1"/>
    <w:qFormat/>
    <w:uiPriority w:val="0"/>
    <w:pPr>
      <w:widowControl w:val="0"/>
      <w:spacing w:after="120"/>
      <w:jc w:val="both"/>
    </w:pPr>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706</Words>
  <Characters>767</Characters>
  <Lines>0</Lines>
  <Paragraphs>0</Paragraphs>
  <TotalTime>0</TotalTime>
  <ScaleCrop>false</ScaleCrop>
  <LinksUpToDate>false</LinksUpToDate>
  <CharactersWithSpaces>779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2022-11-10T08:00:00Z</dcterms:created>
  <dc:creator>oiytbfrujvdrb</dc:creator>
  <cp:lastModifiedBy>是妮妮啦</cp:lastModifiedBy>
  <dcterms:modified xsi:type="dcterms:W3CDTF">2026-01-12T03:09:59Z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4C43B89FB15746C5B4F4D39CDAC56F96</vt:lpwstr>
  </property>
  <property fmtid="{D5CDD505-2E9C-101B-9397-08002B2CF9AE}" pid="4" name="KSOTemplateDocerSaveRecord">
    <vt:lpwstr>eyJoZGlkIjoiYjQ5NWNiYmFmYTE4ODdlYTYyYjI5ZGE3OTA2OTdhNTciLCJ1c2VySWQiOiI1NDU5MzcxNzgifQ==</vt:lpwstr>
  </property>
</Properties>
</file>