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E2E45">
      <w:pPr>
        <w:spacing w:line="560" w:lineRule="exact"/>
        <w:rPr>
          <w:rFonts w:ascii="黑体" w:hAnsi="黑体" w:eastAsia="黑体" w:cs="仿宋_GB2312"/>
          <w:color w:val="auto"/>
          <w:sz w:val="30"/>
          <w:szCs w:val="30"/>
        </w:rPr>
      </w:pPr>
      <w:r>
        <w:rPr>
          <w:rFonts w:hint="eastAsia" w:ascii="黑体" w:hAnsi="黑体" w:eastAsia="黑体" w:cs="仿宋_GB2312"/>
          <w:color w:val="auto"/>
          <w:sz w:val="30"/>
          <w:szCs w:val="30"/>
        </w:rPr>
        <w:t>附件</w:t>
      </w:r>
    </w:p>
    <w:p w14:paraId="2168B972">
      <w:pPr>
        <w:spacing w:line="560" w:lineRule="exact"/>
        <w:ind w:firstLine="64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w:t>
      </w:r>
      <w:r>
        <w:rPr>
          <w:rFonts w:hint="eastAsia" w:ascii="方正小标宋简体" w:hAnsi="方正小标宋简体" w:eastAsia="方正小标宋简体" w:cs="方正小标宋简体"/>
          <w:color w:val="auto"/>
          <w:sz w:val="44"/>
          <w:szCs w:val="44"/>
          <w:lang w:val="en-US" w:eastAsia="zh-CN"/>
        </w:rPr>
        <w:t>23</w:t>
      </w:r>
      <w:r>
        <w:rPr>
          <w:rFonts w:hint="eastAsia" w:ascii="方正小标宋简体" w:hAnsi="方正小标宋简体" w:eastAsia="方正小标宋简体" w:cs="方正小标宋简体"/>
          <w:color w:val="auto"/>
          <w:sz w:val="44"/>
          <w:szCs w:val="44"/>
        </w:rPr>
        <w:t>年度</w:t>
      </w:r>
      <w:r>
        <w:rPr>
          <w:rFonts w:hint="eastAsia" w:ascii="方正小标宋简体" w:hAnsi="方正小标宋简体" w:eastAsia="方正小标宋简体" w:cs="方正小标宋简体"/>
          <w:color w:val="auto"/>
          <w:sz w:val="44"/>
          <w:szCs w:val="44"/>
          <w:lang w:val="en-US" w:eastAsia="zh-CN"/>
        </w:rPr>
        <w:t>南昌</w:t>
      </w:r>
      <w:r>
        <w:rPr>
          <w:rFonts w:hint="eastAsia" w:ascii="方正小标宋简体" w:hAnsi="方正小标宋简体" w:eastAsia="方正小标宋简体" w:cs="方正小标宋简体"/>
          <w:color w:val="auto"/>
          <w:sz w:val="44"/>
          <w:szCs w:val="44"/>
        </w:rPr>
        <w:t>县</w:t>
      </w:r>
      <w:r>
        <w:rPr>
          <w:rFonts w:hint="eastAsia" w:ascii="方正小标宋简体" w:hAnsi="方正小标宋简体" w:eastAsia="方正小标宋简体" w:cs="方正小标宋简体"/>
          <w:color w:val="auto"/>
          <w:sz w:val="44"/>
          <w:szCs w:val="44"/>
          <w:lang w:val="en-US" w:eastAsia="zh-CN"/>
        </w:rPr>
        <w:t>行政</w:t>
      </w:r>
      <w:r>
        <w:rPr>
          <w:rFonts w:hint="eastAsia" w:ascii="方正小标宋简体" w:hAnsi="方正小标宋简体" w:eastAsia="方正小标宋简体" w:cs="方正小标宋简体"/>
          <w:color w:val="auto"/>
          <w:sz w:val="44"/>
          <w:szCs w:val="44"/>
        </w:rPr>
        <w:t>规范性文件清理结果表</w:t>
      </w:r>
    </w:p>
    <w:p w14:paraId="308DACDC">
      <w:pPr>
        <w:spacing w:line="480" w:lineRule="auto"/>
        <w:rPr>
          <w:rFonts w:hint="eastAsia"/>
        </w:rPr>
      </w:pPr>
      <w:r>
        <w:rPr>
          <w:rFonts w:hint="eastAsia" w:ascii="黑体" w:hAnsi="黑体" w:eastAsia="黑体" w:cs="黑体"/>
          <w:color w:val="auto"/>
          <w:sz w:val="30"/>
          <w:szCs w:val="30"/>
        </w:rPr>
        <w:t>一、继续施行的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（共</w:t>
      </w:r>
      <w:r>
        <w:rPr>
          <w:rFonts w:hint="eastAsia" w:ascii="黑体" w:hAnsi="黑体" w:eastAsia="黑体" w:cs="黑体"/>
          <w:color w:val="auto"/>
          <w:sz w:val="30"/>
          <w:szCs w:val="30"/>
          <w:lang w:val="en-US" w:eastAsia="zh-CN"/>
        </w:rPr>
        <w:t>13</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5880"/>
        <w:gridCol w:w="3270"/>
        <w:gridCol w:w="2340"/>
        <w:gridCol w:w="1814"/>
      </w:tblGrid>
      <w:tr w14:paraId="00D9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70" w:type="dxa"/>
            <w:vAlign w:val="center"/>
          </w:tcPr>
          <w:p w14:paraId="0099CAC0">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880" w:type="dxa"/>
            <w:vAlign w:val="center"/>
          </w:tcPr>
          <w:p w14:paraId="69F6E357">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70" w:type="dxa"/>
            <w:vAlign w:val="center"/>
          </w:tcPr>
          <w:p w14:paraId="1B3C7CC9">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340" w:type="dxa"/>
            <w:vAlign w:val="center"/>
          </w:tcPr>
          <w:p w14:paraId="49FE4052">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814" w:type="dxa"/>
            <w:vAlign w:val="center"/>
          </w:tcPr>
          <w:p w14:paraId="06475DF5">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14:paraId="586F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16493ACA">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hAnsi="Calibri" w:eastAsia="仿宋_GB2312" w:cs="仿宋_GB2312"/>
                <w:color w:val="auto"/>
                <w:kern w:val="2"/>
                <w:sz w:val="28"/>
                <w:szCs w:val="28"/>
                <w:lang w:val="en-US" w:eastAsia="zh-CN" w:bidi="ar-SA"/>
              </w:rPr>
              <w:t>1</w:t>
            </w:r>
          </w:p>
        </w:tc>
        <w:tc>
          <w:tcPr>
            <w:tcW w:w="5880" w:type="dxa"/>
            <w:vAlign w:val="center"/>
          </w:tcPr>
          <w:p w14:paraId="08A99A9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关于印发《南昌县重点水域退捕渔民养老保障实施意见》及《南昌县重点水域退捕渔民转产就业实施意见》的通知</w:t>
            </w:r>
          </w:p>
        </w:tc>
        <w:tc>
          <w:tcPr>
            <w:tcW w:w="3270" w:type="dxa"/>
          </w:tcPr>
          <w:p w14:paraId="2D4A53AE">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南政办发〔2020〕12号</w:t>
            </w:r>
          </w:p>
        </w:tc>
        <w:tc>
          <w:tcPr>
            <w:tcW w:w="2340" w:type="dxa"/>
            <w:vAlign w:val="center"/>
          </w:tcPr>
          <w:p w14:paraId="582FA5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vAlign w:val="center"/>
          </w:tcPr>
          <w:p w14:paraId="12A37AB8">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继续施行</w:t>
            </w:r>
          </w:p>
        </w:tc>
      </w:tr>
      <w:tr w14:paraId="374C9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32BE65A5">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2</w:t>
            </w:r>
          </w:p>
        </w:tc>
        <w:tc>
          <w:tcPr>
            <w:tcW w:w="5880" w:type="dxa"/>
            <w:vAlign w:val="center"/>
          </w:tcPr>
          <w:p w14:paraId="2086B0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关于印发《南昌县农村集体资金资产资源管理办法》的通知</w:t>
            </w:r>
          </w:p>
        </w:tc>
        <w:tc>
          <w:tcPr>
            <w:tcW w:w="3270" w:type="dxa"/>
          </w:tcPr>
          <w:p w14:paraId="5EBD7C42">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南政办发[2020]51号</w:t>
            </w:r>
          </w:p>
        </w:tc>
        <w:tc>
          <w:tcPr>
            <w:tcW w:w="2340" w:type="dxa"/>
            <w:vAlign w:val="center"/>
          </w:tcPr>
          <w:p w14:paraId="696508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tcPr>
          <w:p w14:paraId="00DB6184">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14:paraId="0583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2FA233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5880" w:type="dxa"/>
            <w:vAlign w:val="center"/>
          </w:tcPr>
          <w:p w14:paraId="286A11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关于印发《南昌县被征地农民参加养老保险实施办法（修订）》的通知</w:t>
            </w:r>
          </w:p>
        </w:tc>
        <w:tc>
          <w:tcPr>
            <w:tcW w:w="3270" w:type="dxa"/>
          </w:tcPr>
          <w:p w14:paraId="222761E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南政发〔2021〕8号</w:t>
            </w:r>
          </w:p>
        </w:tc>
        <w:tc>
          <w:tcPr>
            <w:tcW w:w="2340" w:type="dxa"/>
            <w:vAlign w:val="center"/>
          </w:tcPr>
          <w:p w14:paraId="07C6C95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县人社局</w:t>
            </w:r>
          </w:p>
        </w:tc>
        <w:tc>
          <w:tcPr>
            <w:tcW w:w="1814" w:type="dxa"/>
          </w:tcPr>
          <w:p w14:paraId="14622B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继续施行</w:t>
            </w:r>
          </w:p>
        </w:tc>
      </w:tr>
      <w:tr w14:paraId="64BE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783F6E43">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4</w:t>
            </w:r>
          </w:p>
        </w:tc>
        <w:tc>
          <w:tcPr>
            <w:tcW w:w="5880" w:type="dxa"/>
            <w:vAlign w:val="center"/>
          </w:tcPr>
          <w:p w14:paraId="773299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关于调整南昌县养犬重点管理区的通告</w:t>
            </w:r>
          </w:p>
        </w:tc>
        <w:tc>
          <w:tcPr>
            <w:tcW w:w="3270" w:type="dxa"/>
          </w:tcPr>
          <w:p w14:paraId="7FB94181">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南政字〔2021〕129号</w:t>
            </w:r>
          </w:p>
        </w:tc>
        <w:tc>
          <w:tcPr>
            <w:tcW w:w="2340" w:type="dxa"/>
            <w:vAlign w:val="center"/>
          </w:tcPr>
          <w:p w14:paraId="561FE23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县公安局</w:t>
            </w:r>
          </w:p>
        </w:tc>
        <w:tc>
          <w:tcPr>
            <w:tcW w:w="1814" w:type="dxa"/>
          </w:tcPr>
          <w:p w14:paraId="71329274">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14:paraId="7C6E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4368BEA7">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5</w:t>
            </w:r>
          </w:p>
        </w:tc>
        <w:tc>
          <w:tcPr>
            <w:tcW w:w="5880" w:type="dxa"/>
            <w:vAlign w:val="center"/>
          </w:tcPr>
          <w:p w14:paraId="517DA05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关于扩大禁止燃放烟花爆竹区域的通告</w:t>
            </w:r>
          </w:p>
        </w:tc>
        <w:tc>
          <w:tcPr>
            <w:tcW w:w="3270" w:type="dxa"/>
          </w:tcPr>
          <w:p w14:paraId="4E1CA29E">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南政字〔2021〕130号</w:t>
            </w:r>
          </w:p>
        </w:tc>
        <w:tc>
          <w:tcPr>
            <w:tcW w:w="2340" w:type="dxa"/>
            <w:vAlign w:val="center"/>
          </w:tcPr>
          <w:p w14:paraId="0758D7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县公安局</w:t>
            </w:r>
          </w:p>
        </w:tc>
        <w:tc>
          <w:tcPr>
            <w:tcW w:w="1814" w:type="dxa"/>
          </w:tcPr>
          <w:p w14:paraId="49542CAF">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14:paraId="18F8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00B9BC81">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6</w:t>
            </w:r>
          </w:p>
        </w:tc>
        <w:tc>
          <w:tcPr>
            <w:tcW w:w="5880" w:type="dxa"/>
            <w:vAlign w:val="center"/>
          </w:tcPr>
          <w:p w14:paraId="006C421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关于印发《南昌县公租房实物配租管理办法》的通知</w:t>
            </w:r>
          </w:p>
        </w:tc>
        <w:tc>
          <w:tcPr>
            <w:tcW w:w="3270" w:type="dxa"/>
          </w:tcPr>
          <w:p w14:paraId="65566003">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南政办发〔2022〕23号</w:t>
            </w:r>
          </w:p>
        </w:tc>
        <w:tc>
          <w:tcPr>
            <w:tcW w:w="2340" w:type="dxa"/>
            <w:vAlign w:val="center"/>
          </w:tcPr>
          <w:p w14:paraId="291B83A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tcPr>
          <w:p w14:paraId="3C1DA800">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14:paraId="51A9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37D95539">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7</w:t>
            </w:r>
          </w:p>
        </w:tc>
        <w:tc>
          <w:tcPr>
            <w:tcW w:w="5880" w:type="dxa"/>
            <w:vAlign w:val="center"/>
          </w:tcPr>
          <w:p w14:paraId="7628C9F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关于印发《南昌县保障性租赁住房建设和管理实施办法》的通知</w:t>
            </w:r>
          </w:p>
        </w:tc>
        <w:tc>
          <w:tcPr>
            <w:tcW w:w="3270" w:type="dxa"/>
          </w:tcPr>
          <w:p w14:paraId="7AA29B30">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南政办发〔2022〕24号</w:t>
            </w:r>
          </w:p>
        </w:tc>
        <w:tc>
          <w:tcPr>
            <w:tcW w:w="2340" w:type="dxa"/>
            <w:vAlign w:val="center"/>
          </w:tcPr>
          <w:p w14:paraId="70A9C3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tcPr>
          <w:p w14:paraId="0E632F2A">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14:paraId="055C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4A71F4C5">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8</w:t>
            </w:r>
          </w:p>
        </w:tc>
        <w:tc>
          <w:tcPr>
            <w:tcW w:w="5880" w:type="dxa"/>
            <w:vAlign w:val="center"/>
          </w:tcPr>
          <w:p w14:paraId="4406FA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关于印发《南昌县关于有效应对新冠疫情影响促进房地产市场健康发展的若干措施》的通知</w:t>
            </w:r>
          </w:p>
        </w:tc>
        <w:tc>
          <w:tcPr>
            <w:tcW w:w="3270" w:type="dxa"/>
          </w:tcPr>
          <w:p w14:paraId="4BB3DAE6">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南政办发〔2022〕35号</w:t>
            </w:r>
          </w:p>
        </w:tc>
        <w:tc>
          <w:tcPr>
            <w:tcW w:w="2340" w:type="dxa"/>
            <w:vAlign w:val="center"/>
          </w:tcPr>
          <w:p w14:paraId="218BC47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tcPr>
          <w:p w14:paraId="4B43FD91">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14:paraId="38F8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6533DF0E">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9</w:t>
            </w:r>
          </w:p>
        </w:tc>
        <w:tc>
          <w:tcPr>
            <w:tcW w:w="5880" w:type="dxa"/>
          </w:tcPr>
          <w:p w14:paraId="31DC9155">
            <w:pPr>
              <w:spacing w:line="560" w:lineRule="exact"/>
              <w:jc w:val="center"/>
              <w:rPr>
                <w:rFonts w:hint="default" w:ascii="方正小标宋简体" w:hAnsi="方正小标宋简体" w:eastAsia="方正小标宋简体" w:cs="方正小标宋简体"/>
                <w:color w:val="auto"/>
                <w:sz w:val="44"/>
                <w:szCs w:val="44"/>
                <w:vertAlign w:val="baseline"/>
                <w:lang w:val="en-US"/>
              </w:rPr>
            </w:pPr>
            <w:r>
              <w:rPr>
                <w:rFonts w:hint="eastAsia" w:ascii="仿宋_GB2312" w:hAnsi="仿宋_GB2312" w:eastAsia="仿宋_GB2312" w:cs="仿宋_GB2312"/>
                <w:sz w:val="28"/>
                <w:szCs w:val="28"/>
                <w:vertAlign w:val="baseline"/>
                <w:lang w:val="en-US" w:eastAsia="zh-CN"/>
              </w:rPr>
              <w:t>关于印发《南昌县县级储备粮管理办法（修订）》的通知</w:t>
            </w:r>
          </w:p>
        </w:tc>
        <w:tc>
          <w:tcPr>
            <w:tcW w:w="3270" w:type="dxa"/>
          </w:tcPr>
          <w:p w14:paraId="529C4EF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南政发</w:t>
            </w:r>
            <w:r>
              <w:rPr>
                <w:rFonts w:hint="eastAsia" w:ascii="仿宋_GB2312" w:hAnsi="仿宋_GB2312" w:eastAsia="仿宋_GB2312" w:cs="仿宋_GB2312"/>
                <w:sz w:val="28"/>
                <w:szCs w:val="28"/>
              </w:rPr>
              <w:t>〔2022〕</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号</w:t>
            </w:r>
          </w:p>
          <w:p w14:paraId="4F655AA3">
            <w:pPr>
              <w:spacing w:line="560" w:lineRule="exact"/>
              <w:jc w:val="center"/>
              <w:rPr>
                <w:rFonts w:hint="eastAsia" w:ascii="方正小标宋简体" w:hAnsi="方正小标宋简体" w:eastAsia="方正小标宋简体" w:cs="方正小标宋简体"/>
                <w:color w:val="auto"/>
                <w:sz w:val="44"/>
                <w:szCs w:val="44"/>
                <w:vertAlign w:val="baseline"/>
              </w:rPr>
            </w:pPr>
          </w:p>
        </w:tc>
        <w:tc>
          <w:tcPr>
            <w:tcW w:w="2340" w:type="dxa"/>
          </w:tcPr>
          <w:p w14:paraId="61EE49D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县发改委</w:t>
            </w:r>
          </w:p>
        </w:tc>
        <w:tc>
          <w:tcPr>
            <w:tcW w:w="1814" w:type="dxa"/>
          </w:tcPr>
          <w:p w14:paraId="4E1C85C0">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14:paraId="7AA7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shd w:val="clear"/>
            <w:vAlign w:val="top"/>
          </w:tcPr>
          <w:p w14:paraId="048B080B">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hAnsi="Calibri" w:eastAsia="仿宋_GB2312" w:cs="仿宋_GB2312"/>
                <w:color w:val="auto"/>
                <w:kern w:val="2"/>
                <w:sz w:val="28"/>
                <w:szCs w:val="28"/>
                <w:lang w:val="en-US" w:eastAsia="zh-CN" w:bidi="ar-SA"/>
              </w:rPr>
              <w:t>1</w:t>
            </w:r>
            <w:r>
              <w:rPr>
                <w:rFonts w:hint="eastAsia" w:ascii="仿宋_GB2312" w:eastAsia="仿宋_GB2312" w:cs="仿宋_GB2312"/>
                <w:color w:val="auto"/>
                <w:kern w:val="2"/>
                <w:sz w:val="28"/>
                <w:szCs w:val="28"/>
                <w:lang w:val="en-US" w:eastAsia="zh-CN" w:bidi="ar-SA"/>
              </w:rPr>
              <w:t>0</w:t>
            </w:r>
          </w:p>
        </w:tc>
        <w:tc>
          <w:tcPr>
            <w:tcW w:w="5880" w:type="dxa"/>
            <w:shd w:val="clear"/>
            <w:vAlign w:val="top"/>
          </w:tcPr>
          <w:p w14:paraId="3FAF640E">
            <w:pPr>
              <w:spacing w:line="560" w:lineRule="exact"/>
              <w:jc w:val="center"/>
              <w:rPr>
                <w:rFonts w:hint="eastAsia" w:ascii="方正小标宋简体" w:hAnsi="方正小标宋简体" w:eastAsia="方正小标宋简体" w:cs="方正小标宋简体"/>
                <w:color w:val="auto"/>
                <w:kern w:val="2"/>
                <w:sz w:val="44"/>
                <w:szCs w:val="44"/>
                <w:vertAlign w:val="baseline"/>
                <w:lang w:val="en-US" w:eastAsia="zh-CN" w:bidi="ar-SA"/>
              </w:rPr>
            </w:pPr>
            <w:r>
              <w:rPr>
                <w:rFonts w:hint="eastAsia" w:ascii="仿宋_GB2312" w:hAnsi="仿宋_GB2312" w:eastAsia="仿宋_GB2312" w:cs="仿宋_GB2312"/>
                <w:sz w:val="28"/>
                <w:szCs w:val="28"/>
                <w:vertAlign w:val="baseline"/>
                <w:lang w:val="en-US" w:eastAsia="zh-CN"/>
              </w:rPr>
              <w:t>关于印发《南昌县城镇排水与污水处理管理细则》的通知</w:t>
            </w:r>
          </w:p>
        </w:tc>
        <w:tc>
          <w:tcPr>
            <w:tcW w:w="3270" w:type="dxa"/>
            <w:shd w:val="clear"/>
            <w:vAlign w:val="top"/>
          </w:tcPr>
          <w:p w14:paraId="1BB440D9">
            <w:pPr>
              <w:spacing w:line="560" w:lineRule="exact"/>
              <w:jc w:val="center"/>
              <w:rPr>
                <w:rFonts w:hint="eastAsia" w:ascii="方正小标宋简体" w:hAnsi="方正小标宋简体" w:eastAsia="方正小标宋简体" w:cs="方正小标宋简体"/>
                <w:color w:val="auto"/>
                <w:kern w:val="2"/>
                <w:sz w:val="44"/>
                <w:szCs w:val="44"/>
                <w:vertAlign w:val="baseline"/>
                <w:lang w:val="en-US" w:eastAsia="zh-CN" w:bidi="ar-SA"/>
              </w:rPr>
            </w:pPr>
            <w:r>
              <w:rPr>
                <w:rFonts w:hint="eastAsia" w:ascii="仿宋_GB2312" w:hAnsi="仿宋_GB2312" w:eastAsia="仿宋_GB2312" w:cs="仿宋_GB2312"/>
                <w:sz w:val="28"/>
                <w:szCs w:val="28"/>
                <w:vertAlign w:val="baseline"/>
                <w:lang w:val="en-US" w:eastAsia="zh-CN"/>
              </w:rPr>
              <w:t>南政发〔2022〕17号</w:t>
            </w:r>
          </w:p>
        </w:tc>
        <w:tc>
          <w:tcPr>
            <w:tcW w:w="2340" w:type="dxa"/>
            <w:shd w:val="clear"/>
            <w:vAlign w:val="top"/>
          </w:tcPr>
          <w:p w14:paraId="07F8CA9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县城管执法局</w:t>
            </w:r>
          </w:p>
        </w:tc>
        <w:tc>
          <w:tcPr>
            <w:tcW w:w="1814" w:type="dxa"/>
            <w:shd w:val="clear"/>
            <w:vAlign w:val="top"/>
          </w:tcPr>
          <w:p w14:paraId="17C5C22D">
            <w:pPr>
              <w:spacing w:line="560" w:lineRule="exact"/>
              <w:jc w:val="center"/>
              <w:rPr>
                <w:rFonts w:hint="eastAsia" w:ascii="方正小标宋简体" w:hAnsi="方正小标宋简体" w:eastAsia="方正小标宋简体" w:cs="方正小标宋简体"/>
                <w:color w:val="auto"/>
                <w:kern w:val="2"/>
                <w:sz w:val="44"/>
                <w:szCs w:val="44"/>
                <w:vertAlign w:val="baseline"/>
                <w:lang w:val="en-US" w:eastAsia="zh-CN" w:bidi="ar-SA"/>
              </w:rPr>
            </w:pPr>
            <w:r>
              <w:rPr>
                <w:rFonts w:hint="eastAsia" w:ascii="仿宋_GB2312" w:eastAsia="仿宋_GB2312" w:cs="仿宋_GB2312"/>
                <w:color w:val="auto"/>
                <w:sz w:val="28"/>
                <w:szCs w:val="28"/>
              </w:rPr>
              <w:t>继续施行</w:t>
            </w:r>
          </w:p>
        </w:tc>
      </w:tr>
      <w:tr w14:paraId="2823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30263505">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11</w:t>
            </w:r>
          </w:p>
        </w:tc>
        <w:tc>
          <w:tcPr>
            <w:tcW w:w="5880" w:type="dxa"/>
          </w:tcPr>
          <w:p w14:paraId="62F1C1FC">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关于印发《南昌县（小蓝经开区）乡村振兴产业高质量发展扶持办法》的通知</w:t>
            </w:r>
          </w:p>
        </w:tc>
        <w:tc>
          <w:tcPr>
            <w:tcW w:w="3270" w:type="dxa"/>
          </w:tcPr>
          <w:p w14:paraId="53C65213">
            <w:pPr>
              <w:spacing w:line="7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南政办规</w:t>
            </w:r>
            <w:r>
              <w:rPr>
                <w:rFonts w:hint="eastAsia" w:ascii="仿宋_GB2312" w:hAnsi="宋体" w:eastAsia="仿宋_GB2312" w:cs="宋体"/>
                <w:kern w:val="0"/>
                <w:sz w:val="32"/>
                <w:szCs w:val="32"/>
              </w:rPr>
              <w:t>〔2023〕1</w:t>
            </w:r>
            <w:r>
              <w:rPr>
                <w:rFonts w:hint="eastAsia" w:ascii="仿宋_GB2312" w:hAnsi="仿宋_GB2312" w:eastAsia="仿宋_GB2312" w:cs="仿宋_GB2312"/>
                <w:sz w:val="32"/>
                <w:szCs w:val="32"/>
              </w:rPr>
              <w:t>号</w:t>
            </w:r>
          </w:p>
          <w:p w14:paraId="5DCA9278">
            <w:pPr>
              <w:spacing w:line="560" w:lineRule="exact"/>
              <w:jc w:val="center"/>
              <w:rPr>
                <w:rFonts w:hint="eastAsia" w:ascii="仿宋_GB2312" w:hAnsi="仿宋_GB2312" w:eastAsia="仿宋_GB2312" w:cs="仿宋_GB2312"/>
                <w:sz w:val="28"/>
                <w:szCs w:val="28"/>
                <w:vertAlign w:val="baseline"/>
                <w:lang w:val="en-US" w:eastAsia="zh-CN"/>
              </w:rPr>
            </w:pPr>
          </w:p>
        </w:tc>
        <w:tc>
          <w:tcPr>
            <w:tcW w:w="2340" w:type="dxa"/>
          </w:tcPr>
          <w:p w14:paraId="7EC9897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tcPr>
          <w:p w14:paraId="52AE9965">
            <w:pPr>
              <w:spacing w:line="560" w:lineRule="exact"/>
              <w:jc w:val="center"/>
              <w:rPr>
                <w:rFonts w:hint="eastAsia" w:ascii="仿宋_GB2312" w:eastAsia="仿宋_GB2312" w:cs="仿宋_GB2312"/>
                <w:color w:val="auto"/>
                <w:sz w:val="28"/>
                <w:szCs w:val="28"/>
              </w:rPr>
            </w:pPr>
            <w:r>
              <w:rPr>
                <w:rFonts w:hint="eastAsia" w:ascii="仿宋_GB2312" w:eastAsia="仿宋_GB2312" w:cs="仿宋_GB2312"/>
                <w:color w:val="auto"/>
                <w:sz w:val="28"/>
                <w:szCs w:val="28"/>
              </w:rPr>
              <w:t>继续施行</w:t>
            </w:r>
          </w:p>
        </w:tc>
      </w:tr>
      <w:tr w14:paraId="4682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683BCC28">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12</w:t>
            </w:r>
          </w:p>
        </w:tc>
        <w:tc>
          <w:tcPr>
            <w:tcW w:w="5880" w:type="dxa"/>
          </w:tcPr>
          <w:p w14:paraId="5DDAE1CA">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关于印发《南昌县政府投资项目管理办法》的通知</w:t>
            </w:r>
          </w:p>
        </w:tc>
        <w:tc>
          <w:tcPr>
            <w:tcW w:w="3270" w:type="dxa"/>
          </w:tcPr>
          <w:p w14:paraId="63D1CD9A">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南政规〔2024</w:t>
            </w:r>
            <w:bookmarkStart w:id="0" w:name="_GoBack"/>
            <w:bookmarkEnd w:id="0"/>
            <w:r>
              <w:rPr>
                <w:rFonts w:hint="eastAsia" w:ascii="仿宋_GB2312" w:hAnsi="仿宋_GB2312" w:eastAsia="仿宋_GB2312" w:cs="仿宋_GB2312"/>
                <w:sz w:val="28"/>
                <w:szCs w:val="28"/>
                <w:vertAlign w:val="baseline"/>
                <w:lang w:val="en-US" w:eastAsia="zh-CN"/>
              </w:rPr>
              <w:t>〕1号</w:t>
            </w:r>
          </w:p>
        </w:tc>
        <w:tc>
          <w:tcPr>
            <w:tcW w:w="2340" w:type="dxa"/>
          </w:tcPr>
          <w:p w14:paraId="5E0F718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县发改委</w:t>
            </w:r>
          </w:p>
        </w:tc>
        <w:tc>
          <w:tcPr>
            <w:tcW w:w="1814" w:type="dxa"/>
          </w:tcPr>
          <w:p w14:paraId="4586A275">
            <w:pPr>
              <w:spacing w:line="560" w:lineRule="exact"/>
              <w:jc w:val="center"/>
              <w:rPr>
                <w:rFonts w:hint="eastAsia" w:ascii="仿宋_GB2312" w:eastAsia="仿宋_GB2312" w:cs="仿宋_GB2312"/>
                <w:color w:val="auto"/>
                <w:sz w:val="28"/>
                <w:szCs w:val="28"/>
              </w:rPr>
            </w:pPr>
            <w:r>
              <w:rPr>
                <w:rFonts w:hint="eastAsia" w:ascii="仿宋_GB2312" w:eastAsia="仿宋_GB2312" w:cs="仿宋_GB2312"/>
                <w:color w:val="auto"/>
                <w:sz w:val="28"/>
                <w:szCs w:val="28"/>
              </w:rPr>
              <w:t>继续施行</w:t>
            </w:r>
          </w:p>
        </w:tc>
      </w:tr>
      <w:tr w14:paraId="6A96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561827E8">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13</w:t>
            </w:r>
          </w:p>
        </w:tc>
        <w:tc>
          <w:tcPr>
            <w:tcW w:w="5880" w:type="dxa"/>
          </w:tcPr>
          <w:p w14:paraId="1CC26E98">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关于印发《南昌县（小蓝经开区）制造业数字化转型专项资金管理办法》的通知</w:t>
            </w:r>
          </w:p>
        </w:tc>
        <w:tc>
          <w:tcPr>
            <w:tcW w:w="3270" w:type="dxa"/>
          </w:tcPr>
          <w:p w14:paraId="5B9EE790">
            <w:pPr>
              <w:spacing w:line="560" w:lineRule="exact"/>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南政规〔2024〕2号</w:t>
            </w:r>
          </w:p>
        </w:tc>
        <w:tc>
          <w:tcPr>
            <w:tcW w:w="2340" w:type="dxa"/>
          </w:tcPr>
          <w:p w14:paraId="28190E2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县科工局</w:t>
            </w:r>
          </w:p>
        </w:tc>
        <w:tc>
          <w:tcPr>
            <w:tcW w:w="1814" w:type="dxa"/>
          </w:tcPr>
          <w:p w14:paraId="09C1E2BE">
            <w:pPr>
              <w:spacing w:line="560" w:lineRule="exact"/>
              <w:jc w:val="center"/>
              <w:rPr>
                <w:rFonts w:hint="eastAsia" w:ascii="仿宋_GB2312" w:eastAsia="仿宋_GB2312" w:cs="仿宋_GB2312"/>
                <w:color w:val="auto"/>
                <w:sz w:val="28"/>
                <w:szCs w:val="28"/>
              </w:rPr>
            </w:pPr>
            <w:r>
              <w:rPr>
                <w:rFonts w:hint="eastAsia" w:ascii="仿宋_GB2312" w:eastAsia="仿宋_GB2312" w:cs="仿宋_GB2312"/>
                <w:color w:val="auto"/>
                <w:sz w:val="28"/>
                <w:szCs w:val="28"/>
              </w:rPr>
              <w:t>继续施行</w:t>
            </w:r>
          </w:p>
        </w:tc>
      </w:tr>
    </w:tbl>
    <w:p w14:paraId="73EFBBEA">
      <w:pPr>
        <w:numPr>
          <w:ilvl w:val="0"/>
          <w:numId w:val="0"/>
        </w:numPr>
        <w:spacing w:line="560" w:lineRule="exact"/>
        <w:rPr>
          <w:rFonts w:hint="eastAsia" w:ascii="黑体" w:hAnsi="黑体" w:eastAsia="黑体" w:cs="黑体"/>
          <w:color w:val="auto"/>
          <w:sz w:val="30"/>
          <w:szCs w:val="30"/>
        </w:rPr>
      </w:pPr>
    </w:p>
    <w:p w14:paraId="51A70AE1">
      <w:pPr>
        <w:numPr>
          <w:ilvl w:val="0"/>
          <w:numId w:val="1"/>
        </w:numPr>
        <w:spacing w:line="560" w:lineRule="exact"/>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废止</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w:t>
      </w:r>
      <w:r>
        <w:rPr>
          <w:rFonts w:hint="eastAsia" w:ascii="黑体" w:hAnsi="黑体" w:eastAsia="黑体" w:cs="黑体"/>
          <w:color w:val="auto"/>
          <w:sz w:val="30"/>
          <w:szCs w:val="30"/>
          <w:lang w:val="en-US" w:eastAsia="zh-CN"/>
        </w:rPr>
        <w:t>1</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5880"/>
        <w:gridCol w:w="3240"/>
        <w:gridCol w:w="2385"/>
        <w:gridCol w:w="1784"/>
      </w:tblGrid>
      <w:tr w14:paraId="3200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885" w:type="dxa"/>
            <w:vAlign w:val="center"/>
          </w:tcPr>
          <w:p w14:paraId="1611E333">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880" w:type="dxa"/>
            <w:vAlign w:val="center"/>
          </w:tcPr>
          <w:p w14:paraId="41EC974C">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40" w:type="dxa"/>
            <w:vAlign w:val="center"/>
          </w:tcPr>
          <w:p w14:paraId="1A3EC332">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385" w:type="dxa"/>
            <w:vAlign w:val="center"/>
          </w:tcPr>
          <w:p w14:paraId="12E616E2">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784" w:type="dxa"/>
            <w:vAlign w:val="center"/>
          </w:tcPr>
          <w:p w14:paraId="0E34585E">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14:paraId="137F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E9F36F5">
            <w:pPr>
              <w:pStyle w:val="6"/>
              <w:numPr>
                <w:ilvl w:val="0"/>
                <w:numId w:val="0"/>
              </w:numPr>
              <w:jc w:val="center"/>
              <w:rPr>
                <w:rFonts w:hint="default" w:eastAsia="仿宋_GB2312"/>
                <w:vertAlign w:val="baseline"/>
                <w:lang w:val="en-US" w:eastAsia="zh-CN"/>
              </w:rPr>
            </w:pPr>
            <w:r>
              <w:rPr>
                <w:rFonts w:hint="eastAsia"/>
                <w:vertAlign w:val="baseline"/>
                <w:lang w:val="en-US" w:eastAsia="zh-CN"/>
              </w:rPr>
              <w:t>无</w:t>
            </w:r>
          </w:p>
        </w:tc>
        <w:tc>
          <w:tcPr>
            <w:tcW w:w="5880" w:type="dxa"/>
          </w:tcPr>
          <w:p w14:paraId="13071EE9">
            <w:pPr>
              <w:pStyle w:val="6"/>
              <w:numPr>
                <w:ilvl w:val="0"/>
                <w:numId w:val="0"/>
              </w:numPr>
              <w:jc w:val="center"/>
              <w:rPr>
                <w:rFonts w:hint="eastAsia" w:eastAsia="仿宋_GB2312"/>
                <w:vertAlign w:val="baseline"/>
                <w:lang w:val="en-US" w:eastAsia="zh-CN"/>
              </w:rPr>
            </w:pPr>
            <w:r>
              <w:rPr>
                <w:rFonts w:hint="eastAsia"/>
                <w:vertAlign w:val="baseline"/>
                <w:lang w:val="en-US" w:eastAsia="zh-CN"/>
              </w:rPr>
              <w:t xml:space="preserve"> </w:t>
            </w:r>
          </w:p>
        </w:tc>
        <w:tc>
          <w:tcPr>
            <w:tcW w:w="3240" w:type="dxa"/>
          </w:tcPr>
          <w:p w14:paraId="4B865949">
            <w:pPr>
              <w:pStyle w:val="6"/>
              <w:numPr>
                <w:ilvl w:val="0"/>
                <w:numId w:val="0"/>
              </w:numPr>
              <w:jc w:val="center"/>
              <w:rPr>
                <w:rFonts w:hint="default"/>
                <w:vertAlign w:val="baseline"/>
                <w:lang w:val="en-US"/>
              </w:rPr>
            </w:pPr>
            <w:r>
              <w:rPr>
                <w:rFonts w:hint="eastAsia" w:ascii="仿宋_GB2312" w:hAnsi="仿宋_GB2312" w:cs="仿宋_GB2312"/>
                <w:i w:val="0"/>
                <w:iCs w:val="0"/>
                <w:color w:val="000000"/>
                <w:kern w:val="0"/>
                <w:sz w:val="28"/>
                <w:szCs w:val="28"/>
                <w:u w:val="none"/>
                <w:lang w:val="en-US" w:eastAsia="zh-CN" w:bidi="ar"/>
              </w:rPr>
              <w:t xml:space="preserve">   </w:t>
            </w:r>
          </w:p>
        </w:tc>
        <w:tc>
          <w:tcPr>
            <w:tcW w:w="2385" w:type="dxa"/>
          </w:tcPr>
          <w:p w14:paraId="3C4DEB9C">
            <w:pPr>
              <w:pStyle w:val="6"/>
              <w:numPr>
                <w:ilvl w:val="0"/>
                <w:numId w:val="0"/>
              </w:numPr>
              <w:jc w:val="center"/>
              <w:rPr>
                <w:rFonts w:hint="default" w:eastAsia="仿宋_GB2312"/>
                <w:vertAlign w:val="baseline"/>
                <w:lang w:val="en-US" w:eastAsia="zh-CN"/>
              </w:rPr>
            </w:pPr>
            <w:r>
              <w:rPr>
                <w:rFonts w:hint="eastAsia" w:ascii="仿宋_GB2312" w:hAnsi="仿宋_GB2312" w:cs="仿宋_GB2312"/>
                <w:i w:val="0"/>
                <w:iCs w:val="0"/>
                <w:color w:val="000000"/>
                <w:kern w:val="0"/>
                <w:sz w:val="28"/>
                <w:szCs w:val="28"/>
                <w:u w:val="none"/>
                <w:lang w:val="en-US" w:eastAsia="zh-CN" w:bidi="ar"/>
              </w:rPr>
              <w:t xml:space="preserve">     </w:t>
            </w:r>
          </w:p>
        </w:tc>
        <w:tc>
          <w:tcPr>
            <w:tcW w:w="1784" w:type="dxa"/>
          </w:tcPr>
          <w:p w14:paraId="40FC3CB9">
            <w:pPr>
              <w:pStyle w:val="6"/>
              <w:numPr>
                <w:ilvl w:val="0"/>
                <w:numId w:val="0"/>
              </w:numPr>
              <w:jc w:val="center"/>
              <w:rPr>
                <w:rFonts w:hint="default" w:eastAsia="仿宋_GB2312"/>
                <w:vertAlign w:val="baseline"/>
                <w:lang w:val="en-US" w:eastAsia="zh-CN"/>
              </w:rPr>
            </w:pPr>
            <w:r>
              <w:rPr>
                <w:rFonts w:hint="eastAsia"/>
                <w:vertAlign w:val="baseline"/>
                <w:lang w:val="en-US" w:eastAsia="zh-CN"/>
              </w:rPr>
              <w:t xml:space="preserve">   </w:t>
            </w:r>
          </w:p>
        </w:tc>
      </w:tr>
    </w:tbl>
    <w:p w14:paraId="2D02F494">
      <w:pPr>
        <w:numPr>
          <w:ilvl w:val="0"/>
          <w:numId w:val="1"/>
        </w:numPr>
        <w:spacing w:line="560" w:lineRule="exact"/>
        <w:ind w:left="0" w:leftChars="0" w:firstLine="0" w:firstLineChars="0"/>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失效</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w:t>
      </w:r>
      <w:r>
        <w:rPr>
          <w:rFonts w:hint="eastAsia" w:ascii="黑体" w:hAnsi="黑体" w:eastAsia="黑体" w:cs="黑体"/>
          <w:color w:val="auto"/>
          <w:sz w:val="30"/>
          <w:szCs w:val="30"/>
          <w:lang w:val="en-US" w:eastAsia="zh-CN"/>
        </w:rPr>
        <w:t>1</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5925"/>
        <w:gridCol w:w="3225"/>
        <w:gridCol w:w="2400"/>
        <w:gridCol w:w="1754"/>
      </w:tblGrid>
      <w:tr w14:paraId="200B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70" w:type="dxa"/>
            <w:vAlign w:val="center"/>
          </w:tcPr>
          <w:p w14:paraId="5E18F5F3">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925" w:type="dxa"/>
            <w:vAlign w:val="center"/>
          </w:tcPr>
          <w:p w14:paraId="2737CF1B">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25" w:type="dxa"/>
            <w:vAlign w:val="center"/>
          </w:tcPr>
          <w:p w14:paraId="5CF73AFD">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400" w:type="dxa"/>
            <w:vAlign w:val="center"/>
          </w:tcPr>
          <w:p w14:paraId="4FB509D4">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754" w:type="dxa"/>
            <w:vAlign w:val="center"/>
          </w:tcPr>
          <w:p w14:paraId="7F67C45D">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14:paraId="2DD5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0C174803">
            <w:pPr>
              <w:pStyle w:val="6"/>
              <w:numPr>
                <w:ilvl w:val="0"/>
                <w:numId w:val="0"/>
              </w:numPr>
              <w:jc w:val="center"/>
              <w:rPr>
                <w:rFonts w:hint="default" w:eastAsia="仿宋_GB2312"/>
                <w:vertAlign w:val="baseline"/>
                <w:lang w:val="en-US" w:eastAsia="zh-CN"/>
              </w:rPr>
            </w:pPr>
            <w:r>
              <w:rPr>
                <w:rFonts w:hint="eastAsia"/>
                <w:vertAlign w:val="baseline"/>
                <w:lang w:val="en-US" w:eastAsia="zh-CN"/>
              </w:rPr>
              <w:t>无</w:t>
            </w:r>
          </w:p>
        </w:tc>
        <w:tc>
          <w:tcPr>
            <w:tcW w:w="5925" w:type="dxa"/>
          </w:tcPr>
          <w:p w14:paraId="345520F9">
            <w:pPr>
              <w:pStyle w:val="6"/>
              <w:numPr>
                <w:ilvl w:val="0"/>
                <w:numId w:val="0"/>
              </w:numPr>
              <w:jc w:val="center"/>
              <w:rPr>
                <w:rFonts w:hint="eastAsia"/>
                <w:vertAlign w:val="baseline"/>
              </w:rPr>
            </w:pPr>
          </w:p>
        </w:tc>
        <w:tc>
          <w:tcPr>
            <w:tcW w:w="3225" w:type="dxa"/>
          </w:tcPr>
          <w:p w14:paraId="728ED582">
            <w:pPr>
              <w:pStyle w:val="6"/>
              <w:numPr>
                <w:ilvl w:val="0"/>
                <w:numId w:val="0"/>
              </w:numPr>
              <w:jc w:val="center"/>
              <w:rPr>
                <w:rFonts w:hint="eastAsia"/>
                <w:vertAlign w:val="baseline"/>
              </w:rPr>
            </w:pPr>
          </w:p>
        </w:tc>
        <w:tc>
          <w:tcPr>
            <w:tcW w:w="2400" w:type="dxa"/>
          </w:tcPr>
          <w:p w14:paraId="70800B0A">
            <w:pPr>
              <w:pStyle w:val="6"/>
              <w:numPr>
                <w:ilvl w:val="0"/>
                <w:numId w:val="0"/>
              </w:numPr>
              <w:jc w:val="center"/>
              <w:rPr>
                <w:rFonts w:hint="eastAsia"/>
                <w:vertAlign w:val="baseline"/>
              </w:rPr>
            </w:pPr>
          </w:p>
        </w:tc>
        <w:tc>
          <w:tcPr>
            <w:tcW w:w="1754" w:type="dxa"/>
          </w:tcPr>
          <w:p w14:paraId="1FA2F697">
            <w:pPr>
              <w:pStyle w:val="6"/>
              <w:numPr>
                <w:ilvl w:val="0"/>
                <w:numId w:val="0"/>
              </w:numPr>
              <w:jc w:val="center"/>
              <w:rPr>
                <w:rFonts w:hint="eastAsia" w:eastAsia="仿宋_GB2312"/>
                <w:vertAlign w:val="baseline"/>
                <w:lang w:val="en-US" w:eastAsia="zh-CN"/>
              </w:rPr>
            </w:pPr>
          </w:p>
        </w:tc>
      </w:tr>
    </w:tbl>
    <w:p w14:paraId="37FD8961">
      <w:pPr>
        <w:numPr>
          <w:ilvl w:val="0"/>
          <w:numId w:val="1"/>
        </w:numPr>
        <w:spacing w:line="560" w:lineRule="exact"/>
        <w:ind w:left="0" w:leftChars="0" w:firstLine="0" w:firstLineChars="0"/>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修改</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目录</w:t>
      </w:r>
      <w:r>
        <w:rPr>
          <w:rFonts w:hint="eastAsia" w:ascii="黑体" w:hAnsi="黑体" w:eastAsia="黑体" w:cs="黑体"/>
          <w:color w:val="auto"/>
          <w:sz w:val="30"/>
          <w:szCs w:val="30"/>
        </w:rPr>
        <w:t>（</w:t>
      </w:r>
      <w:r>
        <w:rPr>
          <w:rFonts w:hint="eastAsia" w:ascii="黑体" w:hAnsi="黑体" w:eastAsia="黑体" w:cs="黑体"/>
          <w:color w:val="auto"/>
          <w:sz w:val="30"/>
          <w:szCs w:val="30"/>
          <w:lang w:val="en-US" w:eastAsia="zh-CN"/>
        </w:rPr>
        <w:t>0</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5925"/>
        <w:gridCol w:w="3225"/>
        <w:gridCol w:w="2400"/>
        <w:gridCol w:w="1754"/>
      </w:tblGrid>
      <w:tr w14:paraId="64A1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70" w:type="dxa"/>
            <w:vAlign w:val="center"/>
          </w:tcPr>
          <w:p w14:paraId="1E6A1058">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925" w:type="dxa"/>
            <w:vAlign w:val="center"/>
          </w:tcPr>
          <w:p w14:paraId="1E43B12B">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25" w:type="dxa"/>
            <w:vAlign w:val="center"/>
          </w:tcPr>
          <w:p w14:paraId="6E082C60">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400" w:type="dxa"/>
            <w:vAlign w:val="center"/>
          </w:tcPr>
          <w:p w14:paraId="48485ADB">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754" w:type="dxa"/>
            <w:vAlign w:val="center"/>
          </w:tcPr>
          <w:p w14:paraId="1F754347">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14:paraId="4860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14:paraId="5257693A">
            <w:pPr>
              <w:pStyle w:val="6"/>
              <w:numPr>
                <w:ilvl w:val="0"/>
                <w:numId w:val="0"/>
              </w:numPr>
              <w:jc w:val="center"/>
              <w:rPr>
                <w:rFonts w:hint="default" w:eastAsia="仿宋_GB2312"/>
                <w:vertAlign w:val="baseline"/>
                <w:lang w:val="en-US" w:eastAsia="zh-CN"/>
              </w:rPr>
            </w:pPr>
            <w:r>
              <w:rPr>
                <w:rFonts w:hint="eastAsia"/>
                <w:vertAlign w:val="baseline"/>
                <w:lang w:val="en-US" w:eastAsia="zh-CN"/>
              </w:rPr>
              <w:t>无</w:t>
            </w:r>
          </w:p>
        </w:tc>
        <w:tc>
          <w:tcPr>
            <w:tcW w:w="5925" w:type="dxa"/>
          </w:tcPr>
          <w:p w14:paraId="40A7BAF8">
            <w:pPr>
              <w:pStyle w:val="6"/>
              <w:numPr>
                <w:ilvl w:val="0"/>
                <w:numId w:val="0"/>
              </w:numPr>
              <w:jc w:val="center"/>
              <w:rPr>
                <w:rFonts w:hint="eastAsia"/>
                <w:vertAlign w:val="baseline"/>
              </w:rPr>
            </w:pPr>
          </w:p>
        </w:tc>
        <w:tc>
          <w:tcPr>
            <w:tcW w:w="3225" w:type="dxa"/>
          </w:tcPr>
          <w:p w14:paraId="0D8397DB">
            <w:pPr>
              <w:pStyle w:val="6"/>
              <w:numPr>
                <w:ilvl w:val="0"/>
                <w:numId w:val="0"/>
              </w:numPr>
              <w:jc w:val="center"/>
              <w:rPr>
                <w:rFonts w:hint="eastAsia"/>
                <w:vertAlign w:val="baseline"/>
              </w:rPr>
            </w:pPr>
          </w:p>
        </w:tc>
        <w:tc>
          <w:tcPr>
            <w:tcW w:w="2400" w:type="dxa"/>
          </w:tcPr>
          <w:p w14:paraId="5E7F5CAA">
            <w:pPr>
              <w:pStyle w:val="6"/>
              <w:numPr>
                <w:ilvl w:val="0"/>
                <w:numId w:val="0"/>
              </w:numPr>
              <w:jc w:val="center"/>
              <w:rPr>
                <w:rFonts w:hint="eastAsia"/>
                <w:vertAlign w:val="baseline"/>
              </w:rPr>
            </w:pPr>
          </w:p>
        </w:tc>
        <w:tc>
          <w:tcPr>
            <w:tcW w:w="1754" w:type="dxa"/>
          </w:tcPr>
          <w:p w14:paraId="62D2D94E">
            <w:pPr>
              <w:pStyle w:val="6"/>
              <w:numPr>
                <w:ilvl w:val="0"/>
                <w:numId w:val="0"/>
              </w:numPr>
              <w:jc w:val="center"/>
              <w:rPr>
                <w:rFonts w:hint="eastAsia" w:eastAsia="仿宋_GB2312"/>
                <w:vertAlign w:val="baseline"/>
                <w:lang w:val="en-US" w:eastAsia="zh-CN"/>
              </w:rPr>
            </w:pPr>
          </w:p>
        </w:tc>
      </w:tr>
    </w:tbl>
    <w:p w14:paraId="602CE5B6">
      <w:pPr>
        <w:pStyle w:val="6"/>
        <w:rPr>
          <w:rFonts w:hint="eastAsia"/>
        </w:rPr>
      </w:pPr>
    </w:p>
    <w:p w14:paraId="601AD6F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D9B505"/>
    <w:multiLevelType w:val="singleLevel"/>
    <w:tmpl w:val="36D9B5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hOGY2YTgxZDE0M2ZiYTJlNDI4ZGViMzM5MGZiZGQifQ=="/>
  </w:docVars>
  <w:rsids>
    <w:rsidRoot w:val="6D8C1A99"/>
    <w:rsid w:val="06A0349B"/>
    <w:rsid w:val="09607A8C"/>
    <w:rsid w:val="0B882E7B"/>
    <w:rsid w:val="101D276A"/>
    <w:rsid w:val="1A2A0C9F"/>
    <w:rsid w:val="1C9410AC"/>
    <w:rsid w:val="2C674DE3"/>
    <w:rsid w:val="34D643A8"/>
    <w:rsid w:val="362E090B"/>
    <w:rsid w:val="494D2A33"/>
    <w:rsid w:val="4CC32A63"/>
    <w:rsid w:val="4D4F0235"/>
    <w:rsid w:val="578B02ED"/>
    <w:rsid w:val="5D1C654D"/>
    <w:rsid w:val="6137785B"/>
    <w:rsid w:val="6D5E495F"/>
    <w:rsid w:val="6D8C1A99"/>
    <w:rsid w:val="74001E13"/>
    <w:rsid w:val="79523975"/>
    <w:rsid w:val="7C484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First Indent 2"/>
    <w:basedOn w:val="1"/>
    <w:qFormat/>
    <w:uiPriority w:val="0"/>
    <w:pPr>
      <w:ind w:left="420" w:leftChars="200" w:firstLine="21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BodyText"/>
    <w:next w:val="1"/>
    <w:qFormat/>
    <w:uiPriority w:val="0"/>
    <w:pPr>
      <w:widowControl w:val="0"/>
      <w:spacing w:after="120"/>
      <w:jc w:val="both"/>
    </w:pPr>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710</Words>
  <Characters>772</Characters>
  <Lines>0</Lines>
  <Paragraphs>0</Paragraphs>
  <TotalTime>1</TotalTime>
  <ScaleCrop>false</ScaleCrop>
  <LinksUpToDate>false</LinksUpToDate>
  <CharactersWithSpaces>784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2022-11-10T08:00:00Z</dcterms:created>
  <dc:creator>oiytbfrujvdrb</dc:creator>
  <cp:lastModifiedBy>oiytbfrujvdrb</cp:lastModifiedBy>
  <dcterms:modified xsi:type="dcterms:W3CDTF">2025-01-02T08:01:32Z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4C43B89FB15746C5B4F4D39CDAC56F96</vt:lpwstr>
  </property>
  <property fmtid="{D5CDD505-2E9C-101B-9397-08002B2CF9AE}" pid="4" name="KSOTemplateDocerSaveRecord">
    <vt:lpwstr>eyJoZGlkIjoiMjdhOGY2YTgxZDE0M2ZiYTJlNDI4ZGViMzM5MGZiZGQiLCJ1c2VySWQiOiIxMjgxNzMxNDA1In0=</vt:lpwstr>
  </property>
</Properties>
</file>