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黑体" w:hAnsi="黑体" w:eastAsia="黑体" w:cs="仿宋_GB2312"/>
          <w:color w:val="auto"/>
          <w:sz w:val="30"/>
          <w:szCs w:val="30"/>
        </w:rPr>
      </w:pPr>
      <w:r>
        <w:rPr>
          <w:rFonts w:hint="eastAsia" w:ascii="黑体" w:hAnsi="黑体" w:eastAsia="黑体" w:cs="仿宋_GB2312"/>
          <w:color w:val="auto"/>
          <w:sz w:val="30"/>
          <w:szCs w:val="30"/>
        </w:rPr>
        <w:t>附件</w:t>
      </w:r>
    </w:p>
    <w:p>
      <w:pPr>
        <w:spacing w:line="560" w:lineRule="exact"/>
        <w:ind w:firstLine="640"/>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20</w:t>
      </w:r>
      <w:r>
        <w:rPr>
          <w:rFonts w:hint="eastAsia" w:ascii="方正小标宋简体" w:hAnsi="方正小标宋简体" w:eastAsia="方正小标宋简体" w:cs="方正小标宋简体"/>
          <w:color w:val="auto"/>
          <w:sz w:val="44"/>
          <w:szCs w:val="44"/>
          <w:lang w:val="en-US" w:eastAsia="zh-CN"/>
        </w:rPr>
        <w:t>22</w:t>
      </w:r>
      <w:r>
        <w:rPr>
          <w:rFonts w:hint="eastAsia" w:ascii="方正小标宋简体" w:hAnsi="方正小标宋简体" w:eastAsia="方正小标宋简体" w:cs="方正小标宋简体"/>
          <w:color w:val="auto"/>
          <w:sz w:val="44"/>
          <w:szCs w:val="44"/>
        </w:rPr>
        <w:t>年度</w:t>
      </w:r>
      <w:r>
        <w:rPr>
          <w:rFonts w:hint="eastAsia" w:ascii="方正小标宋简体" w:hAnsi="方正小标宋简体" w:eastAsia="方正小标宋简体" w:cs="方正小标宋简体"/>
          <w:color w:val="auto"/>
          <w:sz w:val="44"/>
          <w:szCs w:val="44"/>
          <w:lang w:val="en-US" w:eastAsia="zh-CN"/>
        </w:rPr>
        <w:t>南昌</w:t>
      </w:r>
      <w:r>
        <w:rPr>
          <w:rFonts w:hint="eastAsia" w:ascii="方正小标宋简体" w:hAnsi="方正小标宋简体" w:eastAsia="方正小标宋简体" w:cs="方正小标宋简体"/>
          <w:color w:val="auto"/>
          <w:sz w:val="44"/>
          <w:szCs w:val="44"/>
        </w:rPr>
        <w:t>县</w:t>
      </w:r>
      <w:r>
        <w:rPr>
          <w:rFonts w:hint="eastAsia" w:ascii="方正小标宋简体" w:hAnsi="方正小标宋简体" w:eastAsia="方正小标宋简体" w:cs="方正小标宋简体"/>
          <w:color w:val="auto"/>
          <w:sz w:val="44"/>
          <w:szCs w:val="44"/>
          <w:lang w:val="en-US" w:eastAsia="zh-CN"/>
        </w:rPr>
        <w:t>行政</w:t>
      </w:r>
      <w:r>
        <w:rPr>
          <w:rFonts w:hint="eastAsia" w:ascii="方正小标宋简体" w:hAnsi="方正小标宋简体" w:eastAsia="方正小标宋简体" w:cs="方正小标宋简体"/>
          <w:color w:val="auto"/>
          <w:sz w:val="44"/>
          <w:szCs w:val="44"/>
        </w:rPr>
        <w:t>规范性文件清理结果表</w:t>
      </w:r>
    </w:p>
    <w:p>
      <w:pPr>
        <w:spacing w:line="480" w:lineRule="auto"/>
        <w:rPr>
          <w:rFonts w:hint="eastAsia"/>
        </w:rPr>
      </w:pPr>
      <w:r>
        <w:rPr>
          <w:rFonts w:hint="eastAsia" w:ascii="黑体" w:hAnsi="黑体" w:eastAsia="黑体" w:cs="黑体"/>
          <w:color w:val="auto"/>
          <w:sz w:val="30"/>
          <w:szCs w:val="30"/>
        </w:rPr>
        <w:t>一、继续施行的</w:t>
      </w:r>
      <w:r>
        <w:rPr>
          <w:rFonts w:hint="eastAsia" w:ascii="黑体" w:hAnsi="黑体" w:eastAsia="黑体" w:cs="黑体"/>
          <w:color w:val="auto"/>
          <w:sz w:val="30"/>
          <w:szCs w:val="30"/>
          <w:lang w:val="en-US" w:eastAsia="zh-CN"/>
        </w:rPr>
        <w:t>行政</w:t>
      </w:r>
      <w:r>
        <w:rPr>
          <w:rFonts w:hint="eastAsia" w:ascii="黑体" w:hAnsi="黑体" w:eastAsia="黑体" w:cs="黑体"/>
          <w:color w:val="auto"/>
          <w:sz w:val="30"/>
          <w:szCs w:val="30"/>
        </w:rPr>
        <w:t>规范性文件（共</w:t>
      </w:r>
      <w:r>
        <w:rPr>
          <w:rFonts w:hint="eastAsia" w:ascii="黑体" w:hAnsi="黑体" w:eastAsia="黑体" w:cs="黑体"/>
          <w:color w:val="auto"/>
          <w:sz w:val="30"/>
          <w:szCs w:val="30"/>
          <w:lang w:val="en-US" w:eastAsia="zh-CN"/>
        </w:rPr>
        <w:t>13</w:t>
      </w:r>
      <w:bookmarkStart w:id="0" w:name="_GoBack"/>
      <w:bookmarkEnd w:id="0"/>
      <w:r>
        <w:rPr>
          <w:rFonts w:hint="eastAsia" w:ascii="黑体" w:hAnsi="黑体" w:eastAsia="黑体" w:cs="黑体"/>
          <w:color w:val="auto"/>
          <w:sz w:val="30"/>
          <w:szCs w:val="30"/>
        </w:rPr>
        <w:t>件）</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0"/>
        <w:gridCol w:w="5880"/>
        <w:gridCol w:w="3270"/>
        <w:gridCol w:w="2340"/>
        <w:gridCol w:w="18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870" w:type="dxa"/>
            <w:vAlign w:val="center"/>
          </w:tcPr>
          <w:p>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序号</w:t>
            </w:r>
          </w:p>
        </w:tc>
        <w:tc>
          <w:tcPr>
            <w:tcW w:w="5880" w:type="dxa"/>
            <w:vAlign w:val="center"/>
          </w:tcPr>
          <w:p>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文件名称</w:t>
            </w:r>
          </w:p>
        </w:tc>
        <w:tc>
          <w:tcPr>
            <w:tcW w:w="3270" w:type="dxa"/>
            <w:vAlign w:val="center"/>
          </w:tcPr>
          <w:p>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文号</w:t>
            </w:r>
          </w:p>
        </w:tc>
        <w:tc>
          <w:tcPr>
            <w:tcW w:w="2340" w:type="dxa"/>
            <w:vAlign w:val="center"/>
          </w:tcPr>
          <w:p>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起草或实施单位</w:t>
            </w:r>
          </w:p>
        </w:tc>
        <w:tc>
          <w:tcPr>
            <w:tcW w:w="1814" w:type="dxa"/>
            <w:vAlign w:val="center"/>
          </w:tcPr>
          <w:p>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Pr>
          <w:p>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hAnsi="Calibri" w:eastAsia="仿宋_GB2312" w:cs="仿宋_GB2312"/>
                <w:color w:val="auto"/>
                <w:kern w:val="2"/>
                <w:sz w:val="28"/>
                <w:szCs w:val="28"/>
                <w:lang w:val="en-US" w:eastAsia="zh-CN" w:bidi="ar-SA"/>
              </w:rPr>
              <w:t>1</w:t>
            </w:r>
          </w:p>
        </w:tc>
        <w:tc>
          <w:tcPr>
            <w:tcW w:w="5880" w:type="dxa"/>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关于印发《南昌县重点水域退捕渔民养老保障实施意见》及《南昌县重点水域退捕渔民转产就业实施意见》的通知</w:t>
            </w:r>
          </w:p>
        </w:tc>
        <w:tc>
          <w:tcPr>
            <w:tcW w:w="3270" w:type="dxa"/>
          </w:tcPr>
          <w:p>
            <w:pPr>
              <w:spacing w:line="560" w:lineRule="exact"/>
              <w:jc w:val="center"/>
              <w:rPr>
                <w:rFonts w:hint="eastAsia" w:ascii="方正小标宋简体" w:hAnsi="方正小标宋简体" w:eastAsia="方正小标宋简体" w:cs="方正小标宋简体"/>
                <w:color w:val="auto"/>
                <w:sz w:val="44"/>
                <w:szCs w:val="44"/>
                <w:vertAlign w:val="baseline"/>
              </w:rPr>
            </w:pPr>
            <w:r>
              <w:rPr>
                <w:rFonts w:hint="eastAsia" w:ascii="仿宋_GB2312" w:hAnsi="仿宋_GB2312" w:eastAsia="仿宋_GB2312" w:cs="仿宋_GB2312"/>
                <w:i w:val="0"/>
                <w:iCs w:val="0"/>
                <w:color w:val="000000"/>
                <w:kern w:val="0"/>
                <w:sz w:val="28"/>
                <w:szCs w:val="28"/>
                <w:u w:val="none"/>
                <w:lang w:val="en-US" w:eastAsia="zh-CN" w:bidi="ar"/>
              </w:rPr>
              <w:t>南政办发〔2020〕12号</w:t>
            </w:r>
          </w:p>
        </w:tc>
        <w:tc>
          <w:tcPr>
            <w:tcW w:w="2340" w:type="dxa"/>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县农业农村局</w:t>
            </w:r>
          </w:p>
        </w:tc>
        <w:tc>
          <w:tcPr>
            <w:tcW w:w="1814" w:type="dxa"/>
            <w:vAlign w:val="center"/>
          </w:tcPr>
          <w:p>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继续施行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Pr>
          <w:p>
            <w:pPr>
              <w:spacing w:line="320" w:lineRule="exact"/>
              <w:jc w:val="center"/>
              <w:rPr>
                <w:rFonts w:hint="default"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kern w:val="2"/>
                <w:sz w:val="28"/>
                <w:szCs w:val="28"/>
                <w:lang w:val="en-US" w:eastAsia="zh-CN" w:bidi="ar-SA"/>
              </w:rPr>
              <w:t>2</w:t>
            </w:r>
          </w:p>
        </w:tc>
        <w:tc>
          <w:tcPr>
            <w:tcW w:w="5880" w:type="dxa"/>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关于印发《南昌县农村集体资金资产资源管理办法》的通知</w:t>
            </w:r>
          </w:p>
        </w:tc>
        <w:tc>
          <w:tcPr>
            <w:tcW w:w="3270" w:type="dxa"/>
          </w:tcPr>
          <w:p>
            <w:pPr>
              <w:spacing w:line="560" w:lineRule="exact"/>
              <w:jc w:val="center"/>
              <w:rPr>
                <w:rFonts w:hint="eastAsia" w:ascii="方正小标宋简体" w:hAnsi="方正小标宋简体" w:eastAsia="方正小标宋简体" w:cs="方正小标宋简体"/>
                <w:color w:val="auto"/>
                <w:sz w:val="44"/>
                <w:szCs w:val="44"/>
                <w:vertAlign w:val="baseline"/>
              </w:rPr>
            </w:pPr>
            <w:r>
              <w:rPr>
                <w:rFonts w:hint="eastAsia" w:ascii="仿宋_GB2312" w:hAnsi="仿宋_GB2312" w:eastAsia="仿宋_GB2312" w:cs="仿宋_GB2312"/>
                <w:i w:val="0"/>
                <w:iCs w:val="0"/>
                <w:color w:val="000000"/>
                <w:kern w:val="0"/>
                <w:sz w:val="28"/>
                <w:szCs w:val="28"/>
                <w:u w:val="none"/>
                <w:lang w:val="en-US" w:eastAsia="zh-CN" w:bidi="ar"/>
              </w:rPr>
              <w:t>南政办发[2020]51号</w:t>
            </w:r>
          </w:p>
        </w:tc>
        <w:tc>
          <w:tcPr>
            <w:tcW w:w="2340" w:type="dxa"/>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县农业农村局</w:t>
            </w:r>
          </w:p>
        </w:tc>
        <w:tc>
          <w:tcPr>
            <w:tcW w:w="1814" w:type="dxa"/>
          </w:tcPr>
          <w:p>
            <w:pPr>
              <w:spacing w:line="560" w:lineRule="exact"/>
              <w:jc w:val="center"/>
              <w:rPr>
                <w:rFonts w:hint="eastAsia" w:ascii="方正小标宋简体" w:hAnsi="方正小标宋简体" w:eastAsia="方正小标宋简体" w:cs="方正小标宋简体"/>
                <w:color w:val="auto"/>
                <w:sz w:val="44"/>
                <w:szCs w:val="44"/>
                <w:vertAlign w:val="baseline"/>
              </w:rPr>
            </w:pPr>
            <w:r>
              <w:rPr>
                <w:rFonts w:hint="eastAsia" w:ascii="仿宋_GB2312" w:eastAsia="仿宋_GB2312" w:cs="仿宋_GB2312"/>
                <w:color w:val="auto"/>
                <w:sz w:val="28"/>
                <w:szCs w:val="28"/>
              </w:rPr>
              <w:t>继续施行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Pr>
          <w:p>
            <w:pPr>
              <w:spacing w:line="320" w:lineRule="exact"/>
              <w:jc w:val="center"/>
              <w:rPr>
                <w:rFonts w:hint="default"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kern w:val="2"/>
                <w:sz w:val="28"/>
                <w:szCs w:val="28"/>
                <w:lang w:val="en-US" w:eastAsia="zh-CN" w:bidi="ar-SA"/>
              </w:rPr>
              <w:t>3</w:t>
            </w:r>
          </w:p>
        </w:tc>
        <w:tc>
          <w:tcPr>
            <w:tcW w:w="5880" w:type="dxa"/>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关于印发《南昌县被征地农民参加养老保险实施办法（修订）》的通知</w:t>
            </w:r>
          </w:p>
        </w:tc>
        <w:tc>
          <w:tcPr>
            <w:tcW w:w="3270" w:type="dxa"/>
          </w:tcPr>
          <w:p>
            <w:pPr>
              <w:spacing w:line="560" w:lineRule="exact"/>
              <w:jc w:val="center"/>
              <w:rPr>
                <w:rFonts w:hint="eastAsia" w:ascii="方正小标宋简体" w:hAnsi="方正小标宋简体" w:eastAsia="方正小标宋简体" w:cs="方正小标宋简体"/>
                <w:color w:val="auto"/>
                <w:sz w:val="44"/>
                <w:szCs w:val="44"/>
                <w:vertAlign w:val="baseline"/>
              </w:rPr>
            </w:pPr>
            <w:r>
              <w:rPr>
                <w:rFonts w:hint="eastAsia" w:ascii="仿宋_GB2312" w:hAnsi="仿宋_GB2312" w:eastAsia="仿宋_GB2312" w:cs="仿宋_GB2312"/>
                <w:i w:val="0"/>
                <w:iCs w:val="0"/>
                <w:color w:val="000000"/>
                <w:kern w:val="0"/>
                <w:sz w:val="28"/>
                <w:szCs w:val="28"/>
                <w:u w:val="none"/>
                <w:lang w:val="en-US" w:eastAsia="zh-CN" w:bidi="ar"/>
              </w:rPr>
              <w:t>南政发〔2021〕8号</w:t>
            </w:r>
          </w:p>
        </w:tc>
        <w:tc>
          <w:tcPr>
            <w:tcW w:w="2340" w:type="dxa"/>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县人社局</w:t>
            </w:r>
          </w:p>
        </w:tc>
        <w:tc>
          <w:tcPr>
            <w:tcW w:w="1814" w:type="dxa"/>
          </w:tcPr>
          <w:p>
            <w:pPr>
              <w:spacing w:line="560" w:lineRule="exact"/>
              <w:jc w:val="center"/>
              <w:rPr>
                <w:rFonts w:hint="eastAsia" w:ascii="方正小标宋简体" w:hAnsi="方正小标宋简体" w:eastAsia="方正小标宋简体" w:cs="方正小标宋简体"/>
                <w:color w:val="auto"/>
                <w:sz w:val="44"/>
                <w:szCs w:val="44"/>
                <w:vertAlign w:val="baseline"/>
              </w:rPr>
            </w:pPr>
            <w:r>
              <w:rPr>
                <w:rFonts w:hint="eastAsia" w:ascii="仿宋_GB2312" w:eastAsia="仿宋_GB2312" w:cs="仿宋_GB2312"/>
                <w:color w:val="auto"/>
                <w:sz w:val="28"/>
                <w:szCs w:val="28"/>
              </w:rPr>
              <w:t>继续施行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Pr>
          <w:p>
            <w:pPr>
              <w:spacing w:line="320" w:lineRule="exact"/>
              <w:jc w:val="center"/>
              <w:rPr>
                <w:rFonts w:hint="default"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kern w:val="2"/>
                <w:sz w:val="28"/>
                <w:szCs w:val="28"/>
                <w:lang w:val="en-US" w:eastAsia="zh-CN" w:bidi="ar-SA"/>
              </w:rPr>
              <w:t>4</w:t>
            </w:r>
          </w:p>
        </w:tc>
        <w:tc>
          <w:tcPr>
            <w:tcW w:w="5880" w:type="dxa"/>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关于印发《南昌县关于促进特色文化旅游街区建设的扶持办法（试行）》的通知</w:t>
            </w:r>
          </w:p>
        </w:tc>
        <w:tc>
          <w:tcPr>
            <w:tcW w:w="3270" w:type="dxa"/>
          </w:tcPr>
          <w:p>
            <w:pPr>
              <w:spacing w:line="560" w:lineRule="exact"/>
              <w:jc w:val="center"/>
              <w:rPr>
                <w:rFonts w:hint="eastAsia" w:ascii="方正小标宋简体" w:hAnsi="方正小标宋简体" w:eastAsia="方正小标宋简体" w:cs="方正小标宋简体"/>
                <w:color w:val="auto"/>
                <w:sz w:val="44"/>
                <w:szCs w:val="44"/>
                <w:vertAlign w:val="baseline"/>
              </w:rPr>
            </w:pPr>
            <w:r>
              <w:rPr>
                <w:rFonts w:hint="eastAsia" w:ascii="仿宋_GB2312" w:hAnsi="仿宋_GB2312" w:eastAsia="仿宋_GB2312" w:cs="仿宋_GB2312"/>
                <w:i w:val="0"/>
                <w:iCs w:val="0"/>
                <w:color w:val="000000"/>
                <w:kern w:val="0"/>
                <w:sz w:val="28"/>
                <w:szCs w:val="28"/>
                <w:u w:val="none"/>
                <w:lang w:val="en-US" w:eastAsia="zh-CN" w:bidi="ar"/>
              </w:rPr>
              <w:t>南政办发〔2021〕30号</w:t>
            </w:r>
          </w:p>
        </w:tc>
        <w:tc>
          <w:tcPr>
            <w:tcW w:w="2340" w:type="dxa"/>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县文广新旅局</w:t>
            </w:r>
          </w:p>
        </w:tc>
        <w:tc>
          <w:tcPr>
            <w:tcW w:w="1814" w:type="dxa"/>
          </w:tcPr>
          <w:p>
            <w:pPr>
              <w:spacing w:line="560" w:lineRule="exact"/>
              <w:jc w:val="center"/>
              <w:rPr>
                <w:rFonts w:hint="eastAsia" w:ascii="方正小标宋简体" w:hAnsi="方正小标宋简体" w:eastAsia="方正小标宋简体" w:cs="方正小标宋简体"/>
                <w:color w:val="auto"/>
                <w:sz w:val="44"/>
                <w:szCs w:val="44"/>
                <w:vertAlign w:val="baseline"/>
              </w:rPr>
            </w:pPr>
            <w:r>
              <w:rPr>
                <w:rFonts w:hint="eastAsia" w:ascii="仿宋_GB2312" w:eastAsia="仿宋_GB2312" w:cs="仿宋_GB2312"/>
                <w:color w:val="auto"/>
                <w:sz w:val="28"/>
                <w:szCs w:val="28"/>
              </w:rPr>
              <w:t>继续施行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Pr>
          <w:p>
            <w:pPr>
              <w:spacing w:line="320" w:lineRule="exact"/>
              <w:jc w:val="center"/>
              <w:rPr>
                <w:rFonts w:hint="default"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kern w:val="2"/>
                <w:sz w:val="28"/>
                <w:szCs w:val="28"/>
                <w:lang w:val="en-US" w:eastAsia="zh-CN" w:bidi="ar-SA"/>
              </w:rPr>
              <w:t>5</w:t>
            </w:r>
          </w:p>
        </w:tc>
        <w:tc>
          <w:tcPr>
            <w:tcW w:w="5880" w:type="dxa"/>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关于印发《南昌县（小蓝经开区）外来务工人员发放住房租赁补贴操作细则》的通知</w:t>
            </w:r>
          </w:p>
        </w:tc>
        <w:tc>
          <w:tcPr>
            <w:tcW w:w="3270" w:type="dxa"/>
          </w:tcPr>
          <w:p>
            <w:pPr>
              <w:spacing w:line="560" w:lineRule="exact"/>
              <w:jc w:val="center"/>
              <w:rPr>
                <w:rFonts w:hint="eastAsia" w:ascii="方正小标宋简体" w:hAnsi="方正小标宋简体" w:eastAsia="方正小标宋简体" w:cs="方正小标宋简体"/>
                <w:color w:val="auto"/>
                <w:sz w:val="44"/>
                <w:szCs w:val="44"/>
                <w:vertAlign w:val="baseline"/>
              </w:rPr>
            </w:pPr>
            <w:r>
              <w:rPr>
                <w:rFonts w:hint="eastAsia" w:ascii="仿宋_GB2312" w:hAnsi="仿宋_GB2312" w:eastAsia="仿宋_GB2312" w:cs="仿宋_GB2312"/>
                <w:i w:val="0"/>
                <w:iCs w:val="0"/>
                <w:color w:val="000000"/>
                <w:kern w:val="0"/>
                <w:sz w:val="28"/>
                <w:szCs w:val="28"/>
                <w:u w:val="none"/>
                <w:lang w:val="en-US" w:eastAsia="zh-CN" w:bidi="ar"/>
              </w:rPr>
              <w:t>南政办发〔2021〕33号</w:t>
            </w:r>
          </w:p>
        </w:tc>
        <w:tc>
          <w:tcPr>
            <w:tcW w:w="2340" w:type="dxa"/>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县住房保障中心</w:t>
            </w:r>
          </w:p>
        </w:tc>
        <w:tc>
          <w:tcPr>
            <w:tcW w:w="1814" w:type="dxa"/>
          </w:tcPr>
          <w:p>
            <w:pPr>
              <w:spacing w:line="560" w:lineRule="exact"/>
              <w:jc w:val="center"/>
              <w:rPr>
                <w:rFonts w:hint="eastAsia" w:ascii="方正小标宋简体" w:hAnsi="方正小标宋简体" w:eastAsia="方正小标宋简体" w:cs="方正小标宋简体"/>
                <w:color w:val="auto"/>
                <w:sz w:val="44"/>
                <w:szCs w:val="44"/>
                <w:vertAlign w:val="baseline"/>
              </w:rPr>
            </w:pPr>
            <w:r>
              <w:rPr>
                <w:rFonts w:hint="eastAsia" w:ascii="仿宋_GB2312" w:eastAsia="仿宋_GB2312" w:cs="仿宋_GB2312"/>
                <w:color w:val="auto"/>
                <w:sz w:val="28"/>
                <w:szCs w:val="28"/>
              </w:rPr>
              <w:t>继续施行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Pr>
          <w:p>
            <w:pPr>
              <w:spacing w:line="320" w:lineRule="exact"/>
              <w:jc w:val="center"/>
              <w:rPr>
                <w:rFonts w:hint="default"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kern w:val="2"/>
                <w:sz w:val="28"/>
                <w:szCs w:val="28"/>
                <w:lang w:val="en-US" w:eastAsia="zh-CN" w:bidi="ar-SA"/>
              </w:rPr>
              <w:t>6</w:t>
            </w:r>
          </w:p>
        </w:tc>
        <w:tc>
          <w:tcPr>
            <w:tcW w:w="5880" w:type="dxa"/>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关于调整南昌县养犬重点管理区的通告</w:t>
            </w:r>
          </w:p>
        </w:tc>
        <w:tc>
          <w:tcPr>
            <w:tcW w:w="3270" w:type="dxa"/>
          </w:tcPr>
          <w:p>
            <w:pPr>
              <w:spacing w:line="560" w:lineRule="exact"/>
              <w:jc w:val="center"/>
              <w:rPr>
                <w:rFonts w:hint="eastAsia" w:ascii="方正小标宋简体" w:hAnsi="方正小标宋简体" w:eastAsia="方正小标宋简体" w:cs="方正小标宋简体"/>
                <w:color w:val="auto"/>
                <w:sz w:val="44"/>
                <w:szCs w:val="44"/>
                <w:vertAlign w:val="baseline"/>
              </w:rPr>
            </w:pPr>
            <w:r>
              <w:rPr>
                <w:rFonts w:hint="eastAsia" w:ascii="仿宋_GB2312" w:hAnsi="仿宋_GB2312" w:eastAsia="仿宋_GB2312" w:cs="仿宋_GB2312"/>
                <w:i w:val="0"/>
                <w:iCs w:val="0"/>
                <w:color w:val="000000"/>
                <w:kern w:val="0"/>
                <w:sz w:val="28"/>
                <w:szCs w:val="28"/>
                <w:u w:val="none"/>
                <w:lang w:val="en-US" w:eastAsia="zh-CN" w:bidi="ar"/>
              </w:rPr>
              <w:t>南政字〔2021〕129号</w:t>
            </w:r>
          </w:p>
        </w:tc>
        <w:tc>
          <w:tcPr>
            <w:tcW w:w="2340" w:type="dxa"/>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县公安局</w:t>
            </w:r>
          </w:p>
        </w:tc>
        <w:tc>
          <w:tcPr>
            <w:tcW w:w="1814" w:type="dxa"/>
          </w:tcPr>
          <w:p>
            <w:pPr>
              <w:spacing w:line="560" w:lineRule="exact"/>
              <w:jc w:val="center"/>
              <w:rPr>
                <w:rFonts w:hint="eastAsia" w:ascii="方正小标宋简体" w:hAnsi="方正小标宋简体" w:eastAsia="方正小标宋简体" w:cs="方正小标宋简体"/>
                <w:color w:val="auto"/>
                <w:sz w:val="44"/>
                <w:szCs w:val="44"/>
                <w:vertAlign w:val="baseline"/>
              </w:rPr>
            </w:pPr>
            <w:r>
              <w:rPr>
                <w:rFonts w:hint="eastAsia" w:ascii="仿宋_GB2312" w:eastAsia="仿宋_GB2312" w:cs="仿宋_GB2312"/>
                <w:color w:val="auto"/>
                <w:sz w:val="28"/>
                <w:szCs w:val="28"/>
              </w:rPr>
              <w:t>继续施行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70" w:type="dxa"/>
          </w:tcPr>
          <w:p>
            <w:pPr>
              <w:spacing w:line="320" w:lineRule="exact"/>
              <w:jc w:val="center"/>
              <w:rPr>
                <w:rFonts w:hint="default"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kern w:val="2"/>
                <w:sz w:val="28"/>
                <w:szCs w:val="28"/>
                <w:lang w:val="en-US" w:eastAsia="zh-CN" w:bidi="ar-SA"/>
              </w:rPr>
              <w:t>7</w:t>
            </w:r>
          </w:p>
        </w:tc>
        <w:tc>
          <w:tcPr>
            <w:tcW w:w="5880" w:type="dxa"/>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关于扩大禁止燃放烟花爆竹区域的通告</w:t>
            </w:r>
          </w:p>
        </w:tc>
        <w:tc>
          <w:tcPr>
            <w:tcW w:w="3270" w:type="dxa"/>
          </w:tcPr>
          <w:p>
            <w:pPr>
              <w:spacing w:line="560" w:lineRule="exact"/>
              <w:jc w:val="center"/>
              <w:rPr>
                <w:rFonts w:hint="eastAsia" w:ascii="方正小标宋简体" w:hAnsi="方正小标宋简体" w:eastAsia="方正小标宋简体" w:cs="方正小标宋简体"/>
                <w:color w:val="auto"/>
                <w:sz w:val="44"/>
                <w:szCs w:val="44"/>
                <w:vertAlign w:val="baseline"/>
              </w:rPr>
            </w:pPr>
            <w:r>
              <w:rPr>
                <w:rFonts w:hint="eastAsia" w:ascii="仿宋_GB2312" w:hAnsi="仿宋_GB2312" w:eastAsia="仿宋_GB2312" w:cs="仿宋_GB2312"/>
                <w:i w:val="0"/>
                <w:iCs w:val="0"/>
                <w:color w:val="000000"/>
                <w:kern w:val="0"/>
                <w:sz w:val="28"/>
                <w:szCs w:val="28"/>
                <w:u w:val="none"/>
                <w:lang w:val="en-US" w:eastAsia="zh-CN" w:bidi="ar"/>
              </w:rPr>
              <w:t>南政字〔2021〕130号</w:t>
            </w:r>
          </w:p>
        </w:tc>
        <w:tc>
          <w:tcPr>
            <w:tcW w:w="2340" w:type="dxa"/>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县公安局</w:t>
            </w:r>
          </w:p>
        </w:tc>
        <w:tc>
          <w:tcPr>
            <w:tcW w:w="1814" w:type="dxa"/>
          </w:tcPr>
          <w:p>
            <w:pPr>
              <w:spacing w:line="560" w:lineRule="exact"/>
              <w:jc w:val="center"/>
              <w:rPr>
                <w:rFonts w:hint="eastAsia" w:ascii="方正小标宋简体" w:hAnsi="方正小标宋简体" w:eastAsia="方正小标宋简体" w:cs="方正小标宋简体"/>
                <w:color w:val="auto"/>
                <w:sz w:val="44"/>
                <w:szCs w:val="44"/>
                <w:vertAlign w:val="baseline"/>
              </w:rPr>
            </w:pPr>
            <w:r>
              <w:rPr>
                <w:rFonts w:hint="eastAsia" w:ascii="仿宋_GB2312" w:eastAsia="仿宋_GB2312" w:cs="仿宋_GB2312"/>
                <w:color w:val="auto"/>
                <w:sz w:val="28"/>
                <w:szCs w:val="28"/>
              </w:rPr>
              <w:t>继续施行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Pr>
          <w:p>
            <w:pPr>
              <w:spacing w:line="320" w:lineRule="exact"/>
              <w:jc w:val="center"/>
              <w:rPr>
                <w:rFonts w:hint="default"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kern w:val="2"/>
                <w:sz w:val="28"/>
                <w:szCs w:val="28"/>
                <w:lang w:val="en-US" w:eastAsia="zh-CN" w:bidi="ar-SA"/>
              </w:rPr>
              <w:t>8</w:t>
            </w:r>
          </w:p>
        </w:tc>
        <w:tc>
          <w:tcPr>
            <w:tcW w:w="5880" w:type="dxa"/>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关于印发《南昌县公租房实物配租管理办法》的通知</w:t>
            </w:r>
          </w:p>
        </w:tc>
        <w:tc>
          <w:tcPr>
            <w:tcW w:w="3270" w:type="dxa"/>
          </w:tcPr>
          <w:p>
            <w:pPr>
              <w:spacing w:line="560" w:lineRule="exact"/>
              <w:jc w:val="center"/>
              <w:rPr>
                <w:rFonts w:hint="eastAsia" w:ascii="方正小标宋简体" w:hAnsi="方正小标宋简体" w:eastAsia="方正小标宋简体" w:cs="方正小标宋简体"/>
                <w:color w:val="auto"/>
                <w:sz w:val="44"/>
                <w:szCs w:val="44"/>
                <w:vertAlign w:val="baseline"/>
              </w:rPr>
            </w:pPr>
            <w:r>
              <w:rPr>
                <w:rFonts w:hint="eastAsia" w:ascii="仿宋_GB2312" w:hAnsi="仿宋_GB2312" w:eastAsia="仿宋_GB2312" w:cs="仿宋_GB2312"/>
                <w:i w:val="0"/>
                <w:iCs w:val="0"/>
                <w:color w:val="000000"/>
                <w:kern w:val="0"/>
                <w:sz w:val="28"/>
                <w:szCs w:val="28"/>
                <w:u w:val="none"/>
                <w:lang w:val="en-US" w:eastAsia="zh-CN" w:bidi="ar"/>
              </w:rPr>
              <w:t>南政办发〔2022〕23号</w:t>
            </w:r>
          </w:p>
        </w:tc>
        <w:tc>
          <w:tcPr>
            <w:tcW w:w="2340" w:type="dxa"/>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县住房保障中心</w:t>
            </w:r>
          </w:p>
        </w:tc>
        <w:tc>
          <w:tcPr>
            <w:tcW w:w="1814" w:type="dxa"/>
          </w:tcPr>
          <w:p>
            <w:pPr>
              <w:spacing w:line="560" w:lineRule="exact"/>
              <w:jc w:val="center"/>
              <w:rPr>
                <w:rFonts w:hint="eastAsia" w:ascii="方正小标宋简体" w:hAnsi="方正小标宋简体" w:eastAsia="方正小标宋简体" w:cs="方正小标宋简体"/>
                <w:color w:val="auto"/>
                <w:sz w:val="44"/>
                <w:szCs w:val="44"/>
                <w:vertAlign w:val="baseline"/>
              </w:rPr>
            </w:pPr>
            <w:r>
              <w:rPr>
                <w:rFonts w:hint="eastAsia" w:ascii="仿宋_GB2312" w:eastAsia="仿宋_GB2312" w:cs="仿宋_GB2312"/>
                <w:color w:val="auto"/>
                <w:sz w:val="28"/>
                <w:szCs w:val="28"/>
              </w:rPr>
              <w:t>继续施行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Pr>
          <w:p>
            <w:pPr>
              <w:spacing w:line="320" w:lineRule="exact"/>
              <w:jc w:val="center"/>
              <w:rPr>
                <w:rFonts w:hint="default"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kern w:val="2"/>
                <w:sz w:val="28"/>
                <w:szCs w:val="28"/>
                <w:lang w:val="en-US" w:eastAsia="zh-CN" w:bidi="ar-SA"/>
              </w:rPr>
              <w:t>9</w:t>
            </w:r>
          </w:p>
        </w:tc>
        <w:tc>
          <w:tcPr>
            <w:tcW w:w="5880" w:type="dxa"/>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关于印发《南昌县保障性租赁住房建设和管理实施办法》的通知</w:t>
            </w:r>
          </w:p>
        </w:tc>
        <w:tc>
          <w:tcPr>
            <w:tcW w:w="3270" w:type="dxa"/>
          </w:tcPr>
          <w:p>
            <w:pPr>
              <w:spacing w:line="560" w:lineRule="exact"/>
              <w:jc w:val="center"/>
              <w:rPr>
                <w:rFonts w:hint="eastAsia" w:ascii="方正小标宋简体" w:hAnsi="方正小标宋简体" w:eastAsia="方正小标宋简体" w:cs="方正小标宋简体"/>
                <w:color w:val="auto"/>
                <w:sz w:val="44"/>
                <w:szCs w:val="44"/>
                <w:vertAlign w:val="baseline"/>
              </w:rPr>
            </w:pPr>
            <w:r>
              <w:rPr>
                <w:rFonts w:hint="eastAsia" w:ascii="仿宋_GB2312" w:hAnsi="仿宋_GB2312" w:eastAsia="仿宋_GB2312" w:cs="仿宋_GB2312"/>
                <w:i w:val="0"/>
                <w:iCs w:val="0"/>
                <w:color w:val="000000"/>
                <w:kern w:val="0"/>
                <w:sz w:val="28"/>
                <w:szCs w:val="28"/>
                <w:u w:val="none"/>
                <w:lang w:val="en-US" w:eastAsia="zh-CN" w:bidi="ar"/>
              </w:rPr>
              <w:t>南政办发〔2022〕24号</w:t>
            </w:r>
          </w:p>
        </w:tc>
        <w:tc>
          <w:tcPr>
            <w:tcW w:w="2340" w:type="dxa"/>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县住房保障中心</w:t>
            </w:r>
          </w:p>
        </w:tc>
        <w:tc>
          <w:tcPr>
            <w:tcW w:w="1814" w:type="dxa"/>
          </w:tcPr>
          <w:p>
            <w:pPr>
              <w:spacing w:line="560" w:lineRule="exact"/>
              <w:jc w:val="center"/>
              <w:rPr>
                <w:rFonts w:hint="eastAsia" w:ascii="方正小标宋简体" w:hAnsi="方正小标宋简体" w:eastAsia="方正小标宋简体" w:cs="方正小标宋简体"/>
                <w:color w:val="auto"/>
                <w:sz w:val="44"/>
                <w:szCs w:val="44"/>
                <w:vertAlign w:val="baseline"/>
              </w:rPr>
            </w:pPr>
            <w:r>
              <w:rPr>
                <w:rFonts w:hint="eastAsia" w:ascii="仿宋_GB2312" w:eastAsia="仿宋_GB2312" w:cs="仿宋_GB2312"/>
                <w:color w:val="auto"/>
                <w:sz w:val="28"/>
                <w:szCs w:val="28"/>
              </w:rPr>
              <w:t>继续施行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70" w:type="dxa"/>
          </w:tcPr>
          <w:p>
            <w:pPr>
              <w:spacing w:line="320" w:lineRule="exact"/>
              <w:jc w:val="center"/>
              <w:rPr>
                <w:rFonts w:hint="default" w:ascii="仿宋_GB2312" w:hAnsi="Calibri" w:eastAsia="仿宋_GB2312" w:cs="仿宋_GB2312"/>
                <w:color w:val="auto"/>
                <w:kern w:val="2"/>
                <w:sz w:val="28"/>
                <w:szCs w:val="28"/>
                <w:lang w:val="en-US" w:eastAsia="zh-CN" w:bidi="ar-SA"/>
              </w:rPr>
            </w:pPr>
            <w:r>
              <w:rPr>
                <w:rFonts w:hint="eastAsia" w:ascii="仿宋_GB2312" w:hAnsi="Calibri" w:eastAsia="仿宋_GB2312" w:cs="仿宋_GB2312"/>
                <w:color w:val="auto"/>
                <w:kern w:val="2"/>
                <w:sz w:val="28"/>
                <w:szCs w:val="28"/>
                <w:lang w:val="en-US" w:eastAsia="zh-CN" w:bidi="ar-SA"/>
              </w:rPr>
              <w:t>1</w:t>
            </w:r>
            <w:r>
              <w:rPr>
                <w:rFonts w:hint="eastAsia" w:ascii="仿宋_GB2312" w:eastAsia="仿宋_GB2312" w:cs="仿宋_GB2312"/>
                <w:color w:val="auto"/>
                <w:kern w:val="2"/>
                <w:sz w:val="28"/>
                <w:szCs w:val="28"/>
                <w:lang w:val="en-US" w:eastAsia="zh-CN" w:bidi="ar-SA"/>
              </w:rPr>
              <w:t>0</w:t>
            </w:r>
          </w:p>
        </w:tc>
        <w:tc>
          <w:tcPr>
            <w:tcW w:w="5880" w:type="dxa"/>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关于印发《南昌县关于有效应对新冠疫情影响促进房地产市场健康发展的若干措施》的通知</w:t>
            </w:r>
          </w:p>
        </w:tc>
        <w:tc>
          <w:tcPr>
            <w:tcW w:w="3270" w:type="dxa"/>
          </w:tcPr>
          <w:p>
            <w:pPr>
              <w:spacing w:line="560" w:lineRule="exact"/>
              <w:jc w:val="center"/>
              <w:rPr>
                <w:rFonts w:hint="eastAsia" w:ascii="方正小标宋简体" w:hAnsi="方正小标宋简体" w:eastAsia="方正小标宋简体" w:cs="方正小标宋简体"/>
                <w:color w:val="auto"/>
                <w:sz w:val="44"/>
                <w:szCs w:val="44"/>
                <w:vertAlign w:val="baseline"/>
              </w:rPr>
            </w:pPr>
            <w:r>
              <w:rPr>
                <w:rFonts w:hint="eastAsia" w:ascii="仿宋_GB2312" w:hAnsi="仿宋_GB2312" w:eastAsia="仿宋_GB2312" w:cs="仿宋_GB2312"/>
                <w:i w:val="0"/>
                <w:iCs w:val="0"/>
                <w:color w:val="000000"/>
                <w:kern w:val="0"/>
                <w:sz w:val="28"/>
                <w:szCs w:val="28"/>
                <w:u w:val="none"/>
                <w:lang w:val="en-US" w:eastAsia="zh-CN" w:bidi="ar"/>
              </w:rPr>
              <w:t>南政办发〔2022〕35号</w:t>
            </w:r>
          </w:p>
        </w:tc>
        <w:tc>
          <w:tcPr>
            <w:tcW w:w="2340" w:type="dxa"/>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县住房保障中心</w:t>
            </w:r>
          </w:p>
        </w:tc>
        <w:tc>
          <w:tcPr>
            <w:tcW w:w="1814" w:type="dxa"/>
          </w:tcPr>
          <w:p>
            <w:pPr>
              <w:spacing w:line="560" w:lineRule="exact"/>
              <w:jc w:val="center"/>
              <w:rPr>
                <w:rFonts w:hint="eastAsia" w:ascii="方正小标宋简体" w:hAnsi="方正小标宋简体" w:eastAsia="方正小标宋简体" w:cs="方正小标宋简体"/>
                <w:color w:val="auto"/>
                <w:sz w:val="44"/>
                <w:szCs w:val="44"/>
                <w:vertAlign w:val="baseline"/>
              </w:rPr>
            </w:pPr>
            <w:r>
              <w:rPr>
                <w:rFonts w:hint="eastAsia" w:ascii="仿宋_GB2312" w:eastAsia="仿宋_GB2312" w:cs="仿宋_GB2312"/>
                <w:color w:val="auto"/>
                <w:sz w:val="28"/>
                <w:szCs w:val="28"/>
              </w:rPr>
              <w:t>继续施行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Pr>
          <w:p>
            <w:pPr>
              <w:spacing w:line="320" w:lineRule="exact"/>
              <w:jc w:val="center"/>
              <w:rPr>
                <w:rFonts w:hint="default" w:ascii="仿宋_GB2312" w:hAnsi="Calibri" w:eastAsia="仿宋_GB2312" w:cs="仿宋_GB2312"/>
                <w:color w:val="auto"/>
                <w:kern w:val="2"/>
                <w:sz w:val="28"/>
                <w:szCs w:val="28"/>
                <w:lang w:val="en-US" w:eastAsia="zh-CN" w:bidi="ar-SA"/>
              </w:rPr>
            </w:pPr>
            <w:r>
              <w:rPr>
                <w:rFonts w:hint="eastAsia" w:ascii="仿宋_GB2312" w:hAnsi="Calibri" w:eastAsia="仿宋_GB2312" w:cs="仿宋_GB2312"/>
                <w:color w:val="auto"/>
                <w:kern w:val="2"/>
                <w:sz w:val="28"/>
                <w:szCs w:val="28"/>
                <w:lang w:val="en-US" w:eastAsia="zh-CN" w:bidi="ar-SA"/>
              </w:rPr>
              <w:t>1</w:t>
            </w:r>
            <w:r>
              <w:rPr>
                <w:rFonts w:hint="eastAsia" w:ascii="仿宋_GB2312" w:eastAsia="仿宋_GB2312" w:cs="仿宋_GB2312"/>
                <w:color w:val="auto"/>
                <w:kern w:val="2"/>
                <w:sz w:val="28"/>
                <w:szCs w:val="28"/>
                <w:lang w:val="en-US" w:eastAsia="zh-CN" w:bidi="ar-SA"/>
              </w:rPr>
              <w:t>1</w:t>
            </w:r>
          </w:p>
        </w:tc>
        <w:tc>
          <w:tcPr>
            <w:tcW w:w="5880" w:type="dxa"/>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关于印发《南昌县（小蓝经开区）乡村振兴产业高质量发展扶持办法（试行）》的通知</w:t>
            </w:r>
          </w:p>
        </w:tc>
        <w:tc>
          <w:tcPr>
            <w:tcW w:w="3270" w:type="dxa"/>
          </w:tcPr>
          <w:p>
            <w:pPr>
              <w:spacing w:line="560" w:lineRule="exact"/>
              <w:jc w:val="center"/>
              <w:rPr>
                <w:rFonts w:hint="eastAsia" w:ascii="方正小标宋简体" w:hAnsi="方正小标宋简体" w:eastAsia="方正小标宋简体" w:cs="方正小标宋简体"/>
                <w:color w:val="auto"/>
                <w:sz w:val="44"/>
                <w:szCs w:val="44"/>
                <w:vertAlign w:val="baseline"/>
              </w:rPr>
            </w:pPr>
            <w:r>
              <w:rPr>
                <w:rFonts w:hint="eastAsia" w:ascii="仿宋_GB2312" w:hAnsi="仿宋_GB2312" w:eastAsia="仿宋_GB2312" w:cs="仿宋_GB2312"/>
                <w:i w:val="0"/>
                <w:iCs w:val="0"/>
                <w:color w:val="000000"/>
                <w:kern w:val="0"/>
                <w:sz w:val="28"/>
                <w:szCs w:val="28"/>
                <w:u w:val="none"/>
                <w:lang w:val="en-US" w:eastAsia="zh-CN" w:bidi="ar"/>
              </w:rPr>
              <w:t>南政办发〔2022〕37号</w:t>
            </w:r>
          </w:p>
        </w:tc>
        <w:tc>
          <w:tcPr>
            <w:tcW w:w="2340" w:type="dxa"/>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县农业农村局</w:t>
            </w:r>
          </w:p>
        </w:tc>
        <w:tc>
          <w:tcPr>
            <w:tcW w:w="1814" w:type="dxa"/>
          </w:tcPr>
          <w:p>
            <w:pPr>
              <w:spacing w:line="560" w:lineRule="exact"/>
              <w:jc w:val="center"/>
              <w:rPr>
                <w:rFonts w:hint="eastAsia" w:ascii="方正小标宋简体" w:hAnsi="方正小标宋简体" w:eastAsia="方正小标宋简体" w:cs="方正小标宋简体"/>
                <w:color w:val="auto"/>
                <w:sz w:val="44"/>
                <w:szCs w:val="44"/>
                <w:vertAlign w:val="baseline"/>
              </w:rPr>
            </w:pPr>
            <w:r>
              <w:rPr>
                <w:rFonts w:hint="eastAsia" w:ascii="仿宋_GB2312" w:eastAsia="仿宋_GB2312" w:cs="仿宋_GB2312"/>
                <w:color w:val="auto"/>
                <w:sz w:val="28"/>
                <w:szCs w:val="28"/>
              </w:rPr>
              <w:t>继续施行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Pr>
          <w:p>
            <w:pPr>
              <w:spacing w:line="320" w:lineRule="exact"/>
              <w:jc w:val="center"/>
              <w:rPr>
                <w:rFonts w:hint="default" w:ascii="仿宋_GB2312" w:hAnsi="Calibri" w:eastAsia="仿宋_GB2312" w:cs="仿宋_GB2312"/>
                <w:color w:val="auto"/>
                <w:kern w:val="2"/>
                <w:sz w:val="28"/>
                <w:szCs w:val="28"/>
                <w:lang w:val="en-US" w:eastAsia="zh-CN" w:bidi="ar-SA"/>
              </w:rPr>
            </w:pPr>
            <w:r>
              <w:rPr>
                <w:rFonts w:hint="eastAsia" w:ascii="仿宋_GB2312" w:hAnsi="Calibri" w:eastAsia="仿宋_GB2312" w:cs="仿宋_GB2312"/>
                <w:color w:val="auto"/>
                <w:kern w:val="2"/>
                <w:sz w:val="28"/>
                <w:szCs w:val="28"/>
                <w:lang w:val="en-US" w:eastAsia="zh-CN" w:bidi="ar-SA"/>
              </w:rPr>
              <w:t>1</w:t>
            </w:r>
            <w:r>
              <w:rPr>
                <w:rFonts w:hint="eastAsia" w:ascii="仿宋_GB2312" w:eastAsia="仿宋_GB2312" w:cs="仿宋_GB2312"/>
                <w:color w:val="auto"/>
                <w:kern w:val="2"/>
                <w:sz w:val="28"/>
                <w:szCs w:val="28"/>
                <w:lang w:val="en-US" w:eastAsia="zh-CN" w:bidi="ar-SA"/>
              </w:rPr>
              <w:t>2</w:t>
            </w:r>
          </w:p>
        </w:tc>
        <w:tc>
          <w:tcPr>
            <w:tcW w:w="5880" w:type="dxa"/>
          </w:tcPr>
          <w:p>
            <w:pPr>
              <w:spacing w:line="560" w:lineRule="exact"/>
              <w:jc w:val="center"/>
              <w:rPr>
                <w:rFonts w:hint="default" w:ascii="方正小标宋简体" w:hAnsi="方正小标宋简体" w:eastAsia="方正小标宋简体" w:cs="方正小标宋简体"/>
                <w:color w:val="auto"/>
                <w:sz w:val="44"/>
                <w:szCs w:val="44"/>
                <w:vertAlign w:val="baseline"/>
                <w:lang w:val="en-US"/>
              </w:rPr>
            </w:pPr>
            <w:r>
              <w:rPr>
                <w:rFonts w:hint="eastAsia" w:ascii="仿宋_GB2312" w:hAnsi="仿宋_GB2312" w:eastAsia="仿宋_GB2312" w:cs="仿宋_GB2312"/>
                <w:sz w:val="28"/>
                <w:szCs w:val="28"/>
                <w:vertAlign w:val="baseline"/>
                <w:lang w:val="en-US" w:eastAsia="zh-CN"/>
              </w:rPr>
              <w:t>关于印发《南昌县县级储备粮管理办法（修订）》的通知</w:t>
            </w:r>
          </w:p>
        </w:tc>
        <w:tc>
          <w:tcPr>
            <w:tcW w:w="3270" w:type="dxa"/>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南政发</w:t>
            </w:r>
            <w:r>
              <w:rPr>
                <w:rFonts w:hint="eastAsia" w:ascii="仿宋_GB2312" w:hAnsi="仿宋_GB2312" w:eastAsia="仿宋_GB2312" w:cs="仿宋_GB2312"/>
                <w:sz w:val="28"/>
                <w:szCs w:val="28"/>
              </w:rPr>
              <w:t>〔2022〕</w:t>
            </w:r>
            <w:r>
              <w:rPr>
                <w:rFonts w:hint="eastAsia" w:ascii="仿宋_GB2312" w:hAnsi="仿宋_GB2312" w:eastAsia="仿宋_GB2312" w:cs="仿宋_GB2312"/>
                <w:sz w:val="28"/>
                <w:szCs w:val="28"/>
                <w:lang w:val="en-US" w:eastAsia="zh-CN"/>
              </w:rPr>
              <w:t>15</w:t>
            </w:r>
            <w:r>
              <w:rPr>
                <w:rFonts w:hint="eastAsia" w:ascii="仿宋_GB2312" w:hAnsi="仿宋_GB2312" w:eastAsia="仿宋_GB2312" w:cs="仿宋_GB2312"/>
                <w:sz w:val="28"/>
                <w:szCs w:val="28"/>
              </w:rPr>
              <w:t>号</w:t>
            </w:r>
          </w:p>
          <w:p>
            <w:pPr>
              <w:spacing w:line="560" w:lineRule="exact"/>
              <w:jc w:val="center"/>
              <w:rPr>
                <w:rFonts w:hint="eastAsia" w:ascii="方正小标宋简体" w:hAnsi="方正小标宋简体" w:eastAsia="方正小标宋简体" w:cs="方正小标宋简体"/>
                <w:color w:val="auto"/>
                <w:sz w:val="44"/>
                <w:szCs w:val="44"/>
                <w:vertAlign w:val="baseline"/>
              </w:rPr>
            </w:pPr>
          </w:p>
        </w:tc>
        <w:tc>
          <w:tcPr>
            <w:tcW w:w="2340" w:type="dxa"/>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县发改委</w:t>
            </w:r>
          </w:p>
        </w:tc>
        <w:tc>
          <w:tcPr>
            <w:tcW w:w="1814" w:type="dxa"/>
          </w:tcPr>
          <w:p>
            <w:pPr>
              <w:spacing w:line="560" w:lineRule="exact"/>
              <w:jc w:val="center"/>
              <w:rPr>
                <w:rFonts w:hint="eastAsia" w:ascii="方正小标宋简体" w:hAnsi="方正小标宋简体" w:eastAsia="方正小标宋简体" w:cs="方正小标宋简体"/>
                <w:color w:val="auto"/>
                <w:sz w:val="44"/>
                <w:szCs w:val="44"/>
                <w:vertAlign w:val="baseline"/>
              </w:rPr>
            </w:pPr>
            <w:r>
              <w:rPr>
                <w:rFonts w:hint="eastAsia" w:ascii="仿宋_GB2312" w:eastAsia="仿宋_GB2312" w:cs="仿宋_GB2312"/>
                <w:color w:val="auto"/>
                <w:sz w:val="28"/>
                <w:szCs w:val="28"/>
              </w:rPr>
              <w:t>继续施行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0" w:type="dxa"/>
          </w:tcPr>
          <w:p>
            <w:pPr>
              <w:spacing w:line="320" w:lineRule="exact"/>
              <w:jc w:val="center"/>
              <w:rPr>
                <w:rFonts w:hint="default" w:ascii="仿宋_GB2312" w:hAnsi="Calibri" w:eastAsia="仿宋_GB2312" w:cs="仿宋_GB2312"/>
                <w:color w:val="auto"/>
                <w:kern w:val="2"/>
                <w:sz w:val="28"/>
                <w:szCs w:val="28"/>
                <w:lang w:val="en-US" w:eastAsia="zh-CN" w:bidi="ar-SA"/>
              </w:rPr>
            </w:pPr>
            <w:r>
              <w:rPr>
                <w:rFonts w:hint="eastAsia" w:ascii="仿宋_GB2312" w:hAnsi="Calibri" w:eastAsia="仿宋_GB2312" w:cs="仿宋_GB2312"/>
                <w:color w:val="auto"/>
                <w:kern w:val="2"/>
                <w:sz w:val="28"/>
                <w:szCs w:val="28"/>
                <w:lang w:val="en-US" w:eastAsia="zh-CN" w:bidi="ar-SA"/>
              </w:rPr>
              <w:t>1</w:t>
            </w:r>
            <w:r>
              <w:rPr>
                <w:rFonts w:hint="eastAsia" w:ascii="仿宋_GB2312" w:eastAsia="仿宋_GB2312" w:cs="仿宋_GB2312"/>
                <w:color w:val="auto"/>
                <w:kern w:val="2"/>
                <w:sz w:val="28"/>
                <w:szCs w:val="28"/>
                <w:lang w:val="en-US" w:eastAsia="zh-CN" w:bidi="ar-SA"/>
              </w:rPr>
              <w:t>3</w:t>
            </w:r>
          </w:p>
        </w:tc>
        <w:tc>
          <w:tcPr>
            <w:tcW w:w="5880" w:type="dxa"/>
          </w:tcPr>
          <w:p>
            <w:pPr>
              <w:spacing w:line="560" w:lineRule="exact"/>
              <w:jc w:val="center"/>
              <w:rPr>
                <w:rFonts w:hint="default" w:ascii="方正小标宋简体" w:hAnsi="方正小标宋简体" w:eastAsia="方正小标宋简体" w:cs="方正小标宋简体"/>
                <w:color w:val="auto"/>
                <w:sz w:val="44"/>
                <w:szCs w:val="44"/>
                <w:vertAlign w:val="baseline"/>
                <w:lang w:val="en-US"/>
              </w:rPr>
            </w:pPr>
            <w:r>
              <w:rPr>
                <w:rFonts w:hint="eastAsia" w:ascii="仿宋_GB2312" w:hAnsi="仿宋_GB2312" w:eastAsia="仿宋_GB2312" w:cs="仿宋_GB2312"/>
                <w:sz w:val="28"/>
                <w:szCs w:val="28"/>
                <w:vertAlign w:val="baseline"/>
                <w:lang w:val="en-US" w:eastAsia="zh-CN"/>
              </w:rPr>
              <w:t>关于印发《南昌县城镇排水与污水处理管理细则》的通知</w:t>
            </w:r>
          </w:p>
        </w:tc>
        <w:tc>
          <w:tcPr>
            <w:tcW w:w="3270" w:type="dxa"/>
          </w:tcPr>
          <w:p>
            <w:pPr>
              <w:spacing w:line="560" w:lineRule="exact"/>
              <w:jc w:val="center"/>
              <w:rPr>
                <w:rFonts w:hint="eastAsia" w:ascii="方正小标宋简体" w:hAnsi="方正小标宋简体" w:eastAsia="方正小标宋简体" w:cs="方正小标宋简体"/>
                <w:color w:val="auto"/>
                <w:sz w:val="44"/>
                <w:szCs w:val="44"/>
                <w:vertAlign w:val="baseline"/>
              </w:rPr>
            </w:pPr>
            <w:r>
              <w:rPr>
                <w:rFonts w:hint="eastAsia" w:ascii="仿宋_GB2312" w:hAnsi="仿宋_GB2312" w:eastAsia="仿宋_GB2312" w:cs="仿宋_GB2312"/>
                <w:sz w:val="28"/>
                <w:szCs w:val="28"/>
                <w:vertAlign w:val="baseline"/>
                <w:lang w:val="en-US" w:eastAsia="zh-CN"/>
              </w:rPr>
              <w:t>南政发〔2022〕17号</w:t>
            </w:r>
          </w:p>
        </w:tc>
        <w:tc>
          <w:tcPr>
            <w:tcW w:w="2340" w:type="dxa"/>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县城管执法局</w:t>
            </w:r>
          </w:p>
        </w:tc>
        <w:tc>
          <w:tcPr>
            <w:tcW w:w="1814" w:type="dxa"/>
          </w:tcPr>
          <w:p>
            <w:pPr>
              <w:spacing w:line="560" w:lineRule="exact"/>
              <w:jc w:val="center"/>
              <w:rPr>
                <w:rFonts w:hint="eastAsia" w:ascii="方正小标宋简体" w:hAnsi="方正小标宋简体" w:eastAsia="方正小标宋简体" w:cs="方正小标宋简体"/>
                <w:color w:val="auto"/>
                <w:sz w:val="44"/>
                <w:szCs w:val="44"/>
                <w:vertAlign w:val="baseline"/>
              </w:rPr>
            </w:pPr>
            <w:r>
              <w:rPr>
                <w:rFonts w:hint="eastAsia" w:ascii="仿宋_GB2312" w:eastAsia="仿宋_GB2312" w:cs="仿宋_GB2312"/>
                <w:color w:val="auto"/>
                <w:sz w:val="28"/>
                <w:szCs w:val="28"/>
              </w:rPr>
              <w:t>继续施行</w:t>
            </w:r>
          </w:p>
        </w:tc>
      </w:tr>
    </w:tbl>
    <w:p>
      <w:pPr>
        <w:numPr>
          <w:ilvl w:val="0"/>
          <w:numId w:val="1"/>
        </w:numPr>
        <w:spacing w:line="560" w:lineRule="exact"/>
        <w:rPr>
          <w:rFonts w:hint="eastAsia" w:ascii="黑体" w:hAnsi="黑体" w:eastAsia="黑体" w:cs="黑体"/>
          <w:color w:val="auto"/>
          <w:sz w:val="30"/>
          <w:szCs w:val="30"/>
        </w:rPr>
      </w:pPr>
      <w:r>
        <w:rPr>
          <w:rFonts w:hint="eastAsia" w:ascii="黑体" w:hAnsi="黑体" w:eastAsia="黑体" w:cs="黑体"/>
          <w:color w:val="auto"/>
          <w:sz w:val="30"/>
          <w:szCs w:val="30"/>
          <w:lang w:val="en-US" w:eastAsia="zh-CN"/>
        </w:rPr>
        <w:t>废止</w:t>
      </w:r>
      <w:r>
        <w:rPr>
          <w:rFonts w:hint="eastAsia" w:ascii="黑体" w:hAnsi="黑体" w:eastAsia="黑体" w:cs="黑体"/>
          <w:color w:val="auto"/>
          <w:sz w:val="30"/>
          <w:szCs w:val="30"/>
        </w:rPr>
        <w:t>的</w:t>
      </w:r>
      <w:r>
        <w:rPr>
          <w:rFonts w:hint="eastAsia" w:ascii="黑体" w:hAnsi="黑体" w:eastAsia="黑体" w:cs="黑体"/>
          <w:color w:val="auto"/>
          <w:sz w:val="30"/>
          <w:szCs w:val="30"/>
          <w:lang w:val="en-US" w:eastAsia="zh-CN"/>
        </w:rPr>
        <w:t>行政</w:t>
      </w:r>
      <w:r>
        <w:rPr>
          <w:rFonts w:hint="eastAsia" w:ascii="黑体" w:hAnsi="黑体" w:eastAsia="黑体" w:cs="黑体"/>
          <w:color w:val="auto"/>
          <w:sz w:val="30"/>
          <w:szCs w:val="30"/>
        </w:rPr>
        <w:t>规范性文件（</w:t>
      </w:r>
      <w:r>
        <w:rPr>
          <w:rFonts w:hint="eastAsia" w:ascii="黑体" w:hAnsi="黑体" w:eastAsia="黑体" w:cs="黑体"/>
          <w:color w:val="auto"/>
          <w:sz w:val="30"/>
          <w:szCs w:val="30"/>
          <w:lang w:val="en-US" w:eastAsia="zh-CN"/>
        </w:rPr>
        <w:t>0</w:t>
      </w:r>
      <w:r>
        <w:rPr>
          <w:rFonts w:hint="eastAsia" w:ascii="黑体" w:hAnsi="黑体" w:eastAsia="黑体" w:cs="黑体"/>
          <w:color w:val="auto"/>
          <w:sz w:val="30"/>
          <w:szCs w:val="30"/>
        </w:rPr>
        <w:t>件）</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4"/>
        <w:gridCol w:w="2835"/>
        <w:gridCol w:w="2835"/>
        <w:gridCol w:w="2835"/>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4" w:type="dxa"/>
            <w:vAlign w:val="center"/>
          </w:tcPr>
          <w:p>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序号</w:t>
            </w:r>
          </w:p>
        </w:tc>
        <w:tc>
          <w:tcPr>
            <w:tcW w:w="2835" w:type="dxa"/>
            <w:vAlign w:val="center"/>
          </w:tcPr>
          <w:p>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文件名称</w:t>
            </w:r>
          </w:p>
        </w:tc>
        <w:tc>
          <w:tcPr>
            <w:tcW w:w="2835" w:type="dxa"/>
            <w:vAlign w:val="center"/>
          </w:tcPr>
          <w:p>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文号</w:t>
            </w:r>
          </w:p>
        </w:tc>
        <w:tc>
          <w:tcPr>
            <w:tcW w:w="2835" w:type="dxa"/>
            <w:vAlign w:val="center"/>
          </w:tcPr>
          <w:p>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起草或实施单位</w:t>
            </w:r>
          </w:p>
        </w:tc>
        <w:tc>
          <w:tcPr>
            <w:tcW w:w="2835" w:type="dxa"/>
            <w:vAlign w:val="center"/>
          </w:tcPr>
          <w:p>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4" w:type="dxa"/>
          </w:tcPr>
          <w:p>
            <w:pPr>
              <w:pStyle w:val="2"/>
              <w:numPr>
                <w:ilvl w:val="0"/>
                <w:numId w:val="0"/>
              </w:numPr>
              <w:rPr>
                <w:rFonts w:hint="eastAsia" w:eastAsia="仿宋_GB2312"/>
                <w:vertAlign w:val="baseline"/>
                <w:lang w:val="en-US" w:eastAsia="zh-CN"/>
              </w:rPr>
            </w:pPr>
            <w:r>
              <w:rPr>
                <w:rFonts w:hint="eastAsia"/>
                <w:vertAlign w:val="baseline"/>
                <w:lang w:val="en-US" w:eastAsia="zh-CN"/>
              </w:rPr>
              <w:t>无</w:t>
            </w:r>
          </w:p>
        </w:tc>
        <w:tc>
          <w:tcPr>
            <w:tcW w:w="2835" w:type="dxa"/>
          </w:tcPr>
          <w:p>
            <w:pPr>
              <w:pStyle w:val="2"/>
              <w:numPr>
                <w:ilvl w:val="0"/>
                <w:numId w:val="0"/>
              </w:numPr>
              <w:rPr>
                <w:rFonts w:hint="eastAsia"/>
                <w:vertAlign w:val="baseline"/>
              </w:rPr>
            </w:pPr>
          </w:p>
        </w:tc>
        <w:tc>
          <w:tcPr>
            <w:tcW w:w="2835" w:type="dxa"/>
          </w:tcPr>
          <w:p>
            <w:pPr>
              <w:pStyle w:val="2"/>
              <w:numPr>
                <w:ilvl w:val="0"/>
                <w:numId w:val="0"/>
              </w:numPr>
              <w:rPr>
                <w:rFonts w:hint="eastAsia"/>
                <w:vertAlign w:val="baseline"/>
              </w:rPr>
            </w:pPr>
          </w:p>
        </w:tc>
        <w:tc>
          <w:tcPr>
            <w:tcW w:w="2835" w:type="dxa"/>
          </w:tcPr>
          <w:p>
            <w:pPr>
              <w:pStyle w:val="2"/>
              <w:numPr>
                <w:ilvl w:val="0"/>
                <w:numId w:val="0"/>
              </w:numPr>
              <w:rPr>
                <w:rFonts w:hint="eastAsia"/>
                <w:vertAlign w:val="baseline"/>
              </w:rPr>
            </w:pPr>
          </w:p>
        </w:tc>
        <w:tc>
          <w:tcPr>
            <w:tcW w:w="2835" w:type="dxa"/>
          </w:tcPr>
          <w:p>
            <w:pPr>
              <w:pStyle w:val="2"/>
              <w:numPr>
                <w:ilvl w:val="0"/>
                <w:numId w:val="0"/>
              </w:numPr>
              <w:rPr>
                <w:rFonts w:hint="eastAsia"/>
                <w:vertAlign w:val="baseline"/>
              </w:rPr>
            </w:pPr>
          </w:p>
        </w:tc>
      </w:tr>
    </w:tbl>
    <w:p>
      <w:pPr>
        <w:numPr>
          <w:ilvl w:val="0"/>
          <w:numId w:val="1"/>
        </w:numPr>
        <w:spacing w:line="560" w:lineRule="exact"/>
        <w:ind w:left="0" w:leftChars="0" w:firstLine="0" w:firstLineChars="0"/>
        <w:rPr>
          <w:rFonts w:hint="eastAsia" w:ascii="黑体" w:hAnsi="黑体" w:eastAsia="黑体" w:cs="黑体"/>
          <w:color w:val="auto"/>
          <w:sz w:val="30"/>
          <w:szCs w:val="30"/>
        </w:rPr>
      </w:pPr>
      <w:r>
        <w:rPr>
          <w:rFonts w:hint="eastAsia" w:ascii="黑体" w:hAnsi="黑体" w:eastAsia="黑体" w:cs="黑体"/>
          <w:color w:val="auto"/>
          <w:sz w:val="30"/>
          <w:szCs w:val="30"/>
          <w:lang w:val="en-US" w:eastAsia="zh-CN"/>
        </w:rPr>
        <w:t>修改</w:t>
      </w:r>
      <w:r>
        <w:rPr>
          <w:rFonts w:hint="eastAsia" w:ascii="黑体" w:hAnsi="黑体" w:eastAsia="黑体" w:cs="黑体"/>
          <w:color w:val="auto"/>
          <w:sz w:val="30"/>
          <w:szCs w:val="30"/>
        </w:rPr>
        <w:t>的</w:t>
      </w:r>
      <w:r>
        <w:rPr>
          <w:rFonts w:hint="eastAsia" w:ascii="黑体" w:hAnsi="黑体" w:eastAsia="黑体" w:cs="黑体"/>
          <w:color w:val="auto"/>
          <w:sz w:val="30"/>
          <w:szCs w:val="30"/>
          <w:lang w:val="en-US" w:eastAsia="zh-CN"/>
        </w:rPr>
        <w:t>行政</w:t>
      </w:r>
      <w:r>
        <w:rPr>
          <w:rFonts w:hint="eastAsia" w:ascii="黑体" w:hAnsi="黑体" w:eastAsia="黑体" w:cs="黑体"/>
          <w:color w:val="auto"/>
          <w:sz w:val="30"/>
          <w:szCs w:val="30"/>
        </w:rPr>
        <w:t>规范性文件（</w:t>
      </w:r>
      <w:r>
        <w:rPr>
          <w:rFonts w:hint="eastAsia" w:ascii="黑体" w:hAnsi="黑体" w:eastAsia="黑体" w:cs="黑体"/>
          <w:color w:val="auto"/>
          <w:sz w:val="30"/>
          <w:szCs w:val="30"/>
          <w:lang w:val="en-US" w:eastAsia="zh-CN"/>
        </w:rPr>
        <w:t>0</w:t>
      </w:r>
      <w:r>
        <w:rPr>
          <w:rFonts w:hint="eastAsia" w:ascii="黑体" w:hAnsi="黑体" w:eastAsia="黑体" w:cs="黑体"/>
          <w:color w:val="auto"/>
          <w:sz w:val="30"/>
          <w:szCs w:val="30"/>
        </w:rPr>
        <w:t>件）</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4"/>
        <w:gridCol w:w="2835"/>
        <w:gridCol w:w="2835"/>
        <w:gridCol w:w="2835"/>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4" w:type="dxa"/>
            <w:vAlign w:val="center"/>
          </w:tcPr>
          <w:p>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序号</w:t>
            </w:r>
          </w:p>
        </w:tc>
        <w:tc>
          <w:tcPr>
            <w:tcW w:w="2835" w:type="dxa"/>
            <w:vAlign w:val="center"/>
          </w:tcPr>
          <w:p>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文件名称</w:t>
            </w:r>
          </w:p>
        </w:tc>
        <w:tc>
          <w:tcPr>
            <w:tcW w:w="2835" w:type="dxa"/>
            <w:vAlign w:val="center"/>
          </w:tcPr>
          <w:p>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文号</w:t>
            </w:r>
          </w:p>
        </w:tc>
        <w:tc>
          <w:tcPr>
            <w:tcW w:w="2835" w:type="dxa"/>
            <w:vAlign w:val="center"/>
          </w:tcPr>
          <w:p>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起草或实施单位</w:t>
            </w:r>
          </w:p>
        </w:tc>
        <w:tc>
          <w:tcPr>
            <w:tcW w:w="2835" w:type="dxa"/>
            <w:vAlign w:val="center"/>
          </w:tcPr>
          <w:p>
            <w:pPr>
              <w:spacing w:line="320" w:lineRule="exact"/>
              <w:jc w:val="center"/>
              <w:rPr>
                <w:rFonts w:hint="eastAsia" w:ascii="仿宋_GB2312" w:hAnsi="Calibri" w:eastAsia="仿宋_GB2312" w:cs="仿宋_GB2312"/>
                <w:color w:val="auto"/>
                <w:kern w:val="2"/>
                <w:sz w:val="28"/>
                <w:szCs w:val="28"/>
                <w:lang w:val="en-US" w:eastAsia="zh-CN" w:bidi="ar-SA"/>
              </w:rPr>
            </w:pPr>
            <w:r>
              <w:rPr>
                <w:rFonts w:hint="eastAsia" w:ascii="仿宋_GB2312" w:eastAsia="仿宋_GB2312" w:cs="仿宋_GB2312"/>
                <w:color w:val="auto"/>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4" w:type="dxa"/>
          </w:tcPr>
          <w:p>
            <w:pPr>
              <w:pStyle w:val="2"/>
              <w:numPr>
                <w:ilvl w:val="0"/>
                <w:numId w:val="0"/>
              </w:numPr>
              <w:rPr>
                <w:rFonts w:hint="eastAsia" w:eastAsia="仿宋_GB2312"/>
                <w:vertAlign w:val="baseline"/>
                <w:lang w:val="en-US" w:eastAsia="zh-CN"/>
              </w:rPr>
            </w:pPr>
            <w:r>
              <w:rPr>
                <w:rFonts w:hint="eastAsia"/>
                <w:vertAlign w:val="baseline"/>
                <w:lang w:val="en-US" w:eastAsia="zh-CN"/>
              </w:rPr>
              <w:t>无</w:t>
            </w:r>
          </w:p>
        </w:tc>
        <w:tc>
          <w:tcPr>
            <w:tcW w:w="2835" w:type="dxa"/>
          </w:tcPr>
          <w:p>
            <w:pPr>
              <w:pStyle w:val="2"/>
              <w:numPr>
                <w:ilvl w:val="0"/>
                <w:numId w:val="0"/>
              </w:numPr>
              <w:rPr>
                <w:rFonts w:hint="eastAsia"/>
                <w:vertAlign w:val="baseline"/>
              </w:rPr>
            </w:pPr>
          </w:p>
        </w:tc>
        <w:tc>
          <w:tcPr>
            <w:tcW w:w="2835" w:type="dxa"/>
          </w:tcPr>
          <w:p>
            <w:pPr>
              <w:pStyle w:val="2"/>
              <w:numPr>
                <w:ilvl w:val="0"/>
                <w:numId w:val="0"/>
              </w:numPr>
              <w:rPr>
                <w:rFonts w:hint="eastAsia"/>
                <w:vertAlign w:val="baseline"/>
              </w:rPr>
            </w:pPr>
          </w:p>
        </w:tc>
        <w:tc>
          <w:tcPr>
            <w:tcW w:w="2835" w:type="dxa"/>
          </w:tcPr>
          <w:p>
            <w:pPr>
              <w:pStyle w:val="2"/>
              <w:numPr>
                <w:ilvl w:val="0"/>
                <w:numId w:val="0"/>
              </w:numPr>
              <w:rPr>
                <w:rFonts w:hint="eastAsia"/>
                <w:vertAlign w:val="baseline"/>
              </w:rPr>
            </w:pPr>
          </w:p>
        </w:tc>
        <w:tc>
          <w:tcPr>
            <w:tcW w:w="2835" w:type="dxa"/>
          </w:tcPr>
          <w:p>
            <w:pPr>
              <w:pStyle w:val="2"/>
              <w:numPr>
                <w:ilvl w:val="0"/>
                <w:numId w:val="0"/>
              </w:numPr>
              <w:rPr>
                <w:rFonts w:hint="eastAsia"/>
                <w:vertAlign w:val="baseline"/>
              </w:rPr>
            </w:pPr>
          </w:p>
        </w:tc>
      </w:tr>
    </w:tbl>
    <w:p>
      <w:pPr>
        <w:pStyle w:val="2"/>
        <w:numPr>
          <w:ilvl w:val="0"/>
          <w:numId w:val="0"/>
        </w:numPr>
        <w:ind w:leftChars="0"/>
        <w:rPr>
          <w:rFonts w:hint="eastAsia"/>
        </w:rPr>
      </w:pP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swiss"/>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D9B505"/>
    <w:multiLevelType w:val="singleLevel"/>
    <w:tmpl w:val="36D9B505"/>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dhOGY2YTgxZDE0M2ZiYTJlNDI4ZGViMzM5MGZiZGQifQ=="/>
  </w:docVars>
  <w:rsids>
    <w:rsidRoot w:val="6D8C1A99"/>
    <w:rsid w:val="0B882E7B"/>
    <w:rsid w:val="1A2A0C9F"/>
    <w:rsid w:val="2C674DE3"/>
    <w:rsid w:val="34D643A8"/>
    <w:rsid w:val="350D57E6"/>
    <w:rsid w:val="583057C1"/>
    <w:rsid w:val="61B03707"/>
    <w:rsid w:val="6D8C1A99"/>
    <w:rsid w:val="74001E13"/>
    <w:rsid w:val="7C4848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BodyText"/>
    <w:next w:val="1"/>
    <w:qFormat/>
    <w:uiPriority w:val="0"/>
    <w:pPr>
      <w:widowControl w:val="0"/>
      <w:spacing w:after="120"/>
      <w:jc w:val="both"/>
    </w:pPr>
    <w:rPr>
      <w:rFonts w:ascii="Times New Roman" w:hAnsi="Times New Roman" w:eastAsia="仿宋_GB2312" w:cs="Times New Roman"/>
      <w:kern w:val="2"/>
      <w:sz w:val="32"/>
      <w:szCs w:val="22"/>
      <w:lang w:val="en-US" w:eastAsia="zh-CN" w:bidi="ar-SA"/>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760</Words>
  <Characters>824</Characters>
  <Lines>0</Lines>
  <Paragraphs>0</Paragraphs>
  <TotalTime>2</TotalTime>
  <ScaleCrop>false</ScaleCrop>
  <LinksUpToDate>false</LinksUpToDate>
  <CharactersWithSpaces>824</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2022-11-10T08:00:00Z</dcterms:created>
  <dc:creator>oiytbfrujvdrb</dc:creator>
  <cp:lastModifiedBy>oiytbfrujvdrb</cp:lastModifiedBy>
  <dcterms:modified xsi:type="dcterms:W3CDTF">2022-11-17T06:52:29Z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E6486A8DEC92431BB325883BEFAE64DB</vt:lpwstr>
  </property>
</Properties>
</file>