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612B81">
      <w:pPr>
        <w:keepNext w:val="0"/>
        <w:keepLines w:val="0"/>
        <w:pageBreakBefore w:val="0"/>
        <w:widowControl w:val="0"/>
        <w:kinsoku/>
        <w:wordWrap/>
        <w:overflowPunct/>
        <w:topLinePunct w:val="0"/>
        <w:autoSpaceDE/>
        <w:autoSpaceDN/>
        <w:bidi w:val="0"/>
        <w:adjustRightInd/>
        <w:snapToGrid/>
        <w:spacing w:line="585" w:lineRule="exact"/>
        <w:jc w:val="center"/>
        <w:textAlignment w:val="auto"/>
        <w:rPr>
          <w:rFonts w:hint="eastAsia" w:ascii="宋体" w:hAnsi="宋体" w:eastAsia="宋体" w:cs="宋体"/>
          <w:b/>
          <w:bCs/>
          <w:color w:val="auto"/>
          <w:spacing w:val="-20"/>
          <w:sz w:val="44"/>
          <w:szCs w:val="44"/>
        </w:rPr>
      </w:pPr>
      <w:r>
        <w:rPr>
          <w:rFonts w:hint="eastAsia" w:ascii="宋体" w:hAnsi="宋体" w:eastAsia="宋体" w:cs="宋体"/>
          <w:b/>
          <w:bCs/>
          <w:color w:val="auto"/>
          <w:spacing w:val="-20"/>
          <w:sz w:val="44"/>
          <w:szCs w:val="44"/>
          <w:lang w:val="en-US" w:eastAsia="zh-CN"/>
        </w:rPr>
        <w:t>南昌</w:t>
      </w:r>
      <w:r>
        <w:rPr>
          <w:rFonts w:hint="eastAsia" w:ascii="宋体" w:hAnsi="宋体" w:eastAsia="宋体" w:cs="宋体"/>
          <w:b/>
          <w:bCs/>
          <w:color w:val="auto"/>
          <w:spacing w:val="-20"/>
          <w:sz w:val="44"/>
          <w:szCs w:val="44"/>
        </w:rPr>
        <w:t>市</w:t>
      </w:r>
      <w:r>
        <w:rPr>
          <w:rFonts w:hint="eastAsia" w:ascii="宋体" w:hAnsi="宋体" w:eastAsia="宋体" w:cs="宋体"/>
          <w:b/>
          <w:bCs/>
          <w:color w:val="auto"/>
          <w:spacing w:val="-20"/>
          <w:sz w:val="44"/>
          <w:szCs w:val="44"/>
          <w:lang w:eastAsia="zh-CN"/>
        </w:rPr>
        <w:t>中小学</w:t>
      </w:r>
      <w:r>
        <w:rPr>
          <w:rFonts w:hint="eastAsia" w:ascii="宋体" w:hAnsi="宋体" w:eastAsia="宋体" w:cs="宋体"/>
          <w:b/>
          <w:bCs/>
          <w:color w:val="auto"/>
          <w:spacing w:val="-20"/>
          <w:sz w:val="44"/>
          <w:szCs w:val="44"/>
        </w:rPr>
        <w:t>校外托管机构管理办法</w:t>
      </w:r>
    </w:p>
    <w:p w14:paraId="4F879A85">
      <w:pPr>
        <w:keepNext w:val="0"/>
        <w:keepLines w:val="0"/>
        <w:pageBreakBefore w:val="0"/>
        <w:widowControl w:val="0"/>
        <w:kinsoku/>
        <w:wordWrap/>
        <w:overflowPunct/>
        <w:topLinePunct w:val="0"/>
        <w:autoSpaceDE/>
        <w:autoSpaceDN/>
        <w:bidi w:val="0"/>
        <w:adjustRightInd/>
        <w:snapToGrid/>
        <w:spacing w:line="585" w:lineRule="exact"/>
        <w:jc w:val="center"/>
        <w:textAlignment w:val="auto"/>
        <w:rPr>
          <w:rFonts w:hint="default"/>
          <w:color w:val="auto"/>
        </w:rPr>
      </w:pPr>
      <w:r>
        <w:rPr>
          <w:rFonts w:hint="eastAsia" w:ascii="方正楷体_GBK" w:hAnsi="方正楷体_GBK" w:eastAsia="方正楷体_GBK" w:cs="方正楷体_GBK"/>
          <w:color w:val="auto"/>
          <w:sz w:val="32"/>
          <w:szCs w:val="32"/>
          <w:lang w:val="en-US"/>
        </w:rPr>
        <w:t>(</w:t>
      </w:r>
      <w:r>
        <w:rPr>
          <w:rFonts w:hint="eastAsia" w:ascii="方正楷体_GBK" w:hAnsi="方正楷体_GBK" w:eastAsia="方正楷体_GBK" w:cs="方正楷体_GBK"/>
          <w:color w:val="auto"/>
          <w:sz w:val="32"/>
          <w:szCs w:val="32"/>
          <w:lang w:val="en-US" w:eastAsia="zh-CN"/>
        </w:rPr>
        <w:t>征求意见稿）</w:t>
      </w:r>
      <w:r>
        <w:rPr>
          <w:rFonts w:hint="default"/>
          <w:color w:val="auto"/>
        </w:rPr>
        <w:t>‌</w:t>
      </w:r>
    </w:p>
    <w:p w14:paraId="53A6713F">
      <w:pPr>
        <w:keepNext w:val="0"/>
        <w:keepLines w:val="0"/>
        <w:pageBreakBefore w:val="0"/>
        <w:widowControl w:val="0"/>
        <w:kinsoku/>
        <w:wordWrap/>
        <w:overflowPunct/>
        <w:topLinePunct w:val="0"/>
        <w:autoSpaceDE/>
        <w:autoSpaceDN/>
        <w:bidi w:val="0"/>
        <w:adjustRightInd/>
        <w:snapToGrid/>
        <w:spacing w:line="585" w:lineRule="exact"/>
        <w:jc w:val="center"/>
        <w:textAlignment w:val="auto"/>
        <w:rPr>
          <w:rFonts w:hint="eastAsia" w:ascii="黑体" w:hAnsi="黑体" w:eastAsia="黑体" w:cs="黑体"/>
          <w:color w:val="auto"/>
          <w:sz w:val="32"/>
          <w:szCs w:val="40"/>
          <w:lang w:val="en-US" w:eastAsia="zh-CN"/>
        </w:rPr>
      </w:pPr>
    </w:p>
    <w:p w14:paraId="5FA77691">
      <w:pPr>
        <w:keepNext w:val="0"/>
        <w:keepLines w:val="0"/>
        <w:pageBreakBefore w:val="0"/>
        <w:widowControl w:val="0"/>
        <w:kinsoku/>
        <w:wordWrap/>
        <w:overflowPunct/>
        <w:topLinePunct w:val="0"/>
        <w:autoSpaceDE/>
        <w:autoSpaceDN/>
        <w:bidi w:val="0"/>
        <w:adjustRightInd/>
        <w:snapToGrid/>
        <w:spacing w:line="585" w:lineRule="exact"/>
        <w:jc w:val="center"/>
        <w:textAlignment w:val="auto"/>
        <w:rPr>
          <w:rFonts w:hint="default" w:ascii="仿宋" w:hAnsi="仿宋" w:eastAsia="仿宋" w:cs="仿宋"/>
          <w:color w:val="auto"/>
          <w:sz w:val="32"/>
          <w:szCs w:val="40"/>
        </w:rPr>
      </w:pPr>
      <w:r>
        <w:rPr>
          <w:rFonts w:hint="eastAsia" w:ascii="黑体" w:hAnsi="黑体" w:eastAsia="黑体" w:cs="黑体"/>
          <w:color w:val="auto"/>
          <w:sz w:val="32"/>
          <w:szCs w:val="40"/>
          <w:lang w:val="en-US" w:eastAsia="zh-CN"/>
        </w:rPr>
        <w:t>第一章 总则</w:t>
      </w:r>
      <w:r>
        <w:rPr>
          <w:rFonts w:hint="default" w:ascii="仿宋" w:hAnsi="仿宋" w:eastAsia="仿宋" w:cs="仿宋"/>
          <w:color w:val="auto"/>
          <w:sz w:val="32"/>
          <w:szCs w:val="40"/>
        </w:rPr>
        <w:t>‌</w:t>
      </w:r>
    </w:p>
    <w:p w14:paraId="173A7878">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‌第一条</w:t>
      </w:r>
      <w:r>
        <w:rPr>
          <w:rFonts w:hint="eastAsia" w:ascii="仿宋" w:hAnsi="仿宋" w:eastAsia="仿宋" w:cs="仿宋"/>
          <w:color w:val="auto"/>
          <w:sz w:val="32"/>
          <w:szCs w:val="40"/>
        </w:rPr>
        <w:t>‌ 为规范学生校外托管服务，保障学生合法权益，促进校外托管行业健康发展，根据《中华人民共和国未成年人保护法》《中华人民共和国食品安全法》《中华人民共和国消防法》等法律法规，结合本市实际，制定本</w:t>
      </w:r>
      <w:r>
        <w:rPr>
          <w:rFonts w:hint="eastAsia" w:ascii="仿宋" w:hAnsi="仿宋" w:eastAsia="仿宋" w:cs="仿宋"/>
          <w:color w:val="auto"/>
          <w:sz w:val="32"/>
          <w:szCs w:val="40"/>
          <w:lang w:eastAsia="zh-CN"/>
        </w:rPr>
        <w:t>管理</w:t>
      </w:r>
      <w:r>
        <w:rPr>
          <w:rFonts w:hint="eastAsia" w:ascii="仿宋" w:hAnsi="仿宋" w:eastAsia="仿宋" w:cs="仿宋"/>
          <w:color w:val="auto"/>
          <w:sz w:val="32"/>
          <w:szCs w:val="40"/>
        </w:rPr>
        <w:t>办法。</w:t>
      </w:r>
    </w:p>
    <w:p w14:paraId="0DCDC48D">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‌第二条</w:t>
      </w:r>
      <w:r>
        <w:rPr>
          <w:rFonts w:hint="eastAsia" w:ascii="仿宋" w:hAnsi="仿宋" w:eastAsia="仿宋" w:cs="仿宋"/>
          <w:color w:val="auto"/>
          <w:sz w:val="32"/>
          <w:szCs w:val="40"/>
        </w:rPr>
        <w:t>‌ ‌本办法适用于</w:t>
      </w:r>
      <w:r>
        <w:rPr>
          <w:rFonts w:hint="eastAsia" w:ascii="仿宋" w:hAnsi="仿宋" w:eastAsia="仿宋" w:cs="仿宋"/>
          <w:color w:val="auto"/>
          <w:sz w:val="32"/>
          <w:szCs w:val="40"/>
          <w:lang w:val="en-US" w:eastAsia="zh-CN"/>
        </w:rPr>
        <w:t>南昌</w:t>
      </w:r>
      <w:r>
        <w:rPr>
          <w:rFonts w:hint="eastAsia" w:ascii="仿宋" w:hAnsi="仿宋" w:eastAsia="仿宋" w:cs="仿宋"/>
          <w:color w:val="auto"/>
          <w:sz w:val="32"/>
          <w:szCs w:val="40"/>
        </w:rPr>
        <w:t>市行政区域内为</w:t>
      </w:r>
      <w:r>
        <w:rPr>
          <w:rFonts w:hint="eastAsia" w:ascii="仿宋" w:hAnsi="仿宋" w:eastAsia="仿宋" w:cs="仿宋"/>
          <w:color w:val="auto"/>
          <w:sz w:val="32"/>
          <w:szCs w:val="40"/>
          <w:lang w:val="en-US" w:eastAsia="zh-CN"/>
        </w:rPr>
        <w:t>中小学校</w:t>
      </w:r>
      <w:r>
        <w:rPr>
          <w:rFonts w:hint="eastAsia" w:ascii="仿宋" w:hAnsi="仿宋" w:eastAsia="仿宋" w:cs="仿宋"/>
          <w:color w:val="auto"/>
          <w:sz w:val="32"/>
          <w:szCs w:val="40"/>
        </w:rPr>
        <w:t>学生提供课后接送、餐饮、休息、看护等服务的校外托管机构的设立、运营及监督管理。‌</w:t>
      </w:r>
    </w:p>
    <w:p w14:paraId="6B6DDF5A">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‌第三条</w:t>
      </w:r>
      <w:r>
        <w:rPr>
          <w:rFonts w:hint="eastAsia" w:ascii="仿宋" w:hAnsi="仿宋" w:eastAsia="仿宋" w:cs="仿宋"/>
          <w:color w:val="auto"/>
          <w:sz w:val="32"/>
          <w:szCs w:val="40"/>
        </w:rPr>
        <w:t>‌ ‌本办法所称学生校外托管机构（以下简称“托管机构”），是指由自然人、法人或其他组织依法设立，受学生监护人委托，在非教学时间段为中小学生提供接送、就餐、午休、安全管理等服务的营利性或非营利性机构。学生家长、亲友之间互助提供托管，且托管学生人数在5人以下的</w:t>
      </w:r>
      <w:r>
        <w:rPr>
          <w:rFonts w:hint="default" w:ascii="仿宋" w:hAnsi="仿宋" w:eastAsia="仿宋" w:cs="仿宋"/>
          <w:color w:val="auto"/>
          <w:sz w:val="32"/>
          <w:szCs w:val="40"/>
          <w:lang w:val="en-US"/>
        </w:rPr>
        <w:t>(</w:t>
      </w:r>
      <w:r>
        <w:rPr>
          <w:rFonts w:hint="eastAsia" w:ascii="仿宋" w:hAnsi="仿宋" w:eastAsia="仿宋" w:cs="仿宋"/>
          <w:color w:val="auto"/>
          <w:sz w:val="32"/>
          <w:szCs w:val="40"/>
          <w:lang w:val="en-US" w:eastAsia="zh-CN"/>
        </w:rPr>
        <w:t>不含5人</w:t>
      </w:r>
      <w:r>
        <w:rPr>
          <w:rFonts w:hint="default" w:ascii="仿宋" w:hAnsi="仿宋" w:eastAsia="仿宋" w:cs="仿宋"/>
          <w:color w:val="auto"/>
          <w:sz w:val="32"/>
          <w:szCs w:val="40"/>
          <w:lang w:val="en-US"/>
        </w:rPr>
        <w:t>)</w:t>
      </w:r>
      <w:r>
        <w:rPr>
          <w:rFonts w:hint="eastAsia" w:ascii="仿宋" w:hAnsi="仿宋" w:eastAsia="仿宋" w:cs="仿宋"/>
          <w:color w:val="auto"/>
          <w:sz w:val="32"/>
          <w:szCs w:val="40"/>
        </w:rPr>
        <w:t>，不属于本</w:t>
      </w:r>
      <w:r>
        <w:rPr>
          <w:rFonts w:hint="eastAsia" w:ascii="仿宋" w:hAnsi="仿宋" w:eastAsia="仿宋" w:cs="仿宋"/>
          <w:color w:val="auto"/>
          <w:sz w:val="32"/>
          <w:szCs w:val="40"/>
          <w:lang w:val="en-US" w:eastAsia="zh-CN"/>
        </w:rPr>
        <w:t>办法</w:t>
      </w:r>
      <w:r>
        <w:rPr>
          <w:rFonts w:hint="eastAsia" w:ascii="仿宋" w:hAnsi="仿宋" w:eastAsia="仿宋" w:cs="仿宋"/>
          <w:color w:val="auto"/>
          <w:sz w:val="32"/>
          <w:szCs w:val="40"/>
        </w:rPr>
        <w:t>所称校外托管机构范畴</w:t>
      </w:r>
      <w:r>
        <w:rPr>
          <w:rFonts w:hint="eastAsia" w:ascii="仿宋" w:hAnsi="仿宋" w:eastAsia="仿宋" w:cs="仿宋"/>
          <w:color w:val="auto"/>
          <w:sz w:val="32"/>
          <w:szCs w:val="40"/>
          <w:lang w:eastAsia="zh-CN"/>
        </w:rPr>
        <w:t>。</w:t>
      </w:r>
    </w:p>
    <w:p w14:paraId="2F9B55A9">
      <w:pPr>
        <w:keepNext w:val="0"/>
        <w:keepLines w:val="0"/>
        <w:pageBreakBefore w:val="0"/>
        <w:widowControl w:val="0"/>
        <w:kinsoku/>
        <w:wordWrap/>
        <w:overflowPunct/>
        <w:topLinePunct w:val="0"/>
        <w:autoSpaceDE/>
        <w:autoSpaceDN/>
        <w:bidi w:val="0"/>
        <w:adjustRightInd/>
        <w:snapToGrid/>
        <w:spacing w:line="585" w:lineRule="exact"/>
        <w:jc w:val="center"/>
        <w:textAlignment w:val="auto"/>
        <w:rPr>
          <w:rFonts w:hint="eastAsia" w:ascii="仿宋" w:hAnsi="仿宋" w:eastAsia="仿宋" w:cs="仿宋"/>
          <w:color w:val="auto"/>
          <w:sz w:val="32"/>
          <w:szCs w:val="40"/>
        </w:rPr>
      </w:pPr>
      <w:r>
        <w:rPr>
          <w:rFonts w:hint="eastAsia" w:ascii="黑体" w:hAnsi="黑体" w:eastAsia="黑体" w:cs="黑体"/>
          <w:color w:val="auto"/>
          <w:sz w:val="32"/>
          <w:szCs w:val="40"/>
        </w:rPr>
        <w:t>‌第</w:t>
      </w:r>
      <w:r>
        <w:rPr>
          <w:rFonts w:hint="eastAsia" w:ascii="黑体" w:hAnsi="黑体" w:eastAsia="黑体" w:cs="黑体"/>
          <w:color w:val="auto"/>
          <w:sz w:val="32"/>
          <w:szCs w:val="40"/>
          <w:lang w:val="en-US" w:eastAsia="zh-CN"/>
        </w:rPr>
        <w:t>二</w:t>
      </w:r>
      <w:r>
        <w:rPr>
          <w:rFonts w:hint="eastAsia" w:ascii="黑体" w:hAnsi="黑体" w:eastAsia="黑体" w:cs="黑体"/>
          <w:color w:val="auto"/>
          <w:sz w:val="32"/>
          <w:szCs w:val="40"/>
        </w:rPr>
        <w:t xml:space="preserve">章 </w:t>
      </w:r>
      <w:r>
        <w:rPr>
          <w:rFonts w:hint="eastAsia" w:ascii="黑体" w:hAnsi="黑体" w:eastAsia="黑体" w:cs="黑体"/>
          <w:color w:val="auto"/>
          <w:sz w:val="32"/>
          <w:szCs w:val="40"/>
          <w:lang w:val="en-US" w:eastAsia="zh-CN"/>
        </w:rPr>
        <w:t>基本设置标准</w:t>
      </w:r>
      <w:r>
        <w:rPr>
          <w:rFonts w:hint="eastAsia" w:ascii="仿宋" w:hAnsi="仿宋" w:eastAsia="仿宋" w:cs="仿宋"/>
          <w:color w:val="auto"/>
          <w:sz w:val="32"/>
          <w:szCs w:val="40"/>
        </w:rPr>
        <w:t>‌</w:t>
      </w:r>
    </w:p>
    <w:p w14:paraId="54655876">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lang w:eastAsia="zh-CN"/>
        </w:rPr>
      </w:pPr>
      <w:r>
        <w:rPr>
          <w:rFonts w:hint="eastAsia" w:ascii="仿宋" w:hAnsi="仿宋" w:eastAsia="仿宋" w:cs="仿宋"/>
          <w:b/>
          <w:bCs/>
          <w:color w:val="auto"/>
          <w:sz w:val="32"/>
          <w:szCs w:val="40"/>
        </w:rPr>
        <w:t>‌第</w:t>
      </w:r>
      <w:r>
        <w:rPr>
          <w:rFonts w:hint="eastAsia" w:ascii="仿宋" w:hAnsi="仿宋" w:eastAsia="仿宋" w:cs="仿宋"/>
          <w:b/>
          <w:bCs/>
          <w:color w:val="auto"/>
          <w:sz w:val="32"/>
          <w:szCs w:val="40"/>
          <w:lang w:val="en-US" w:eastAsia="zh-CN"/>
        </w:rPr>
        <w:t>四</w:t>
      </w:r>
      <w:r>
        <w:rPr>
          <w:rFonts w:hint="eastAsia" w:ascii="仿宋" w:hAnsi="仿宋" w:eastAsia="仿宋" w:cs="仿宋"/>
          <w:b/>
          <w:bCs/>
          <w:color w:val="auto"/>
          <w:sz w:val="32"/>
          <w:szCs w:val="40"/>
        </w:rPr>
        <w:t>条</w:t>
      </w:r>
      <w:r>
        <w:rPr>
          <w:rFonts w:hint="eastAsia" w:ascii="仿宋" w:hAnsi="仿宋" w:eastAsia="仿宋" w:cs="仿宋"/>
          <w:color w:val="auto"/>
          <w:sz w:val="32"/>
          <w:szCs w:val="40"/>
        </w:rPr>
        <w:t>‌ 校外托管机构要设置在符合房屋结构安全标准建筑物的</w:t>
      </w:r>
      <w:r>
        <w:rPr>
          <w:rFonts w:hint="eastAsia" w:ascii="仿宋" w:hAnsi="仿宋" w:eastAsia="仿宋" w:cs="仿宋"/>
          <w:color w:val="auto"/>
          <w:sz w:val="32"/>
          <w:szCs w:val="40"/>
          <w:lang w:val="en-US" w:eastAsia="zh-CN"/>
        </w:rPr>
        <w:t>1-3</w:t>
      </w:r>
      <w:r>
        <w:rPr>
          <w:rFonts w:hint="eastAsia" w:ascii="仿宋" w:hAnsi="仿宋" w:eastAsia="仿宋" w:cs="仿宋"/>
          <w:color w:val="auto"/>
          <w:sz w:val="32"/>
          <w:szCs w:val="40"/>
        </w:rPr>
        <w:t>层内，远离污染区和危险源，禁止在</w:t>
      </w:r>
      <w:r>
        <w:rPr>
          <w:rFonts w:hint="eastAsia" w:ascii="仿宋" w:hAnsi="仿宋" w:eastAsia="仿宋" w:cs="仿宋"/>
          <w:color w:val="auto"/>
          <w:sz w:val="32"/>
          <w:szCs w:val="40"/>
          <w:lang w:val="en-US" w:eastAsia="zh-CN"/>
        </w:rPr>
        <w:t>住宅、</w:t>
      </w:r>
      <w:r>
        <w:rPr>
          <w:rFonts w:hint="eastAsia" w:ascii="仿宋" w:hAnsi="仿宋" w:eastAsia="仿宋" w:cs="仿宋"/>
          <w:color w:val="auto"/>
          <w:sz w:val="32"/>
          <w:szCs w:val="40"/>
        </w:rPr>
        <w:t>厂房、地下（半地下）室、仓库、危房、违法或危险建筑内开办校外托管机构。安全出口、疏散楼梯应不少于2个，且不被占用、堵塞、锁闭；场所门窗不应设置影响逃生和灭火救援的障碍物［防盗窗（网）、铁栅栏、广告牌等］。</w:t>
      </w:r>
      <w:r>
        <w:rPr>
          <w:rFonts w:hint="eastAsia" w:ascii="仿宋" w:hAnsi="仿宋" w:eastAsia="仿宋" w:cs="仿宋"/>
          <w:color w:val="auto"/>
          <w:sz w:val="32"/>
          <w:szCs w:val="40"/>
          <w:lang w:val="en-US" w:eastAsia="zh-CN"/>
        </w:rPr>
        <w:t>机构</w:t>
      </w:r>
      <w:r>
        <w:rPr>
          <w:rFonts w:hint="eastAsia" w:ascii="仿宋" w:hAnsi="仿宋" w:eastAsia="仿宋" w:cs="仿宋"/>
          <w:color w:val="auto"/>
          <w:sz w:val="32"/>
          <w:szCs w:val="40"/>
        </w:rPr>
        <w:t>建筑面积应当在80平方米及以上，生均</w:t>
      </w:r>
      <w:r>
        <w:rPr>
          <w:rFonts w:hint="eastAsia" w:ascii="仿宋" w:hAnsi="仿宋" w:eastAsia="仿宋" w:cs="仿宋"/>
          <w:color w:val="auto"/>
          <w:sz w:val="32"/>
          <w:szCs w:val="40"/>
          <w:lang w:val="en-US" w:eastAsia="zh-CN"/>
        </w:rPr>
        <w:t>建筑</w:t>
      </w:r>
      <w:r>
        <w:rPr>
          <w:rFonts w:hint="eastAsia" w:ascii="仿宋" w:hAnsi="仿宋" w:eastAsia="仿宋" w:cs="仿宋"/>
          <w:color w:val="auto"/>
          <w:sz w:val="32"/>
          <w:szCs w:val="40"/>
        </w:rPr>
        <w:t>面积不低于3平方米。</w:t>
      </w:r>
    </w:p>
    <w:p w14:paraId="55C84A78">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‌第</w:t>
      </w:r>
      <w:r>
        <w:rPr>
          <w:rFonts w:hint="eastAsia" w:ascii="仿宋" w:hAnsi="仿宋" w:eastAsia="仿宋" w:cs="仿宋"/>
          <w:b/>
          <w:bCs/>
          <w:color w:val="auto"/>
          <w:sz w:val="32"/>
          <w:szCs w:val="40"/>
          <w:lang w:val="en-US" w:eastAsia="zh-CN"/>
        </w:rPr>
        <w:t>五</w:t>
      </w:r>
      <w:r>
        <w:rPr>
          <w:rFonts w:hint="eastAsia" w:ascii="仿宋" w:hAnsi="仿宋" w:eastAsia="仿宋" w:cs="仿宋"/>
          <w:b/>
          <w:bCs/>
          <w:color w:val="auto"/>
          <w:sz w:val="32"/>
          <w:szCs w:val="40"/>
        </w:rPr>
        <w:t>条</w:t>
      </w:r>
      <w:r>
        <w:rPr>
          <w:rFonts w:hint="eastAsia" w:ascii="仿宋" w:hAnsi="仿宋" w:eastAsia="仿宋" w:cs="仿宋"/>
          <w:color w:val="auto"/>
          <w:sz w:val="32"/>
          <w:szCs w:val="40"/>
        </w:rPr>
        <w:t>‌ 校外托管机构场所应符合国家工程建设消防技术标准，并依据《中华人民共和国消防法》、《建设工程消防设计审查验收管理暂行规定》（住建部58号令）等法律法规办理建设工程消防设计审查验收手续。托管机构应当按照国家规范、政策文件等配置消防设施、器材、火灾自动报警系统等。</w:t>
      </w:r>
    </w:p>
    <w:p w14:paraId="7923DC79">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‌第</w:t>
      </w:r>
      <w:r>
        <w:rPr>
          <w:rFonts w:hint="eastAsia" w:ascii="仿宋" w:hAnsi="仿宋" w:eastAsia="仿宋" w:cs="仿宋"/>
          <w:b/>
          <w:bCs/>
          <w:color w:val="auto"/>
          <w:sz w:val="32"/>
          <w:szCs w:val="40"/>
          <w:lang w:val="en-US" w:eastAsia="zh-CN"/>
        </w:rPr>
        <w:t>六</w:t>
      </w:r>
      <w:r>
        <w:rPr>
          <w:rFonts w:hint="eastAsia" w:ascii="仿宋" w:hAnsi="仿宋" w:eastAsia="仿宋" w:cs="仿宋"/>
          <w:b/>
          <w:bCs/>
          <w:color w:val="auto"/>
          <w:sz w:val="32"/>
          <w:szCs w:val="40"/>
        </w:rPr>
        <w:t>条</w:t>
      </w:r>
      <w:r>
        <w:rPr>
          <w:rFonts w:hint="eastAsia" w:ascii="仿宋" w:hAnsi="仿宋" w:eastAsia="仿宋" w:cs="仿宋"/>
          <w:color w:val="auto"/>
          <w:sz w:val="32"/>
          <w:szCs w:val="40"/>
        </w:rPr>
        <w:t>‌ 自行供餐的机构须依法取得食品经营相应许可（备案），餐饮服务人员持有效健康证明并每年进行健康检查；食品加工处理区域要相对独立设置，采取配送餐方式的机构须选择具有集体配餐资质的供应商，并留存配送记录备查。</w:t>
      </w:r>
    </w:p>
    <w:p w14:paraId="4FDE28A8">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lang w:val="en-US" w:eastAsia="zh-CN"/>
        </w:rPr>
        <w:t xml:space="preserve">第七条 </w:t>
      </w:r>
      <w:r>
        <w:rPr>
          <w:rFonts w:hint="eastAsia" w:ascii="仿宋" w:hAnsi="仿宋" w:eastAsia="仿宋" w:cs="仿宋"/>
          <w:color w:val="auto"/>
          <w:sz w:val="32"/>
          <w:szCs w:val="40"/>
          <w:lang w:val="en-US" w:eastAsia="zh-CN"/>
        </w:rPr>
        <w:t>校外托管机构管理者和从业人员应当无违法犯罪记录，身体健康，没有精神性疾病、传染性疾病或其他可能影响学生健康与安全的疾病，管理者和从业人员应持有效的健康证明。禁止在职教职员工开办或兼职校外托管机构。从业人员数量与接收托管的中小学生人数应当相匹配。托管学生人数在25人以下的，应配备不少于2名工作人员；每增加20名学生，应相应增加1名工作人员。</w:t>
      </w:r>
    </w:p>
    <w:p w14:paraId="46A61CB8">
      <w:pPr>
        <w:keepNext w:val="0"/>
        <w:keepLines w:val="0"/>
        <w:pageBreakBefore w:val="0"/>
        <w:widowControl w:val="0"/>
        <w:kinsoku/>
        <w:wordWrap/>
        <w:overflowPunct/>
        <w:topLinePunct w:val="0"/>
        <w:autoSpaceDE/>
        <w:autoSpaceDN/>
        <w:bidi w:val="0"/>
        <w:adjustRightInd/>
        <w:snapToGrid/>
        <w:spacing w:line="585" w:lineRule="exact"/>
        <w:jc w:val="center"/>
        <w:textAlignment w:val="auto"/>
        <w:rPr>
          <w:rFonts w:hint="eastAsia" w:ascii="仿宋" w:hAnsi="仿宋" w:eastAsia="仿宋" w:cs="仿宋"/>
          <w:color w:val="auto"/>
          <w:sz w:val="32"/>
          <w:szCs w:val="40"/>
        </w:rPr>
      </w:pPr>
      <w:r>
        <w:rPr>
          <w:rFonts w:hint="eastAsia" w:ascii="黑体" w:hAnsi="黑体" w:eastAsia="黑体" w:cs="黑体"/>
          <w:color w:val="auto"/>
          <w:sz w:val="32"/>
          <w:szCs w:val="40"/>
        </w:rPr>
        <w:t>‌第</w:t>
      </w:r>
      <w:r>
        <w:rPr>
          <w:rFonts w:hint="eastAsia" w:ascii="黑体" w:hAnsi="黑体" w:eastAsia="黑体" w:cs="黑体"/>
          <w:color w:val="auto"/>
          <w:sz w:val="32"/>
          <w:szCs w:val="40"/>
          <w:lang w:val="en-US" w:eastAsia="zh-CN"/>
        </w:rPr>
        <w:t>三</w:t>
      </w:r>
      <w:r>
        <w:rPr>
          <w:rFonts w:hint="eastAsia" w:ascii="黑体" w:hAnsi="黑体" w:eastAsia="黑体" w:cs="黑体"/>
          <w:color w:val="auto"/>
          <w:sz w:val="32"/>
          <w:szCs w:val="40"/>
        </w:rPr>
        <w:t>章 登记与开业要求</w:t>
      </w:r>
      <w:r>
        <w:rPr>
          <w:rFonts w:hint="eastAsia" w:ascii="仿宋" w:hAnsi="仿宋" w:eastAsia="仿宋" w:cs="仿宋"/>
          <w:color w:val="auto"/>
          <w:sz w:val="32"/>
          <w:szCs w:val="40"/>
        </w:rPr>
        <w:t>‌</w:t>
      </w:r>
    </w:p>
    <w:p w14:paraId="5E46D90E">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‌第</w:t>
      </w:r>
      <w:r>
        <w:rPr>
          <w:rFonts w:hint="eastAsia" w:ascii="仿宋" w:hAnsi="仿宋" w:eastAsia="仿宋" w:cs="仿宋"/>
          <w:b/>
          <w:bCs/>
          <w:color w:val="auto"/>
          <w:sz w:val="32"/>
          <w:szCs w:val="40"/>
          <w:lang w:val="en-US" w:eastAsia="zh-CN"/>
        </w:rPr>
        <w:t>八</w:t>
      </w:r>
      <w:r>
        <w:rPr>
          <w:rFonts w:hint="eastAsia" w:ascii="仿宋" w:hAnsi="仿宋" w:eastAsia="仿宋" w:cs="仿宋"/>
          <w:b/>
          <w:bCs/>
          <w:color w:val="auto"/>
          <w:sz w:val="32"/>
          <w:szCs w:val="40"/>
        </w:rPr>
        <w:t>条</w:t>
      </w:r>
      <w:r>
        <w:rPr>
          <w:rFonts w:hint="eastAsia" w:ascii="仿宋" w:hAnsi="仿宋" w:eastAsia="仿宋" w:cs="仿宋"/>
          <w:color w:val="auto"/>
          <w:sz w:val="32"/>
          <w:szCs w:val="40"/>
        </w:rPr>
        <w:t>‌ 校外托管机构登记和管理实行属地负责，由属地根据本办法明确管理流程。营利性托管机构向市场监管部门商事登记申领营业执照，经营范围须明确“中小学生校外托管服务”；非营利性托管机构向民政部门申办民办非企业单位登记证书。</w:t>
      </w:r>
    </w:p>
    <w:p w14:paraId="55F37C99">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‌第</w:t>
      </w:r>
      <w:r>
        <w:rPr>
          <w:rFonts w:hint="eastAsia" w:ascii="仿宋" w:hAnsi="仿宋" w:eastAsia="仿宋" w:cs="仿宋"/>
          <w:b/>
          <w:bCs/>
          <w:color w:val="auto"/>
          <w:sz w:val="32"/>
          <w:szCs w:val="40"/>
          <w:lang w:val="en-US" w:eastAsia="zh-CN"/>
        </w:rPr>
        <w:t>九</w:t>
      </w:r>
      <w:r>
        <w:rPr>
          <w:rFonts w:hint="eastAsia" w:ascii="仿宋" w:hAnsi="仿宋" w:eastAsia="仿宋" w:cs="仿宋"/>
          <w:b/>
          <w:bCs/>
          <w:color w:val="auto"/>
          <w:sz w:val="32"/>
          <w:szCs w:val="40"/>
        </w:rPr>
        <w:t>条</w:t>
      </w:r>
      <w:r>
        <w:rPr>
          <w:rFonts w:hint="eastAsia" w:ascii="仿宋" w:hAnsi="仿宋" w:eastAsia="仿宋" w:cs="仿宋"/>
          <w:color w:val="auto"/>
          <w:sz w:val="32"/>
          <w:szCs w:val="40"/>
        </w:rPr>
        <w:t>‌  校外托管机构在取得营业执照或民政部门核发的民办非企业单位登记证书后，应当具备本办法规定的服务场所、设施</w:t>
      </w:r>
      <w:r>
        <w:rPr>
          <w:rFonts w:hint="eastAsia" w:ascii="仿宋" w:hAnsi="仿宋" w:eastAsia="仿宋" w:cs="仿宋"/>
          <w:color w:val="auto"/>
          <w:sz w:val="32"/>
          <w:szCs w:val="40"/>
          <w:lang w:val="en-US" w:eastAsia="zh-CN"/>
        </w:rPr>
        <w:t>条件</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lang w:val="en-US" w:eastAsia="zh-CN"/>
        </w:rPr>
        <w:t>并</w:t>
      </w:r>
      <w:r>
        <w:rPr>
          <w:rFonts w:hint="eastAsia" w:ascii="仿宋" w:hAnsi="仿宋" w:eastAsia="仿宋" w:cs="仿宋"/>
          <w:color w:val="auto"/>
          <w:sz w:val="32"/>
          <w:szCs w:val="40"/>
        </w:rPr>
        <w:t>依法办理消防、食品经营和建筑安全等相关手续，</w:t>
      </w:r>
      <w:r>
        <w:rPr>
          <w:rFonts w:hint="eastAsia" w:ascii="仿宋" w:hAnsi="仿宋" w:eastAsia="仿宋" w:cs="仿宋"/>
          <w:color w:val="auto"/>
          <w:sz w:val="32"/>
          <w:szCs w:val="40"/>
          <w:lang w:val="en-US" w:eastAsia="zh-CN"/>
        </w:rPr>
        <w:t>方可</w:t>
      </w:r>
      <w:r>
        <w:rPr>
          <w:rFonts w:hint="eastAsia" w:ascii="仿宋" w:hAnsi="仿宋" w:eastAsia="仿宋" w:cs="仿宋"/>
          <w:color w:val="auto"/>
          <w:sz w:val="32"/>
          <w:szCs w:val="40"/>
        </w:rPr>
        <w:t>开展</w:t>
      </w:r>
      <w:r>
        <w:rPr>
          <w:rFonts w:hint="eastAsia" w:ascii="仿宋" w:hAnsi="仿宋" w:eastAsia="仿宋" w:cs="仿宋"/>
          <w:color w:val="auto"/>
          <w:sz w:val="32"/>
          <w:szCs w:val="40"/>
          <w:lang w:val="en-US" w:eastAsia="zh-CN"/>
        </w:rPr>
        <w:t>相应的</w:t>
      </w:r>
      <w:r>
        <w:rPr>
          <w:rFonts w:hint="eastAsia" w:ascii="仿宋" w:hAnsi="仿宋" w:eastAsia="仿宋" w:cs="仿宋"/>
          <w:color w:val="auto"/>
          <w:sz w:val="32"/>
          <w:szCs w:val="40"/>
        </w:rPr>
        <w:t>经营活动。</w:t>
      </w:r>
    </w:p>
    <w:p w14:paraId="5C22F521">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lang w:eastAsia="zh-CN"/>
        </w:rPr>
      </w:pPr>
      <w:r>
        <w:rPr>
          <w:rFonts w:hint="eastAsia" w:ascii="仿宋" w:hAnsi="仿宋" w:eastAsia="仿宋" w:cs="仿宋"/>
          <w:b/>
          <w:bCs/>
          <w:color w:val="auto"/>
          <w:sz w:val="32"/>
          <w:szCs w:val="40"/>
          <w:lang w:val="en-US" w:eastAsia="zh-CN"/>
        </w:rPr>
        <w:t>第十条</w:t>
      </w:r>
      <w:r>
        <w:rPr>
          <w:rFonts w:hint="eastAsia" w:ascii="仿宋" w:hAnsi="仿宋" w:eastAsia="仿宋" w:cs="仿宋"/>
          <w:color w:val="auto"/>
          <w:sz w:val="32"/>
          <w:szCs w:val="40"/>
          <w:lang w:val="en-US" w:eastAsia="zh-CN"/>
        </w:rPr>
        <w:t xml:space="preserve"> </w:t>
      </w:r>
      <w:r>
        <w:rPr>
          <w:rFonts w:hint="eastAsia" w:ascii="仿宋" w:hAnsi="仿宋" w:eastAsia="仿宋" w:cs="仿宋"/>
          <w:b w:val="0"/>
          <w:bCs w:val="0"/>
          <w:color w:val="auto"/>
          <w:sz w:val="32"/>
          <w:szCs w:val="40"/>
          <w:lang w:val="en-US" w:eastAsia="zh-CN"/>
        </w:rPr>
        <w:t xml:space="preserve"> </w:t>
      </w:r>
      <w:r>
        <w:rPr>
          <w:rFonts w:hint="eastAsia" w:ascii="仿宋" w:hAnsi="仿宋" w:eastAsia="仿宋" w:cs="仿宋"/>
          <w:b w:val="0"/>
          <w:bCs w:val="0"/>
          <w:color w:val="auto"/>
          <w:sz w:val="32"/>
          <w:szCs w:val="40"/>
          <w:lang w:eastAsia="zh-CN"/>
        </w:rPr>
        <w:t>审批登记结束后，审批部门</w:t>
      </w:r>
      <w:r>
        <w:rPr>
          <w:rFonts w:hint="eastAsia" w:ascii="仿宋" w:hAnsi="仿宋" w:eastAsia="仿宋" w:cs="仿宋"/>
          <w:b w:val="0"/>
          <w:bCs w:val="0"/>
          <w:color w:val="auto"/>
          <w:sz w:val="32"/>
          <w:szCs w:val="40"/>
          <w:lang w:val="en-US" w:eastAsia="zh-CN"/>
        </w:rPr>
        <w:t>应</w:t>
      </w:r>
      <w:r>
        <w:rPr>
          <w:rFonts w:hint="eastAsia" w:ascii="仿宋" w:hAnsi="仿宋" w:eastAsia="仿宋" w:cs="仿宋"/>
          <w:b w:val="0"/>
          <w:bCs w:val="0"/>
          <w:color w:val="auto"/>
          <w:sz w:val="32"/>
          <w:szCs w:val="40"/>
          <w:lang w:eastAsia="zh-CN"/>
        </w:rPr>
        <w:t>定期将托管机构相关审批登记信息反馈给教育行政部门。</w:t>
      </w:r>
      <w:r>
        <w:rPr>
          <w:rFonts w:hint="eastAsia" w:ascii="仿宋" w:hAnsi="仿宋" w:eastAsia="仿宋" w:cs="仿宋"/>
          <w:color w:val="auto"/>
          <w:sz w:val="32"/>
          <w:szCs w:val="40"/>
          <w:lang w:eastAsia="zh-CN"/>
        </w:rPr>
        <w:t>教</w:t>
      </w:r>
      <w:r>
        <w:rPr>
          <w:rFonts w:hint="eastAsia" w:ascii="仿宋" w:hAnsi="仿宋" w:eastAsia="仿宋" w:cs="仿宋"/>
          <w:color w:val="auto"/>
          <w:sz w:val="32"/>
          <w:szCs w:val="40"/>
          <w:lang w:val="en-US" w:eastAsia="zh-CN"/>
        </w:rPr>
        <w:t>育</w:t>
      </w:r>
      <w:r>
        <w:rPr>
          <w:rFonts w:hint="eastAsia" w:ascii="仿宋" w:hAnsi="仿宋" w:eastAsia="仿宋" w:cs="仿宋"/>
          <w:color w:val="auto"/>
          <w:sz w:val="32"/>
          <w:szCs w:val="40"/>
          <w:lang w:eastAsia="zh-CN"/>
        </w:rPr>
        <w:t>行政部门应当在</w:t>
      </w:r>
      <w:r>
        <w:rPr>
          <w:rFonts w:hint="eastAsia" w:ascii="仿宋" w:hAnsi="仿宋" w:eastAsia="仿宋" w:cs="仿宋"/>
          <w:color w:val="auto"/>
          <w:sz w:val="32"/>
          <w:szCs w:val="40"/>
          <w:lang w:val="en-US" w:eastAsia="zh-CN"/>
        </w:rPr>
        <w:t>规定时间</w:t>
      </w:r>
      <w:r>
        <w:rPr>
          <w:rFonts w:hint="eastAsia" w:ascii="仿宋" w:hAnsi="仿宋" w:eastAsia="仿宋" w:cs="仿宋"/>
          <w:color w:val="auto"/>
          <w:sz w:val="32"/>
          <w:szCs w:val="40"/>
          <w:lang w:eastAsia="zh-CN"/>
        </w:rPr>
        <w:t>内,会同消防、住建、公安、卫健等部门及属地乡镇(街道)上门核验其是否符合托管机构设置标准。</w:t>
      </w:r>
    </w:p>
    <w:p w14:paraId="1C480E88">
      <w:pPr>
        <w:keepNext w:val="0"/>
        <w:keepLines w:val="0"/>
        <w:pageBreakBefore w:val="0"/>
        <w:widowControl w:val="0"/>
        <w:kinsoku/>
        <w:wordWrap/>
        <w:overflowPunct/>
        <w:topLinePunct w:val="0"/>
        <w:autoSpaceDE/>
        <w:autoSpaceDN/>
        <w:bidi w:val="0"/>
        <w:adjustRightInd/>
        <w:snapToGrid/>
        <w:spacing w:line="585" w:lineRule="exact"/>
        <w:jc w:val="center"/>
        <w:textAlignment w:val="auto"/>
        <w:rPr>
          <w:rFonts w:hint="eastAsia" w:ascii="仿宋" w:hAnsi="仿宋" w:eastAsia="仿宋" w:cs="仿宋"/>
          <w:color w:val="auto"/>
          <w:sz w:val="32"/>
          <w:szCs w:val="40"/>
        </w:rPr>
      </w:pPr>
      <w:r>
        <w:rPr>
          <w:rFonts w:hint="eastAsia" w:ascii="黑体" w:hAnsi="黑体" w:eastAsia="黑体" w:cs="黑体"/>
          <w:color w:val="auto"/>
          <w:sz w:val="32"/>
          <w:szCs w:val="40"/>
        </w:rPr>
        <w:t>‌第</w:t>
      </w:r>
      <w:r>
        <w:rPr>
          <w:rFonts w:hint="eastAsia" w:ascii="黑体" w:hAnsi="黑体" w:eastAsia="黑体" w:cs="黑体"/>
          <w:color w:val="auto"/>
          <w:sz w:val="32"/>
          <w:szCs w:val="40"/>
          <w:lang w:val="en-US" w:eastAsia="zh-CN"/>
        </w:rPr>
        <w:t>四</w:t>
      </w:r>
      <w:r>
        <w:rPr>
          <w:rFonts w:hint="eastAsia" w:ascii="黑体" w:hAnsi="黑体" w:eastAsia="黑体" w:cs="黑体"/>
          <w:color w:val="auto"/>
          <w:sz w:val="32"/>
          <w:szCs w:val="40"/>
        </w:rPr>
        <w:t>章 职责</w:t>
      </w:r>
      <w:r>
        <w:rPr>
          <w:rFonts w:hint="eastAsia" w:ascii="黑体" w:hAnsi="黑体" w:eastAsia="黑体" w:cs="黑体"/>
          <w:color w:val="auto"/>
          <w:sz w:val="32"/>
          <w:szCs w:val="40"/>
          <w:lang w:val="en-US" w:eastAsia="zh-CN"/>
        </w:rPr>
        <w:t>分工</w:t>
      </w:r>
      <w:r>
        <w:rPr>
          <w:rFonts w:hint="eastAsia" w:ascii="仿宋" w:hAnsi="仿宋" w:eastAsia="仿宋" w:cs="仿宋"/>
          <w:color w:val="auto"/>
          <w:sz w:val="32"/>
          <w:szCs w:val="40"/>
        </w:rPr>
        <w:t>‌</w:t>
      </w:r>
    </w:p>
    <w:p w14:paraId="23DF1FE1">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‌第十</w:t>
      </w:r>
      <w:r>
        <w:rPr>
          <w:rFonts w:hint="eastAsia" w:ascii="仿宋" w:hAnsi="仿宋" w:eastAsia="仿宋" w:cs="仿宋"/>
          <w:b/>
          <w:bCs/>
          <w:color w:val="auto"/>
          <w:sz w:val="32"/>
          <w:szCs w:val="40"/>
          <w:lang w:val="en-US" w:eastAsia="zh-CN"/>
        </w:rPr>
        <w:t>一</w:t>
      </w:r>
      <w:r>
        <w:rPr>
          <w:rFonts w:hint="eastAsia" w:ascii="仿宋" w:hAnsi="仿宋" w:eastAsia="仿宋" w:cs="仿宋"/>
          <w:b/>
          <w:bCs/>
          <w:color w:val="auto"/>
          <w:sz w:val="32"/>
          <w:szCs w:val="40"/>
        </w:rPr>
        <w:t>条</w:t>
      </w:r>
      <w:r>
        <w:rPr>
          <w:rFonts w:hint="eastAsia" w:ascii="仿宋" w:hAnsi="仿宋" w:eastAsia="仿宋" w:cs="仿宋"/>
          <w:color w:val="auto"/>
          <w:sz w:val="32"/>
          <w:szCs w:val="40"/>
        </w:rPr>
        <w:t>‌ 校外托管机构</w:t>
      </w:r>
      <w:r>
        <w:rPr>
          <w:rFonts w:hint="eastAsia" w:ascii="仿宋" w:hAnsi="仿宋" w:eastAsia="仿宋" w:cs="仿宋"/>
          <w:color w:val="auto"/>
          <w:sz w:val="32"/>
          <w:szCs w:val="40"/>
          <w:lang w:eastAsia="zh-CN"/>
        </w:rPr>
        <w:t>治理</w:t>
      </w:r>
      <w:r>
        <w:rPr>
          <w:rFonts w:hint="eastAsia" w:ascii="仿宋" w:hAnsi="仿宋" w:eastAsia="仿宋" w:cs="仿宋"/>
          <w:color w:val="auto"/>
          <w:sz w:val="32"/>
          <w:szCs w:val="40"/>
        </w:rPr>
        <w:t>实行“</w:t>
      </w:r>
      <w:r>
        <w:rPr>
          <w:rFonts w:hint="eastAsia" w:ascii="仿宋" w:hAnsi="仿宋" w:eastAsia="仿宋" w:cs="仿宋"/>
          <w:color w:val="auto"/>
          <w:sz w:val="32"/>
          <w:szCs w:val="40"/>
          <w:lang w:eastAsia="zh-CN"/>
        </w:rPr>
        <w:t>政府主导、</w:t>
      </w:r>
      <w:r>
        <w:rPr>
          <w:rFonts w:hint="eastAsia" w:ascii="仿宋" w:hAnsi="仿宋" w:eastAsia="仿宋" w:cs="仿宋"/>
          <w:color w:val="auto"/>
          <w:sz w:val="32"/>
          <w:szCs w:val="40"/>
        </w:rPr>
        <w:t>属地管理、分工负责、以县为主”的</w:t>
      </w:r>
      <w:r>
        <w:rPr>
          <w:rFonts w:hint="eastAsia" w:ascii="仿宋" w:hAnsi="仿宋" w:eastAsia="仿宋" w:cs="仿宋"/>
          <w:color w:val="auto"/>
          <w:sz w:val="32"/>
          <w:szCs w:val="40"/>
          <w:lang w:eastAsia="zh-CN"/>
        </w:rPr>
        <w:t>治理机</w:t>
      </w:r>
      <w:r>
        <w:rPr>
          <w:rFonts w:hint="eastAsia" w:ascii="仿宋" w:hAnsi="仿宋" w:eastAsia="仿宋" w:cs="仿宋"/>
          <w:color w:val="auto"/>
          <w:sz w:val="32"/>
          <w:szCs w:val="40"/>
        </w:rPr>
        <w:t>制</w:t>
      </w:r>
      <w:r>
        <w:rPr>
          <w:rFonts w:hint="eastAsia" w:ascii="仿宋" w:hAnsi="仿宋" w:eastAsia="仿宋" w:cs="仿宋"/>
          <w:color w:val="auto"/>
          <w:sz w:val="32"/>
          <w:szCs w:val="40"/>
          <w:lang w:eastAsia="zh-CN"/>
        </w:rPr>
        <w:t>和“谁审批、谁监管，谁主管、谁监管”的原则</w:t>
      </w:r>
      <w:r>
        <w:rPr>
          <w:rFonts w:hint="eastAsia" w:ascii="仿宋" w:hAnsi="仿宋" w:eastAsia="仿宋" w:cs="仿宋"/>
          <w:color w:val="auto"/>
          <w:sz w:val="32"/>
          <w:szCs w:val="40"/>
        </w:rPr>
        <w:t>。市政府成立校外托管机构管理联席会议，</w:t>
      </w:r>
      <w:r>
        <w:rPr>
          <w:rFonts w:hint="eastAsia" w:ascii="仿宋" w:hAnsi="仿宋" w:eastAsia="仿宋" w:cs="仿宋"/>
          <w:color w:val="auto"/>
          <w:sz w:val="32"/>
          <w:szCs w:val="40"/>
          <w:lang w:val="en-US" w:eastAsia="zh-CN"/>
        </w:rPr>
        <w:t>由</w:t>
      </w:r>
      <w:r>
        <w:rPr>
          <w:rFonts w:hint="eastAsia" w:ascii="仿宋" w:hAnsi="仿宋" w:eastAsia="仿宋" w:cs="仿宋"/>
          <w:color w:val="auto"/>
          <w:sz w:val="32"/>
          <w:szCs w:val="40"/>
        </w:rPr>
        <w:t>市教育、市场监管、卫</w:t>
      </w:r>
      <w:r>
        <w:rPr>
          <w:rFonts w:hint="eastAsia" w:ascii="仿宋" w:hAnsi="仿宋" w:eastAsia="仿宋" w:cs="仿宋"/>
          <w:color w:val="auto"/>
          <w:sz w:val="32"/>
          <w:szCs w:val="40"/>
          <w:lang w:val="en-US" w:eastAsia="zh-CN"/>
        </w:rPr>
        <w:t>生</w:t>
      </w:r>
      <w:r>
        <w:rPr>
          <w:rFonts w:hint="eastAsia" w:ascii="仿宋" w:hAnsi="仿宋" w:eastAsia="仿宋" w:cs="仿宋"/>
          <w:color w:val="auto"/>
          <w:sz w:val="32"/>
          <w:szCs w:val="40"/>
        </w:rPr>
        <w:t>健</w:t>
      </w:r>
      <w:r>
        <w:rPr>
          <w:rFonts w:hint="eastAsia" w:ascii="仿宋" w:hAnsi="仿宋" w:eastAsia="仿宋" w:cs="仿宋"/>
          <w:color w:val="auto"/>
          <w:sz w:val="32"/>
          <w:szCs w:val="40"/>
          <w:lang w:val="en-US" w:eastAsia="zh-CN"/>
        </w:rPr>
        <w:t>康</w:t>
      </w:r>
      <w:r>
        <w:rPr>
          <w:rFonts w:hint="eastAsia" w:ascii="仿宋" w:hAnsi="仿宋" w:eastAsia="仿宋" w:cs="仿宋"/>
          <w:color w:val="auto"/>
          <w:sz w:val="32"/>
          <w:szCs w:val="40"/>
        </w:rPr>
        <w:t>、消防、公安、住建、城管</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民政</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lang w:val="en-US" w:eastAsia="zh-CN"/>
        </w:rPr>
        <w:t>应急管理等部门组成</w:t>
      </w:r>
      <w:r>
        <w:rPr>
          <w:rFonts w:hint="eastAsia" w:ascii="仿宋" w:hAnsi="仿宋" w:eastAsia="仿宋" w:cs="仿宋"/>
          <w:color w:val="auto"/>
          <w:sz w:val="32"/>
          <w:szCs w:val="40"/>
        </w:rPr>
        <w:t>，主要职责：统筹制定管理政策</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协调跨部门联合执法</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督办重大安全隐患整改。各县（区）政府参照成立</w:t>
      </w:r>
      <w:r>
        <w:rPr>
          <w:rFonts w:hint="eastAsia" w:ascii="仿宋" w:hAnsi="仿宋" w:eastAsia="仿宋" w:cs="仿宋"/>
          <w:color w:val="auto"/>
          <w:sz w:val="32"/>
          <w:szCs w:val="40"/>
          <w:lang w:eastAsia="zh-CN"/>
        </w:rPr>
        <w:t>县</w:t>
      </w:r>
      <w:r>
        <w:rPr>
          <w:rFonts w:hint="eastAsia" w:ascii="仿宋" w:hAnsi="仿宋" w:eastAsia="仿宋" w:cs="仿宋"/>
          <w:color w:val="auto"/>
          <w:sz w:val="32"/>
          <w:szCs w:val="40"/>
        </w:rPr>
        <w:t>本级联席会议，负责属地日常监管。‌</w:t>
      </w:r>
    </w:p>
    <w:p w14:paraId="4A1CFAB3">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b/>
          <w:bCs/>
          <w:color w:val="auto"/>
          <w:sz w:val="32"/>
          <w:szCs w:val="40"/>
        </w:rPr>
      </w:pPr>
      <w:r>
        <w:rPr>
          <w:rFonts w:hint="eastAsia" w:ascii="仿宋" w:hAnsi="仿宋" w:eastAsia="仿宋" w:cs="仿宋"/>
          <w:b/>
          <w:bCs/>
          <w:color w:val="auto"/>
          <w:sz w:val="32"/>
          <w:szCs w:val="40"/>
        </w:rPr>
        <w:t>‌第十</w:t>
      </w:r>
      <w:r>
        <w:rPr>
          <w:rFonts w:hint="eastAsia" w:ascii="仿宋" w:hAnsi="仿宋" w:eastAsia="仿宋" w:cs="仿宋"/>
          <w:b/>
          <w:bCs/>
          <w:color w:val="auto"/>
          <w:sz w:val="32"/>
          <w:szCs w:val="40"/>
          <w:lang w:val="en-US" w:eastAsia="zh-CN"/>
        </w:rPr>
        <w:t>二</w:t>
      </w:r>
      <w:r>
        <w:rPr>
          <w:rFonts w:hint="eastAsia" w:ascii="仿宋" w:hAnsi="仿宋" w:eastAsia="仿宋" w:cs="仿宋"/>
          <w:b/>
          <w:bCs/>
          <w:color w:val="auto"/>
          <w:sz w:val="32"/>
          <w:szCs w:val="40"/>
        </w:rPr>
        <w:t>条</w:t>
      </w:r>
      <w:r>
        <w:rPr>
          <w:rFonts w:hint="eastAsia" w:ascii="仿宋" w:hAnsi="仿宋" w:eastAsia="仿宋" w:cs="仿宋"/>
          <w:color w:val="auto"/>
          <w:sz w:val="32"/>
          <w:szCs w:val="40"/>
        </w:rPr>
        <w:t>‌ 教育、市场监管、卫生健康、消防、公安、住建、城管、民政、应急管理等相关部门应当建立校外托管机构的联动管理和信息共享机制，同时按照各自职责</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对校外托管机构执行法律、法规、规章以及本办法的情况进行监督检查</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并通过政府或者部门信息网站、政务信息资源共享平台公布对校外托管机构违规经营的查处情况</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检查中发现不属于本部门职责范围的问题隐患</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应当及时</w:t>
      </w:r>
      <w:r>
        <w:rPr>
          <w:rFonts w:hint="eastAsia" w:ascii="仿宋" w:hAnsi="仿宋" w:eastAsia="仿宋" w:cs="仿宋"/>
          <w:color w:val="auto"/>
          <w:sz w:val="32"/>
          <w:szCs w:val="40"/>
          <w:lang w:val="en-US" w:eastAsia="zh-CN"/>
        </w:rPr>
        <w:t>共享</w:t>
      </w:r>
      <w:r>
        <w:rPr>
          <w:rFonts w:hint="eastAsia" w:ascii="仿宋" w:hAnsi="仿宋" w:eastAsia="仿宋" w:cs="仿宋"/>
          <w:color w:val="auto"/>
          <w:sz w:val="32"/>
          <w:szCs w:val="40"/>
        </w:rPr>
        <w:t>信息并移送相关职能部门处理。</w:t>
      </w:r>
    </w:p>
    <w:p w14:paraId="35990285">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‌第十</w:t>
      </w:r>
      <w:r>
        <w:rPr>
          <w:rFonts w:hint="eastAsia" w:ascii="仿宋" w:hAnsi="仿宋" w:eastAsia="仿宋" w:cs="仿宋"/>
          <w:b/>
          <w:bCs/>
          <w:color w:val="auto"/>
          <w:sz w:val="32"/>
          <w:szCs w:val="40"/>
          <w:lang w:val="en-US" w:eastAsia="zh-CN"/>
        </w:rPr>
        <w:t>三</w:t>
      </w:r>
      <w:r>
        <w:rPr>
          <w:rFonts w:hint="eastAsia" w:ascii="仿宋" w:hAnsi="仿宋" w:eastAsia="仿宋" w:cs="仿宋"/>
          <w:b/>
          <w:bCs/>
          <w:color w:val="auto"/>
          <w:sz w:val="32"/>
          <w:szCs w:val="40"/>
        </w:rPr>
        <w:t>条</w:t>
      </w:r>
      <w:r>
        <w:rPr>
          <w:rFonts w:hint="eastAsia" w:ascii="仿宋" w:hAnsi="仿宋" w:eastAsia="仿宋" w:cs="仿宋"/>
          <w:color w:val="auto"/>
          <w:sz w:val="32"/>
          <w:szCs w:val="40"/>
        </w:rPr>
        <w:t xml:space="preserve">‌ </w:t>
      </w:r>
      <w:r>
        <w:rPr>
          <w:rFonts w:hint="eastAsia" w:ascii="仿宋" w:hAnsi="仿宋" w:eastAsia="仿宋" w:cs="仿宋"/>
          <w:color w:val="auto"/>
          <w:sz w:val="32"/>
          <w:szCs w:val="40"/>
          <w:lang w:val="en-US" w:eastAsia="zh-CN"/>
        </w:rPr>
        <w:t>各相关职能部门按照各自职能加强对托管机构的监管。其中：</w:t>
      </w:r>
      <w:r>
        <w:rPr>
          <w:rFonts w:hint="eastAsia" w:ascii="仿宋" w:hAnsi="仿宋" w:eastAsia="仿宋" w:cs="仿宋"/>
          <w:color w:val="auto"/>
          <w:sz w:val="32"/>
          <w:szCs w:val="40"/>
        </w:rPr>
        <w:t>‌</w:t>
      </w:r>
    </w:p>
    <w:p w14:paraId="7183E119">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lang w:eastAsia="zh-CN"/>
        </w:rPr>
      </w:pPr>
      <w:r>
        <w:rPr>
          <w:rFonts w:hint="eastAsia" w:ascii="仿宋" w:hAnsi="仿宋" w:eastAsia="仿宋" w:cs="仿宋"/>
          <w:b/>
          <w:bCs/>
          <w:color w:val="auto"/>
          <w:sz w:val="32"/>
          <w:szCs w:val="40"/>
        </w:rPr>
        <w:t>教育</w:t>
      </w:r>
      <w:r>
        <w:rPr>
          <w:rFonts w:hint="eastAsia" w:ascii="仿宋" w:hAnsi="仿宋" w:eastAsia="仿宋" w:cs="仿宋"/>
          <w:b/>
          <w:bCs/>
          <w:color w:val="auto"/>
          <w:sz w:val="32"/>
          <w:szCs w:val="40"/>
          <w:lang w:val="en-US" w:eastAsia="zh-CN"/>
        </w:rPr>
        <w:t>部门</w:t>
      </w:r>
      <w:r>
        <w:rPr>
          <w:rFonts w:hint="eastAsia" w:ascii="仿宋" w:hAnsi="仿宋" w:eastAsia="仿宋" w:cs="仿宋"/>
          <w:b/>
          <w:bCs/>
          <w:color w:val="auto"/>
          <w:sz w:val="32"/>
          <w:szCs w:val="40"/>
        </w:rPr>
        <w:t>‌：</w:t>
      </w:r>
      <w:r>
        <w:rPr>
          <w:rFonts w:hint="eastAsia" w:ascii="仿宋" w:hAnsi="仿宋" w:eastAsia="仿宋" w:cs="仿宋"/>
          <w:color w:val="auto"/>
          <w:sz w:val="32"/>
          <w:szCs w:val="40"/>
        </w:rPr>
        <w:t>依法查处校外托管机构违规开设教育培训和有偿学习辅导业务的行为</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禁止在职教职员工开办或兼职校外托管机构</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教育、引导学生和家长</w:t>
      </w:r>
      <w:r>
        <w:rPr>
          <w:rFonts w:hint="eastAsia" w:ascii="仿宋" w:hAnsi="仿宋" w:eastAsia="仿宋" w:cs="仿宋"/>
          <w:color w:val="auto"/>
          <w:sz w:val="32"/>
          <w:szCs w:val="40"/>
          <w:lang w:eastAsia="zh-CN"/>
        </w:rPr>
        <w:t>选择合规</w:t>
      </w:r>
      <w:r>
        <w:rPr>
          <w:rFonts w:hint="eastAsia" w:ascii="仿宋" w:hAnsi="仿宋" w:eastAsia="仿宋" w:cs="仿宋"/>
          <w:color w:val="auto"/>
          <w:sz w:val="32"/>
          <w:szCs w:val="40"/>
        </w:rPr>
        <w:t>的校外托管机构进行托管</w:t>
      </w:r>
      <w:r>
        <w:rPr>
          <w:rFonts w:hint="eastAsia" w:ascii="仿宋" w:hAnsi="仿宋" w:eastAsia="仿宋" w:cs="仿宋"/>
          <w:color w:val="auto"/>
          <w:sz w:val="32"/>
          <w:szCs w:val="40"/>
          <w:lang w:eastAsia="zh-CN"/>
        </w:rPr>
        <w:t>。</w:t>
      </w:r>
    </w:p>
    <w:p w14:paraId="052CDC8E">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‌市场监管</w:t>
      </w:r>
      <w:r>
        <w:rPr>
          <w:rFonts w:hint="eastAsia" w:ascii="仿宋" w:hAnsi="仿宋" w:eastAsia="仿宋" w:cs="仿宋"/>
          <w:b/>
          <w:bCs/>
          <w:color w:val="auto"/>
          <w:sz w:val="32"/>
          <w:szCs w:val="40"/>
          <w:lang w:val="en-US" w:eastAsia="zh-CN"/>
        </w:rPr>
        <w:t>部门</w:t>
      </w:r>
      <w:r>
        <w:rPr>
          <w:rFonts w:hint="eastAsia" w:ascii="仿宋" w:hAnsi="仿宋" w:eastAsia="仿宋" w:cs="仿宋"/>
          <w:b/>
          <w:bCs/>
          <w:color w:val="auto"/>
          <w:sz w:val="32"/>
          <w:szCs w:val="40"/>
        </w:rPr>
        <w:t>‌：</w:t>
      </w:r>
      <w:r>
        <w:rPr>
          <w:rFonts w:hint="eastAsia" w:ascii="仿宋" w:hAnsi="仿宋" w:eastAsia="仿宋" w:cs="仿宋"/>
          <w:color w:val="auto"/>
          <w:sz w:val="32"/>
          <w:szCs w:val="40"/>
        </w:rPr>
        <w:t>负责营利性托管机构商事登记及注销，监督食品安全，依法查处价格违法行为。</w:t>
      </w:r>
    </w:p>
    <w:p w14:paraId="23FC8028">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卫</w:t>
      </w:r>
      <w:r>
        <w:rPr>
          <w:rFonts w:hint="eastAsia" w:ascii="仿宋" w:hAnsi="仿宋" w:eastAsia="仿宋" w:cs="仿宋"/>
          <w:b/>
          <w:bCs/>
          <w:color w:val="auto"/>
          <w:sz w:val="32"/>
          <w:szCs w:val="40"/>
          <w:lang w:val="en-US" w:eastAsia="zh-CN"/>
        </w:rPr>
        <w:t>生</w:t>
      </w:r>
      <w:r>
        <w:rPr>
          <w:rFonts w:hint="eastAsia" w:ascii="仿宋" w:hAnsi="仿宋" w:eastAsia="仿宋" w:cs="仿宋"/>
          <w:b/>
          <w:bCs/>
          <w:color w:val="auto"/>
          <w:sz w:val="32"/>
          <w:szCs w:val="40"/>
        </w:rPr>
        <w:t>健</w:t>
      </w:r>
      <w:r>
        <w:rPr>
          <w:rFonts w:hint="eastAsia" w:ascii="仿宋" w:hAnsi="仿宋" w:eastAsia="仿宋" w:cs="仿宋"/>
          <w:b/>
          <w:bCs/>
          <w:color w:val="auto"/>
          <w:sz w:val="32"/>
          <w:szCs w:val="40"/>
          <w:lang w:val="en-US" w:eastAsia="zh-CN"/>
        </w:rPr>
        <w:t>康部门</w:t>
      </w:r>
      <w:r>
        <w:rPr>
          <w:rFonts w:hint="eastAsia" w:ascii="仿宋" w:hAnsi="仿宋" w:eastAsia="仿宋" w:cs="仿宋"/>
          <w:b/>
          <w:bCs/>
          <w:color w:val="auto"/>
          <w:sz w:val="32"/>
          <w:szCs w:val="40"/>
        </w:rPr>
        <w:t>‌：</w:t>
      </w:r>
      <w:r>
        <w:rPr>
          <w:rFonts w:hint="eastAsia" w:ascii="仿宋" w:hAnsi="仿宋" w:eastAsia="仿宋" w:cs="仿宋"/>
          <w:color w:val="auto"/>
          <w:sz w:val="32"/>
          <w:szCs w:val="40"/>
        </w:rPr>
        <w:t>负责指导托管机构落实相关卫生标准、做好传染病防控和饮用水卫生及环境卫生、防范和应对突发公共卫生事件。</w:t>
      </w:r>
    </w:p>
    <w:p w14:paraId="3719D3B9">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消防</w:t>
      </w:r>
      <w:r>
        <w:rPr>
          <w:rFonts w:hint="eastAsia" w:ascii="仿宋" w:hAnsi="仿宋" w:eastAsia="仿宋" w:cs="仿宋"/>
          <w:b/>
          <w:bCs/>
          <w:color w:val="auto"/>
          <w:sz w:val="32"/>
          <w:szCs w:val="40"/>
          <w:lang w:val="en-US" w:eastAsia="zh-CN"/>
        </w:rPr>
        <w:t>部门</w:t>
      </w:r>
      <w:r>
        <w:rPr>
          <w:rFonts w:hint="eastAsia" w:ascii="仿宋" w:hAnsi="仿宋" w:eastAsia="仿宋" w:cs="仿宋"/>
          <w:b/>
          <w:bCs/>
          <w:color w:val="auto"/>
          <w:sz w:val="32"/>
          <w:szCs w:val="40"/>
        </w:rPr>
        <w:t>‌：</w:t>
      </w:r>
      <w:r>
        <w:rPr>
          <w:rFonts w:hint="eastAsia" w:ascii="仿宋" w:hAnsi="仿宋" w:eastAsia="仿宋" w:cs="仿宋"/>
          <w:color w:val="auto"/>
          <w:sz w:val="32"/>
          <w:szCs w:val="40"/>
        </w:rPr>
        <w:t>对中小学校外托管机构开展</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双随机、一公开</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监督</w:t>
      </w:r>
      <w:r>
        <w:rPr>
          <w:rFonts w:hint="eastAsia" w:ascii="仿宋" w:hAnsi="仿宋" w:eastAsia="仿宋" w:cs="仿宋"/>
          <w:color w:val="auto"/>
          <w:sz w:val="32"/>
          <w:szCs w:val="40"/>
          <w:lang w:eastAsia="zh-CN"/>
        </w:rPr>
        <w:t>抽</w:t>
      </w:r>
      <w:r>
        <w:rPr>
          <w:rFonts w:hint="eastAsia" w:ascii="仿宋" w:hAnsi="仿宋" w:eastAsia="仿宋" w:cs="仿宋"/>
          <w:color w:val="auto"/>
          <w:sz w:val="32"/>
          <w:szCs w:val="40"/>
        </w:rPr>
        <w:t>查，依法查处消防违法行为。</w:t>
      </w:r>
    </w:p>
    <w:p w14:paraId="03A16552">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公安</w:t>
      </w:r>
      <w:r>
        <w:rPr>
          <w:rFonts w:hint="eastAsia" w:ascii="仿宋" w:hAnsi="仿宋" w:eastAsia="仿宋" w:cs="仿宋"/>
          <w:b/>
          <w:bCs/>
          <w:color w:val="auto"/>
          <w:sz w:val="32"/>
          <w:szCs w:val="40"/>
          <w:lang w:val="en-US" w:eastAsia="zh-CN"/>
        </w:rPr>
        <w:t>部门</w:t>
      </w:r>
      <w:r>
        <w:rPr>
          <w:rFonts w:hint="eastAsia" w:ascii="仿宋" w:hAnsi="仿宋" w:eastAsia="仿宋" w:cs="仿宋"/>
          <w:b/>
          <w:bCs/>
          <w:color w:val="auto"/>
          <w:sz w:val="32"/>
          <w:szCs w:val="40"/>
        </w:rPr>
        <w:t>‌：</w:t>
      </w:r>
      <w:r>
        <w:rPr>
          <w:rFonts w:hint="eastAsia" w:ascii="仿宋" w:hAnsi="仿宋" w:eastAsia="仿宋" w:cs="仿宋"/>
          <w:color w:val="auto"/>
          <w:sz w:val="32"/>
          <w:szCs w:val="40"/>
        </w:rPr>
        <w:t>协助行业主管部门核查从业人员背景信息</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依职责处置托管场所内发生的案事件。</w:t>
      </w:r>
    </w:p>
    <w:p w14:paraId="567E3C1F">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lang w:val="en-US" w:eastAsia="zh-CN"/>
        </w:rPr>
      </w:pPr>
      <w:r>
        <w:rPr>
          <w:rFonts w:hint="eastAsia" w:ascii="仿宋" w:hAnsi="仿宋" w:eastAsia="仿宋" w:cs="仿宋"/>
          <w:b/>
          <w:bCs/>
          <w:color w:val="auto"/>
          <w:sz w:val="32"/>
          <w:szCs w:val="40"/>
        </w:rPr>
        <w:t>住建</w:t>
      </w:r>
      <w:r>
        <w:rPr>
          <w:rFonts w:hint="eastAsia" w:ascii="仿宋" w:hAnsi="仿宋" w:eastAsia="仿宋" w:cs="仿宋"/>
          <w:b/>
          <w:bCs/>
          <w:color w:val="auto"/>
          <w:sz w:val="32"/>
          <w:szCs w:val="40"/>
          <w:lang w:val="en-US" w:eastAsia="zh-CN"/>
        </w:rPr>
        <w:t>部门</w:t>
      </w:r>
      <w:r>
        <w:rPr>
          <w:rFonts w:hint="eastAsia" w:ascii="仿宋" w:hAnsi="仿宋" w:eastAsia="仿宋" w:cs="仿宋"/>
          <w:b/>
          <w:bCs/>
          <w:color w:val="auto"/>
          <w:sz w:val="32"/>
          <w:szCs w:val="40"/>
        </w:rPr>
        <w:t>‌：</w:t>
      </w:r>
      <w:r>
        <w:rPr>
          <w:rFonts w:hint="eastAsia" w:ascii="仿宋" w:hAnsi="仿宋" w:eastAsia="仿宋" w:cs="仿宋"/>
          <w:color w:val="auto"/>
          <w:sz w:val="32"/>
          <w:szCs w:val="40"/>
        </w:rPr>
        <w:t>负责新建、改建、扩建托管机构的房屋建筑工程的质量安全和依职责承担本行政区域内托管机构建设工程的消防设计审查、消防验收和备案和抽查工作。</w:t>
      </w:r>
    </w:p>
    <w:p w14:paraId="2770D9D3">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民政</w:t>
      </w:r>
      <w:r>
        <w:rPr>
          <w:rFonts w:hint="eastAsia" w:ascii="仿宋" w:hAnsi="仿宋" w:eastAsia="仿宋" w:cs="仿宋"/>
          <w:b/>
          <w:bCs/>
          <w:color w:val="auto"/>
          <w:sz w:val="32"/>
          <w:szCs w:val="40"/>
          <w:lang w:val="en-US" w:eastAsia="zh-CN"/>
        </w:rPr>
        <w:t>部门</w:t>
      </w:r>
      <w:r>
        <w:rPr>
          <w:rFonts w:hint="eastAsia" w:ascii="仿宋" w:hAnsi="仿宋" w:eastAsia="仿宋" w:cs="仿宋"/>
          <w:b/>
          <w:bCs/>
          <w:color w:val="auto"/>
          <w:sz w:val="32"/>
          <w:szCs w:val="40"/>
        </w:rPr>
        <w:t>‌：</w:t>
      </w:r>
      <w:r>
        <w:rPr>
          <w:rFonts w:hint="eastAsia" w:ascii="仿宋" w:hAnsi="仿宋" w:eastAsia="仿宋" w:cs="仿宋"/>
          <w:color w:val="auto"/>
          <w:sz w:val="32"/>
          <w:szCs w:val="40"/>
        </w:rPr>
        <w:t>负责</w:t>
      </w:r>
      <w:r>
        <w:rPr>
          <w:rFonts w:hint="eastAsia" w:ascii="仿宋" w:hAnsi="仿宋" w:eastAsia="仿宋" w:cs="仿宋"/>
          <w:color w:val="auto"/>
          <w:sz w:val="32"/>
          <w:szCs w:val="40"/>
          <w:lang w:val="en-US" w:eastAsia="zh-CN"/>
        </w:rPr>
        <w:t>非</w:t>
      </w:r>
      <w:r>
        <w:rPr>
          <w:rFonts w:hint="eastAsia" w:ascii="仿宋" w:hAnsi="仿宋" w:eastAsia="仿宋" w:cs="仿宋"/>
          <w:color w:val="auto"/>
          <w:sz w:val="32"/>
          <w:szCs w:val="40"/>
        </w:rPr>
        <w:t>营利性机构成立、变更、注销登记及年度检查</w:t>
      </w:r>
      <w:r>
        <w:rPr>
          <w:rFonts w:hint="eastAsia" w:ascii="仿宋" w:hAnsi="仿宋" w:eastAsia="仿宋" w:cs="仿宋"/>
          <w:color w:val="auto"/>
          <w:sz w:val="32"/>
          <w:szCs w:val="40"/>
          <w:lang w:eastAsia="zh-CN"/>
        </w:rPr>
        <w:t>，依法查处未经登记，擅自以民办非企业单位名义进行活动或被撤销登记的民办非企业单位继续以民办非企业单位名义进行活动的违法违规行为</w:t>
      </w:r>
      <w:r>
        <w:rPr>
          <w:rFonts w:hint="eastAsia" w:ascii="仿宋" w:hAnsi="仿宋" w:eastAsia="仿宋" w:cs="仿宋"/>
          <w:color w:val="auto"/>
          <w:sz w:val="32"/>
          <w:szCs w:val="40"/>
        </w:rPr>
        <w:t>。</w:t>
      </w:r>
    </w:p>
    <w:p w14:paraId="7B25DC18">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城管部门</w:t>
      </w:r>
      <w:r>
        <w:rPr>
          <w:rFonts w:hint="eastAsia" w:ascii="仿宋" w:hAnsi="仿宋" w:eastAsia="仿宋" w:cs="仿宋"/>
          <w:b/>
          <w:bCs/>
          <w:color w:val="auto"/>
          <w:sz w:val="32"/>
          <w:szCs w:val="40"/>
          <w:lang w:eastAsia="zh-CN"/>
        </w:rPr>
        <w:t>：</w:t>
      </w:r>
      <w:r>
        <w:rPr>
          <w:rFonts w:hint="eastAsia" w:ascii="仿宋" w:hAnsi="仿宋" w:eastAsia="仿宋" w:cs="仿宋"/>
          <w:color w:val="auto"/>
          <w:sz w:val="32"/>
          <w:szCs w:val="40"/>
        </w:rPr>
        <w:t>负责依法查处未经审批装修、施工及擅自改变房屋建筑结构的违法违规行为。</w:t>
      </w:r>
    </w:p>
    <w:p w14:paraId="73FEC22A">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lang w:val="en-US" w:eastAsia="zh-CN"/>
        </w:rPr>
        <w:t>应急管理</w:t>
      </w:r>
      <w:r>
        <w:rPr>
          <w:rFonts w:hint="eastAsia" w:ascii="仿宋" w:hAnsi="仿宋" w:eastAsia="仿宋" w:cs="仿宋"/>
          <w:b/>
          <w:bCs/>
          <w:color w:val="auto"/>
          <w:sz w:val="32"/>
          <w:szCs w:val="40"/>
        </w:rPr>
        <w:t>部门</w:t>
      </w:r>
      <w:r>
        <w:rPr>
          <w:rFonts w:hint="eastAsia" w:ascii="仿宋" w:hAnsi="仿宋" w:eastAsia="仿宋" w:cs="仿宋"/>
          <w:b/>
          <w:bCs/>
          <w:color w:val="auto"/>
          <w:sz w:val="32"/>
          <w:szCs w:val="40"/>
          <w:lang w:eastAsia="zh-CN"/>
        </w:rPr>
        <w:t>：</w:t>
      </w:r>
      <w:r>
        <w:rPr>
          <w:rFonts w:hint="eastAsia" w:ascii="仿宋" w:hAnsi="仿宋" w:eastAsia="仿宋" w:cs="仿宋"/>
          <w:color w:val="auto"/>
          <w:sz w:val="32"/>
          <w:szCs w:val="40"/>
        </w:rPr>
        <w:t>负责指导、协调、督促相关部门(单位)加强对校外托管机构的安全管理。</w:t>
      </w:r>
    </w:p>
    <w:p w14:paraId="744FCCBD">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‌各县（区）乡镇（街道）</w:t>
      </w:r>
      <w:r>
        <w:rPr>
          <w:rFonts w:hint="eastAsia" w:ascii="仿宋" w:hAnsi="仿宋" w:eastAsia="仿宋" w:cs="仿宋"/>
          <w:color w:val="auto"/>
          <w:sz w:val="32"/>
          <w:szCs w:val="40"/>
        </w:rPr>
        <w:t>‌：负责辖区内校外托管机构日常巡查和摸排工作。</w:t>
      </w:r>
    </w:p>
    <w:p w14:paraId="097C79D0">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其他职能部门</w:t>
      </w:r>
      <w:r>
        <w:rPr>
          <w:rFonts w:hint="eastAsia" w:ascii="仿宋" w:hAnsi="仿宋" w:eastAsia="仿宋" w:cs="仿宋"/>
          <w:color w:val="auto"/>
          <w:sz w:val="32"/>
          <w:szCs w:val="40"/>
        </w:rPr>
        <w:t>在各自的职责范围内做好对校外托管机构的相关管理工作。</w:t>
      </w:r>
    </w:p>
    <w:p w14:paraId="35ECD6C2">
      <w:pPr>
        <w:keepNext w:val="0"/>
        <w:keepLines w:val="0"/>
        <w:pageBreakBefore w:val="0"/>
        <w:widowControl w:val="0"/>
        <w:kinsoku/>
        <w:wordWrap/>
        <w:overflowPunct/>
        <w:topLinePunct w:val="0"/>
        <w:autoSpaceDE/>
        <w:autoSpaceDN/>
        <w:bidi w:val="0"/>
        <w:adjustRightInd/>
        <w:snapToGrid/>
        <w:spacing w:line="585" w:lineRule="exact"/>
        <w:jc w:val="center"/>
        <w:textAlignment w:val="auto"/>
        <w:rPr>
          <w:rFonts w:hint="default"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第五章 日常安全管理</w:t>
      </w:r>
    </w:p>
    <w:p w14:paraId="39BE9599">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第十</w:t>
      </w:r>
      <w:r>
        <w:rPr>
          <w:rFonts w:hint="eastAsia" w:ascii="仿宋" w:hAnsi="仿宋" w:eastAsia="仿宋" w:cs="仿宋"/>
          <w:b/>
          <w:bCs/>
          <w:color w:val="auto"/>
          <w:sz w:val="32"/>
          <w:szCs w:val="40"/>
          <w:lang w:val="en-US" w:eastAsia="zh-CN"/>
        </w:rPr>
        <w:t>四</w:t>
      </w:r>
      <w:r>
        <w:rPr>
          <w:rFonts w:hint="eastAsia" w:ascii="仿宋" w:hAnsi="仿宋" w:eastAsia="仿宋" w:cs="仿宋"/>
          <w:b/>
          <w:bCs/>
          <w:color w:val="auto"/>
          <w:sz w:val="32"/>
          <w:szCs w:val="40"/>
        </w:rPr>
        <w:t>条</w:t>
      </w:r>
      <w:r>
        <w:rPr>
          <w:rFonts w:hint="eastAsia" w:ascii="仿宋" w:hAnsi="仿宋" w:eastAsia="仿宋" w:cs="仿宋"/>
          <w:color w:val="auto"/>
          <w:sz w:val="32"/>
          <w:szCs w:val="40"/>
        </w:rPr>
        <w:t xml:space="preserve"> 校外托管机构应当履行以下</w:t>
      </w:r>
      <w:r>
        <w:rPr>
          <w:rFonts w:hint="eastAsia" w:ascii="仿宋" w:hAnsi="仿宋" w:eastAsia="仿宋" w:cs="仿宋"/>
          <w:color w:val="auto"/>
          <w:sz w:val="32"/>
          <w:szCs w:val="40"/>
          <w:lang w:val="en-US" w:eastAsia="zh-CN"/>
        </w:rPr>
        <w:t>安全保障</w:t>
      </w:r>
      <w:r>
        <w:rPr>
          <w:rFonts w:hint="eastAsia" w:ascii="仿宋" w:hAnsi="仿宋" w:eastAsia="仿宋" w:cs="仿宋"/>
          <w:color w:val="auto"/>
          <w:sz w:val="32"/>
          <w:szCs w:val="40"/>
        </w:rPr>
        <w:t>义务：</w:t>
      </w:r>
    </w:p>
    <w:p w14:paraId="4D8609E5">
      <w:pPr>
        <w:keepNext w:val="0"/>
        <w:keepLines w:val="0"/>
        <w:pageBreakBefore w:val="0"/>
        <w:widowControl w:val="0"/>
        <w:kinsoku/>
        <w:wordWrap/>
        <w:overflowPunct/>
        <w:topLinePunct w:val="0"/>
        <w:autoSpaceDE/>
        <w:autoSpaceDN/>
        <w:bidi w:val="0"/>
        <w:adjustRightInd/>
        <w:snapToGrid/>
        <w:spacing w:line="585" w:lineRule="exact"/>
        <w:ind w:firstLine="640" w:firstLineChars="200"/>
        <w:textAlignment w:val="auto"/>
        <w:rPr>
          <w:rFonts w:hint="eastAsia" w:ascii="仿宋" w:hAnsi="仿宋" w:eastAsia="仿宋" w:cs="仿宋"/>
          <w:color w:val="auto"/>
          <w:sz w:val="32"/>
          <w:szCs w:val="40"/>
          <w:lang w:val="en-US" w:eastAsia="zh-CN"/>
        </w:rPr>
      </w:pPr>
      <w:r>
        <w:rPr>
          <w:rFonts w:hint="eastAsia" w:ascii="仿宋" w:hAnsi="仿宋" w:eastAsia="仿宋" w:cs="仿宋"/>
          <w:color w:val="auto"/>
          <w:sz w:val="32"/>
          <w:szCs w:val="40"/>
          <w:lang w:val="en-US" w:eastAsia="zh-CN"/>
        </w:rPr>
        <w:t>（1）安排专人负责学生接送工作，做好学生放学接至机构、托管后返校及交还监护人等环节的交接确认，切实保障学生安全。</w:t>
      </w:r>
    </w:p>
    <w:p w14:paraId="5FF7A6E4">
      <w:pPr>
        <w:keepNext w:val="0"/>
        <w:keepLines w:val="0"/>
        <w:pageBreakBefore w:val="0"/>
        <w:widowControl w:val="0"/>
        <w:kinsoku/>
        <w:wordWrap/>
        <w:overflowPunct/>
        <w:topLinePunct w:val="0"/>
        <w:autoSpaceDE/>
        <w:autoSpaceDN/>
        <w:bidi w:val="0"/>
        <w:adjustRightInd/>
        <w:snapToGrid/>
        <w:spacing w:line="585" w:lineRule="exact"/>
        <w:ind w:firstLine="640" w:firstLineChars="200"/>
        <w:textAlignment w:val="auto"/>
        <w:rPr>
          <w:rFonts w:hint="eastAsia" w:ascii="仿宋" w:hAnsi="仿宋" w:eastAsia="仿宋" w:cs="仿宋"/>
          <w:color w:val="auto"/>
          <w:sz w:val="32"/>
          <w:szCs w:val="40"/>
          <w:lang w:val="en-US" w:eastAsia="zh-CN"/>
        </w:rPr>
      </w:pPr>
      <w:r>
        <w:rPr>
          <w:rFonts w:hint="eastAsia" w:ascii="仿宋" w:hAnsi="仿宋" w:eastAsia="仿宋" w:cs="仿宋"/>
          <w:color w:val="auto"/>
          <w:sz w:val="32"/>
          <w:szCs w:val="40"/>
          <w:lang w:val="en-US" w:eastAsia="zh-CN"/>
        </w:rPr>
        <w:t>（2）学生参与托管期间，必须全程配备专职工作人员看护，确保学生安全与活动有序开展。若出现学生未按时到达、无故离开等异常情况，立即通知监护人及所在学校并积极查找。</w:t>
      </w:r>
    </w:p>
    <w:p w14:paraId="069AF2BE">
      <w:pPr>
        <w:keepNext w:val="0"/>
        <w:keepLines w:val="0"/>
        <w:pageBreakBefore w:val="0"/>
        <w:widowControl w:val="0"/>
        <w:kinsoku/>
        <w:wordWrap/>
        <w:overflowPunct/>
        <w:topLinePunct w:val="0"/>
        <w:autoSpaceDE/>
        <w:autoSpaceDN/>
        <w:bidi w:val="0"/>
        <w:adjustRightInd/>
        <w:snapToGrid/>
        <w:spacing w:line="585" w:lineRule="exact"/>
        <w:ind w:firstLine="640" w:firstLineChars="200"/>
        <w:textAlignment w:val="auto"/>
        <w:rPr>
          <w:rFonts w:hint="eastAsia" w:ascii="仿宋" w:hAnsi="仿宋" w:eastAsia="仿宋" w:cs="仿宋"/>
          <w:color w:val="auto"/>
          <w:sz w:val="32"/>
          <w:szCs w:val="40"/>
          <w:lang w:val="en-US" w:eastAsia="zh-CN"/>
        </w:rPr>
      </w:pPr>
      <w:r>
        <w:rPr>
          <w:rFonts w:hint="eastAsia" w:ascii="仿宋" w:hAnsi="仿宋" w:eastAsia="仿宋" w:cs="仿宋"/>
          <w:color w:val="auto"/>
          <w:sz w:val="32"/>
          <w:szCs w:val="40"/>
          <w:lang w:val="en-US" w:eastAsia="zh-CN"/>
        </w:rPr>
        <w:t>（3）机构应当建立防侵害安全机制，预防并制止猥亵、欺凌等侵害行为。</w:t>
      </w:r>
    </w:p>
    <w:p w14:paraId="04E77486">
      <w:pPr>
        <w:keepNext w:val="0"/>
        <w:keepLines w:val="0"/>
        <w:pageBreakBefore w:val="0"/>
        <w:widowControl w:val="0"/>
        <w:kinsoku/>
        <w:wordWrap/>
        <w:overflowPunct/>
        <w:topLinePunct w:val="0"/>
        <w:autoSpaceDE/>
        <w:autoSpaceDN/>
        <w:bidi w:val="0"/>
        <w:adjustRightInd/>
        <w:snapToGrid/>
        <w:spacing w:line="585" w:lineRule="exact"/>
        <w:ind w:firstLine="640" w:firstLineChars="200"/>
        <w:textAlignment w:val="auto"/>
        <w:rPr>
          <w:rFonts w:hint="eastAsia" w:ascii="仿宋" w:hAnsi="仿宋" w:eastAsia="仿宋" w:cs="仿宋"/>
          <w:color w:val="auto"/>
          <w:sz w:val="32"/>
          <w:szCs w:val="40"/>
          <w:lang w:val="en-US" w:eastAsia="zh-CN"/>
        </w:rPr>
      </w:pPr>
      <w:r>
        <w:rPr>
          <w:rFonts w:hint="eastAsia" w:ascii="仿宋" w:hAnsi="仿宋" w:eastAsia="仿宋" w:cs="仿宋"/>
          <w:color w:val="auto"/>
          <w:sz w:val="32"/>
          <w:szCs w:val="40"/>
          <w:lang w:val="en-US" w:eastAsia="zh-CN"/>
        </w:rPr>
        <w:t>（4）发现学生生病、受伤等紧急情况，机构应当迅速采取救助措施，同步联系监护人及学校，必要时协助送医。</w:t>
      </w:r>
    </w:p>
    <w:p w14:paraId="51CED11A">
      <w:pPr>
        <w:keepNext w:val="0"/>
        <w:keepLines w:val="0"/>
        <w:pageBreakBefore w:val="0"/>
        <w:widowControl w:val="0"/>
        <w:kinsoku/>
        <w:wordWrap/>
        <w:overflowPunct/>
        <w:topLinePunct w:val="0"/>
        <w:autoSpaceDE/>
        <w:autoSpaceDN/>
        <w:bidi w:val="0"/>
        <w:adjustRightInd/>
        <w:snapToGrid/>
        <w:spacing w:line="585" w:lineRule="exact"/>
        <w:ind w:firstLine="640" w:firstLineChars="200"/>
        <w:textAlignment w:val="auto"/>
        <w:rPr>
          <w:rFonts w:hint="eastAsia" w:ascii="仿宋" w:hAnsi="仿宋" w:eastAsia="仿宋" w:cs="仿宋"/>
          <w:color w:val="auto"/>
          <w:sz w:val="32"/>
          <w:szCs w:val="40"/>
          <w:lang w:val="en-US" w:eastAsia="zh-CN"/>
        </w:rPr>
      </w:pPr>
      <w:r>
        <w:rPr>
          <w:rFonts w:hint="eastAsia" w:ascii="仿宋" w:hAnsi="仿宋" w:eastAsia="仿宋" w:cs="仿宋"/>
          <w:color w:val="auto"/>
          <w:sz w:val="32"/>
          <w:szCs w:val="40"/>
          <w:lang w:val="en-US" w:eastAsia="zh-CN"/>
        </w:rPr>
        <w:t>（5）机构应参照中小学幼儿园有关安全防护标准，建立“人防、物防、技防”三位一体的安全防范体系，至少配备1名保安和防卫器械“八小件”，设置符合相关技术标准的监控设备，视频监控数据保存期限不少于30天，做好学生隐私保护。</w:t>
      </w:r>
    </w:p>
    <w:p w14:paraId="5A4956C7">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b/>
          <w:bCs/>
          <w:color w:val="auto"/>
          <w:sz w:val="32"/>
          <w:szCs w:val="40"/>
          <w:lang w:val="en-US" w:eastAsia="zh-CN"/>
        </w:rPr>
      </w:pPr>
      <w:r>
        <w:rPr>
          <w:rFonts w:hint="eastAsia" w:ascii="仿宋" w:hAnsi="仿宋" w:eastAsia="仿宋" w:cs="仿宋"/>
          <w:b/>
          <w:bCs/>
          <w:color w:val="auto"/>
          <w:sz w:val="32"/>
          <w:szCs w:val="40"/>
          <w:lang w:val="en-US" w:eastAsia="zh-CN"/>
        </w:rPr>
        <w:t xml:space="preserve">第十五条 </w:t>
      </w:r>
      <w:r>
        <w:rPr>
          <w:rFonts w:hint="eastAsia" w:ascii="仿宋" w:hAnsi="仿宋" w:eastAsia="仿宋" w:cs="仿宋"/>
          <w:color w:val="auto"/>
          <w:sz w:val="32"/>
          <w:szCs w:val="40"/>
          <w:lang w:val="en-US" w:eastAsia="zh-CN"/>
        </w:rPr>
        <w:t>托管机构应当履行以下消防安全、卫生安全、食品安全、燃气安全管理义务，并制定事故应急处置预案：</w:t>
      </w:r>
    </w:p>
    <w:p w14:paraId="18944A87">
      <w:pPr>
        <w:keepNext w:val="0"/>
        <w:keepLines w:val="0"/>
        <w:pageBreakBefore w:val="0"/>
        <w:widowControl w:val="0"/>
        <w:kinsoku/>
        <w:wordWrap/>
        <w:overflowPunct/>
        <w:topLinePunct w:val="0"/>
        <w:autoSpaceDE/>
        <w:autoSpaceDN/>
        <w:bidi w:val="0"/>
        <w:adjustRightInd/>
        <w:snapToGrid/>
        <w:spacing w:line="585" w:lineRule="exact"/>
        <w:ind w:firstLine="640" w:firstLineChars="200"/>
        <w:textAlignment w:val="auto"/>
        <w:rPr>
          <w:rFonts w:hint="eastAsia" w:ascii="仿宋" w:hAnsi="仿宋" w:eastAsia="仿宋" w:cs="仿宋"/>
          <w:color w:val="auto"/>
          <w:sz w:val="32"/>
          <w:szCs w:val="40"/>
          <w:lang w:val="en-US" w:eastAsia="zh-CN"/>
        </w:rPr>
      </w:pPr>
      <w:r>
        <w:rPr>
          <w:rFonts w:hint="eastAsia" w:ascii="仿宋" w:hAnsi="仿宋" w:eastAsia="仿宋" w:cs="仿宋"/>
          <w:color w:val="auto"/>
          <w:sz w:val="32"/>
          <w:szCs w:val="40"/>
          <w:lang w:val="en-US" w:eastAsia="zh-CN"/>
        </w:rPr>
        <w:t>（1）保证托管场所消防安全。托管机构应合理配置灭火器、应急照明灯、疏散指示标志等消防设施，并定期进行检查、维护和更新。</w:t>
      </w:r>
      <w:r>
        <w:rPr>
          <w:rFonts w:hint="eastAsia" w:ascii="仿宋" w:hAnsi="仿宋" w:eastAsia="仿宋" w:cs="仿宋"/>
          <w:color w:val="auto"/>
          <w:sz w:val="32"/>
          <w:szCs w:val="40"/>
        </w:rPr>
        <w:t>建设消防物联网,并接入全省教育系统智慧消防监管平台。</w:t>
      </w:r>
      <w:r>
        <w:rPr>
          <w:rFonts w:hint="eastAsia" w:ascii="仿宋" w:hAnsi="仿宋" w:eastAsia="仿宋" w:cs="仿宋"/>
          <w:color w:val="auto"/>
          <w:sz w:val="32"/>
          <w:szCs w:val="40"/>
          <w:lang w:val="en-US" w:eastAsia="zh-CN"/>
        </w:rPr>
        <w:t xml:space="preserve">保持疏散通道、安全出口畅通，严禁在通道内堆放杂物、设置障碍物或停放电动自行车，每月至少开展一次消防通道专项检查，并留存检查记录。每半年组织一次全员消防安全培训和应急演练，确保工作人员熟练掌握消防技能，提高应急处置能力。 </w:t>
      </w:r>
    </w:p>
    <w:p w14:paraId="7635511D">
      <w:pPr>
        <w:keepNext w:val="0"/>
        <w:keepLines w:val="0"/>
        <w:pageBreakBefore w:val="0"/>
        <w:widowControl w:val="0"/>
        <w:kinsoku/>
        <w:wordWrap/>
        <w:overflowPunct/>
        <w:topLinePunct w:val="0"/>
        <w:autoSpaceDE/>
        <w:autoSpaceDN/>
        <w:bidi w:val="0"/>
        <w:adjustRightInd/>
        <w:snapToGrid/>
        <w:spacing w:line="585" w:lineRule="exact"/>
        <w:ind w:firstLine="640" w:firstLineChars="200"/>
        <w:textAlignment w:val="auto"/>
        <w:rPr>
          <w:rFonts w:hint="eastAsia" w:ascii="仿宋" w:hAnsi="仿宋" w:eastAsia="仿宋" w:cs="仿宋"/>
          <w:color w:val="auto"/>
          <w:sz w:val="32"/>
          <w:szCs w:val="40"/>
          <w:lang w:val="en-US" w:eastAsia="zh-CN"/>
        </w:rPr>
      </w:pPr>
      <w:r>
        <w:rPr>
          <w:rFonts w:hint="eastAsia" w:ascii="仿宋" w:hAnsi="仿宋" w:eastAsia="仿宋" w:cs="仿宋"/>
          <w:color w:val="auto"/>
          <w:sz w:val="32"/>
          <w:szCs w:val="40"/>
          <w:lang w:val="en-US" w:eastAsia="zh-CN"/>
        </w:rPr>
        <w:t xml:space="preserve"> （2）保证托管场所卫生安全。建立健全卫生清洁制度，每日对教室、寝室、餐厅、卫生间等区域进行清洁消毒，保持室内外环境整洁卫生。机构要保证一人一床，且床与床之间有一定间距，不得设置通铺、地铺，上铺要设有符合安全要求的防护栏，床上用品（床单、被套、枕巾等）每周至少清洗更换1次。提供的水杯、拖鞋每天清洗消毒，消毒后的水杯放在保洁柜内，拖鞋放在鞋架上。卫生间设洗手池、蹲便池，地面用防水、防滑材料铺设，每日应对地面、洗手池、便池进行清洗消毒。 ​</w:t>
      </w:r>
    </w:p>
    <w:p w14:paraId="402D7FB9">
      <w:pPr>
        <w:keepNext w:val="0"/>
        <w:keepLines w:val="0"/>
        <w:pageBreakBefore w:val="0"/>
        <w:widowControl w:val="0"/>
        <w:kinsoku/>
        <w:wordWrap/>
        <w:overflowPunct/>
        <w:topLinePunct w:val="0"/>
        <w:autoSpaceDE/>
        <w:autoSpaceDN/>
        <w:bidi w:val="0"/>
        <w:adjustRightInd/>
        <w:snapToGrid/>
        <w:spacing w:line="585" w:lineRule="exact"/>
        <w:ind w:firstLine="640" w:firstLineChars="200"/>
        <w:textAlignment w:val="auto"/>
        <w:rPr>
          <w:rFonts w:hint="eastAsia" w:ascii="仿宋" w:hAnsi="仿宋" w:eastAsia="仿宋" w:cs="仿宋"/>
          <w:color w:val="auto"/>
          <w:sz w:val="32"/>
          <w:szCs w:val="40"/>
          <w:lang w:val="en-US" w:eastAsia="zh-CN"/>
        </w:rPr>
      </w:pPr>
      <w:r>
        <w:rPr>
          <w:rFonts w:hint="eastAsia" w:ascii="仿宋" w:hAnsi="仿宋" w:eastAsia="仿宋" w:cs="仿宋"/>
          <w:color w:val="auto"/>
          <w:sz w:val="32"/>
          <w:szCs w:val="40"/>
          <w:lang w:val="en-US" w:eastAsia="zh-CN"/>
        </w:rPr>
        <w:t>（3）保证托管场所食品安全。建立食品采购、储存、加工、留样等管理制度，确保食品来源可追溯，加工过程符合卫生标准。食品采购应选择正规渠道，禁止采购腐败变质、过期、三无食品。建立食品留样制度，并做好留样记录。​</w:t>
      </w:r>
    </w:p>
    <w:p w14:paraId="17DA90BF">
      <w:pPr>
        <w:keepNext w:val="0"/>
        <w:keepLines w:val="0"/>
        <w:pageBreakBefore w:val="0"/>
        <w:widowControl w:val="0"/>
        <w:kinsoku/>
        <w:wordWrap/>
        <w:overflowPunct/>
        <w:topLinePunct w:val="0"/>
        <w:autoSpaceDE/>
        <w:autoSpaceDN/>
        <w:bidi w:val="0"/>
        <w:adjustRightInd/>
        <w:snapToGrid/>
        <w:spacing w:line="585" w:lineRule="exact"/>
        <w:ind w:firstLine="640" w:firstLineChars="200"/>
        <w:textAlignment w:val="auto"/>
        <w:rPr>
          <w:rFonts w:hint="eastAsia" w:ascii="仿宋" w:hAnsi="仿宋" w:eastAsia="仿宋" w:cs="仿宋"/>
          <w:color w:val="auto"/>
          <w:sz w:val="32"/>
          <w:szCs w:val="40"/>
          <w:lang w:val="en-US" w:eastAsia="zh-CN"/>
        </w:rPr>
      </w:pPr>
      <w:r>
        <w:rPr>
          <w:rFonts w:hint="eastAsia" w:ascii="仿宋" w:hAnsi="仿宋" w:eastAsia="仿宋" w:cs="仿宋"/>
          <w:color w:val="auto"/>
          <w:sz w:val="32"/>
          <w:szCs w:val="40"/>
          <w:lang w:val="en-US" w:eastAsia="zh-CN"/>
        </w:rPr>
        <w:t>（4）保证托管场所燃气安全。厨房应采用不低于2.00h的防火隔墙和防火门等与其他区域分隔，原则上用管道天然气；使用燃气的厨房应当配备可燃气体浓度报警装置、燃气紧急切断装置以及灭火器、灭火毯等灭火器材。规范使用管道燃气和瓶装燃气，应安装智慧燃气泄漏报警装置，采用专用燃具连接软管，采购、使用符合强制性产品认证要求的燃气具，调压阀应合格，燃气管道应防止被占压、穿越密闭空间、擅自改造等，杜绝在同一场所同时使用燃气和“环保油”等两种以上燃料。 ‌</w:t>
      </w:r>
    </w:p>
    <w:p w14:paraId="07ED2E52">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‌第</w:t>
      </w:r>
      <w:r>
        <w:rPr>
          <w:rFonts w:hint="eastAsia" w:ascii="仿宋" w:hAnsi="仿宋" w:eastAsia="仿宋" w:cs="仿宋"/>
          <w:b/>
          <w:bCs/>
          <w:color w:val="auto"/>
          <w:sz w:val="32"/>
          <w:szCs w:val="40"/>
          <w:lang w:val="en-US" w:eastAsia="zh-CN"/>
        </w:rPr>
        <w:t>十六</w:t>
      </w:r>
      <w:r>
        <w:rPr>
          <w:rFonts w:hint="eastAsia" w:ascii="仿宋" w:hAnsi="仿宋" w:eastAsia="仿宋" w:cs="仿宋"/>
          <w:b/>
          <w:bCs/>
          <w:color w:val="auto"/>
          <w:sz w:val="32"/>
          <w:szCs w:val="40"/>
        </w:rPr>
        <w:t>条</w:t>
      </w:r>
      <w:r>
        <w:rPr>
          <w:rFonts w:hint="eastAsia" w:ascii="仿宋" w:hAnsi="仿宋" w:eastAsia="仿宋" w:cs="仿宋"/>
          <w:color w:val="auto"/>
          <w:sz w:val="32"/>
          <w:szCs w:val="40"/>
        </w:rPr>
        <w:t>‌ 校外托管机构应当与托管学生监护人签订托管服务委托协议，</w:t>
      </w:r>
      <w:r>
        <w:rPr>
          <w:rFonts w:hint="eastAsia" w:ascii="仿宋" w:hAnsi="仿宋" w:eastAsia="仿宋" w:cs="仿宋"/>
          <w:color w:val="auto"/>
          <w:sz w:val="32"/>
          <w:szCs w:val="40"/>
          <w:lang w:eastAsia="zh-CN"/>
        </w:rPr>
        <w:t>明确委托期限、收费标准、双方权利义务以及违约责任，</w:t>
      </w:r>
      <w:r>
        <w:rPr>
          <w:rFonts w:hint="eastAsia" w:ascii="仿宋" w:hAnsi="仿宋" w:eastAsia="仿宋" w:cs="仿宋"/>
          <w:color w:val="auto"/>
          <w:sz w:val="32"/>
          <w:szCs w:val="40"/>
          <w:lang w:val="en-US" w:eastAsia="zh-CN"/>
        </w:rPr>
        <w:t>同时</w:t>
      </w:r>
      <w:r>
        <w:rPr>
          <w:rFonts w:hint="eastAsia" w:ascii="仿宋" w:hAnsi="仿宋" w:eastAsia="仿宋" w:cs="仿宋"/>
          <w:color w:val="auto"/>
          <w:sz w:val="32"/>
          <w:szCs w:val="40"/>
          <w:lang w:eastAsia="zh-CN"/>
        </w:rPr>
        <w:t>须在显著位置公示收费项目、标准及退费规则。停止托管服务的经营者应当提前30个工作日通知托管学生监护人，并向属地</w:t>
      </w:r>
      <w:r>
        <w:rPr>
          <w:rFonts w:hint="eastAsia" w:ascii="仿宋" w:hAnsi="仿宋" w:eastAsia="仿宋" w:cs="仿宋"/>
          <w:color w:val="auto"/>
          <w:sz w:val="32"/>
          <w:szCs w:val="40"/>
          <w:lang w:val="en-US" w:eastAsia="zh-CN"/>
        </w:rPr>
        <w:t>有关</w:t>
      </w:r>
      <w:r>
        <w:rPr>
          <w:rFonts w:hint="eastAsia" w:ascii="仿宋" w:hAnsi="仿宋" w:eastAsia="仿宋" w:cs="仿宋"/>
          <w:color w:val="auto"/>
          <w:sz w:val="32"/>
          <w:szCs w:val="40"/>
          <w:lang w:eastAsia="zh-CN"/>
        </w:rPr>
        <w:t>部门报备，并说明托管费用退还等情况。</w:t>
      </w:r>
      <w:r>
        <w:rPr>
          <w:rFonts w:hint="eastAsia" w:ascii="仿宋" w:hAnsi="仿宋" w:eastAsia="仿宋" w:cs="仿宋"/>
          <w:color w:val="auto"/>
          <w:sz w:val="32"/>
          <w:szCs w:val="40"/>
        </w:rPr>
        <w:t>‌不得以托管名义</w:t>
      </w:r>
      <w:r>
        <w:rPr>
          <w:rFonts w:hint="eastAsia" w:ascii="仿宋" w:hAnsi="仿宋" w:eastAsia="仿宋" w:cs="仿宋"/>
          <w:color w:val="auto"/>
          <w:sz w:val="32"/>
          <w:szCs w:val="40"/>
          <w:lang w:val="en-US" w:eastAsia="zh-CN"/>
        </w:rPr>
        <w:t>违规</w:t>
      </w:r>
      <w:r>
        <w:rPr>
          <w:rFonts w:hint="eastAsia" w:ascii="仿宋" w:hAnsi="仿宋" w:eastAsia="仿宋" w:cs="仿宋"/>
          <w:color w:val="auto"/>
          <w:sz w:val="32"/>
          <w:szCs w:val="40"/>
        </w:rPr>
        <w:t>开展</w:t>
      </w:r>
      <w:r>
        <w:rPr>
          <w:rFonts w:hint="eastAsia" w:ascii="仿宋" w:hAnsi="仿宋" w:eastAsia="仿宋" w:cs="仿宋"/>
          <w:color w:val="auto"/>
          <w:sz w:val="32"/>
          <w:szCs w:val="40"/>
          <w:lang w:val="en-US" w:eastAsia="zh-CN"/>
        </w:rPr>
        <w:t>面向中小学生的</w:t>
      </w:r>
      <w:r>
        <w:rPr>
          <w:rFonts w:hint="eastAsia" w:ascii="仿宋" w:hAnsi="仿宋" w:eastAsia="仿宋" w:cs="仿宋"/>
          <w:color w:val="auto"/>
          <w:sz w:val="32"/>
          <w:szCs w:val="40"/>
        </w:rPr>
        <w:t>培训业务‌。</w:t>
      </w:r>
    </w:p>
    <w:p w14:paraId="582E3374">
      <w:pPr>
        <w:keepNext w:val="0"/>
        <w:keepLines w:val="0"/>
        <w:pageBreakBefore w:val="0"/>
        <w:widowControl w:val="0"/>
        <w:kinsoku/>
        <w:wordWrap/>
        <w:overflowPunct/>
        <w:topLinePunct w:val="0"/>
        <w:autoSpaceDE/>
        <w:autoSpaceDN/>
        <w:bidi w:val="0"/>
        <w:adjustRightInd/>
        <w:snapToGrid/>
        <w:spacing w:line="585" w:lineRule="exact"/>
        <w:jc w:val="center"/>
        <w:textAlignment w:val="auto"/>
        <w:rPr>
          <w:rFonts w:hint="eastAsia" w:ascii="仿宋" w:hAnsi="仿宋" w:eastAsia="仿宋" w:cs="仿宋"/>
          <w:color w:val="auto"/>
          <w:sz w:val="32"/>
          <w:szCs w:val="40"/>
        </w:rPr>
      </w:pPr>
      <w:r>
        <w:rPr>
          <w:rFonts w:hint="eastAsia" w:ascii="黑体" w:hAnsi="黑体" w:eastAsia="黑体" w:cs="黑体"/>
          <w:color w:val="auto"/>
          <w:sz w:val="32"/>
          <w:szCs w:val="40"/>
        </w:rPr>
        <w:t>‌第</w:t>
      </w:r>
      <w:r>
        <w:rPr>
          <w:rFonts w:hint="eastAsia" w:ascii="黑体" w:hAnsi="黑体" w:eastAsia="黑体" w:cs="黑体"/>
          <w:color w:val="auto"/>
          <w:sz w:val="32"/>
          <w:szCs w:val="40"/>
          <w:lang w:val="en-US" w:eastAsia="zh-CN"/>
        </w:rPr>
        <w:t>六</w:t>
      </w:r>
      <w:r>
        <w:rPr>
          <w:rFonts w:hint="eastAsia" w:ascii="黑体" w:hAnsi="黑体" w:eastAsia="黑体" w:cs="黑体"/>
          <w:color w:val="auto"/>
          <w:sz w:val="32"/>
          <w:szCs w:val="40"/>
        </w:rPr>
        <w:t>章 监督</w:t>
      </w:r>
      <w:r>
        <w:rPr>
          <w:rFonts w:hint="eastAsia" w:ascii="黑体" w:hAnsi="黑体" w:eastAsia="黑体" w:cs="黑体"/>
          <w:color w:val="auto"/>
          <w:sz w:val="32"/>
          <w:szCs w:val="40"/>
          <w:lang w:val="en-US" w:eastAsia="zh-CN"/>
        </w:rPr>
        <w:t>检查</w:t>
      </w:r>
      <w:r>
        <w:rPr>
          <w:rFonts w:hint="eastAsia" w:ascii="仿宋" w:hAnsi="仿宋" w:eastAsia="仿宋" w:cs="仿宋"/>
          <w:color w:val="auto"/>
          <w:sz w:val="32"/>
          <w:szCs w:val="40"/>
        </w:rPr>
        <w:t>‌</w:t>
      </w:r>
    </w:p>
    <w:p w14:paraId="2165C283">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b/>
          <w:bCs/>
          <w:color w:val="auto"/>
          <w:sz w:val="32"/>
          <w:szCs w:val="32"/>
          <w:lang w:val="en-US" w:eastAsia="zh-CN"/>
        </w:rPr>
        <w:t>第十七条</w:t>
      </w:r>
      <w:r>
        <w:rPr>
          <w:rFonts w:hint="eastAsia" w:ascii="CESI仿宋-GB2312" w:hAnsi="CESI仿宋-GB2312" w:eastAsia="CESI仿宋-GB2312" w:cs="CESI仿宋-GB2312"/>
          <w:color w:val="auto"/>
          <w:sz w:val="32"/>
          <w:szCs w:val="32"/>
          <w:lang w:val="en-US" w:eastAsia="zh-CN"/>
        </w:rPr>
        <w:t xml:space="preserve"> </w:t>
      </w:r>
      <w:r>
        <w:rPr>
          <w:rFonts w:hint="eastAsia" w:ascii="CESI仿宋-GB2312" w:hAnsi="CESI仿宋-GB2312" w:eastAsia="CESI仿宋-GB2312" w:cs="CESI仿宋-GB2312"/>
          <w:color w:val="auto"/>
          <w:sz w:val="32"/>
          <w:szCs w:val="32"/>
        </w:rPr>
        <w:t>市级联席会议</w:t>
      </w:r>
      <w:r>
        <w:rPr>
          <w:rFonts w:hint="eastAsia" w:ascii="CESI仿宋-GB2312" w:hAnsi="CESI仿宋-GB2312" w:eastAsia="CESI仿宋-GB2312" w:cs="CESI仿宋-GB2312"/>
          <w:color w:val="auto"/>
          <w:sz w:val="32"/>
          <w:szCs w:val="32"/>
          <w:lang w:val="en-US" w:eastAsia="zh-CN"/>
        </w:rPr>
        <w:t>定期</w:t>
      </w:r>
      <w:r>
        <w:rPr>
          <w:rFonts w:hint="eastAsia" w:ascii="CESI仿宋-GB2312" w:hAnsi="CESI仿宋-GB2312" w:eastAsia="CESI仿宋-GB2312" w:cs="CESI仿宋-GB2312"/>
          <w:color w:val="auto"/>
          <w:sz w:val="32"/>
          <w:szCs w:val="32"/>
        </w:rPr>
        <w:t>组织跨部门联合执法，重点检查消防、食品、建筑安全；县（区）联席会议</w:t>
      </w:r>
      <w:r>
        <w:rPr>
          <w:rFonts w:hint="eastAsia" w:ascii="CESI仿宋-GB2312" w:hAnsi="CESI仿宋-GB2312" w:eastAsia="CESI仿宋-GB2312" w:cs="CESI仿宋-GB2312"/>
          <w:color w:val="auto"/>
          <w:sz w:val="32"/>
          <w:szCs w:val="32"/>
          <w:lang w:val="en-US" w:eastAsia="zh-CN"/>
        </w:rPr>
        <w:t>定期</w:t>
      </w:r>
      <w:r>
        <w:rPr>
          <w:rFonts w:hint="eastAsia" w:ascii="CESI仿宋-GB2312" w:hAnsi="CESI仿宋-GB2312" w:eastAsia="CESI仿宋-GB2312" w:cs="CESI仿宋-GB2312"/>
          <w:color w:val="auto"/>
          <w:sz w:val="32"/>
          <w:szCs w:val="32"/>
        </w:rPr>
        <w:t>开展专项</w:t>
      </w:r>
      <w:r>
        <w:rPr>
          <w:rFonts w:hint="eastAsia" w:ascii="CESI仿宋-GB2312" w:hAnsi="CESI仿宋-GB2312" w:eastAsia="CESI仿宋-GB2312" w:cs="CESI仿宋-GB2312"/>
          <w:color w:val="auto"/>
          <w:sz w:val="32"/>
          <w:szCs w:val="32"/>
          <w:lang w:val="en-US" w:eastAsia="zh-CN"/>
        </w:rPr>
        <w:t>联合</w:t>
      </w:r>
      <w:r>
        <w:rPr>
          <w:rFonts w:hint="eastAsia" w:ascii="CESI仿宋-GB2312" w:hAnsi="CESI仿宋-GB2312" w:eastAsia="CESI仿宋-GB2312" w:cs="CESI仿宋-GB2312"/>
          <w:color w:val="auto"/>
          <w:sz w:val="32"/>
          <w:szCs w:val="32"/>
        </w:rPr>
        <w:t>检查。检查结果应及时通报给相关</w:t>
      </w:r>
      <w:r>
        <w:rPr>
          <w:rFonts w:hint="eastAsia" w:ascii="CESI仿宋-GB2312" w:hAnsi="CESI仿宋-GB2312" w:eastAsia="CESI仿宋-GB2312" w:cs="CESI仿宋-GB2312"/>
          <w:color w:val="auto"/>
          <w:sz w:val="32"/>
          <w:szCs w:val="32"/>
          <w:lang w:val="en-US" w:eastAsia="zh-CN"/>
        </w:rPr>
        <w:t>职能</w:t>
      </w:r>
      <w:r>
        <w:rPr>
          <w:rFonts w:hint="eastAsia" w:ascii="CESI仿宋-GB2312" w:hAnsi="CESI仿宋-GB2312" w:eastAsia="CESI仿宋-GB2312" w:cs="CESI仿宋-GB2312"/>
          <w:color w:val="auto"/>
          <w:sz w:val="32"/>
          <w:szCs w:val="32"/>
        </w:rPr>
        <w:t>部门。</w:t>
      </w:r>
    </w:p>
    <w:p w14:paraId="6076A4DF">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b/>
          <w:bCs/>
          <w:color w:val="auto"/>
          <w:sz w:val="32"/>
          <w:szCs w:val="32"/>
          <w:lang w:val="en-US" w:eastAsia="zh-CN"/>
        </w:rPr>
        <w:t xml:space="preserve">第十八条 </w:t>
      </w:r>
      <w:r>
        <w:rPr>
          <w:rFonts w:hint="eastAsia" w:ascii="CESI仿宋-GB2312" w:hAnsi="CESI仿宋-GB2312" w:eastAsia="CESI仿宋-GB2312" w:cs="CESI仿宋-GB2312"/>
          <w:color w:val="auto"/>
          <w:sz w:val="32"/>
          <w:szCs w:val="32"/>
        </w:rPr>
        <w:t>各</w:t>
      </w:r>
      <w:r>
        <w:rPr>
          <w:rFonts w:hint="eastAsia" w:ascii="CESI仿宋-GB2312" w:hAnsi="CESI仿宋-GB2312" w:eastAsia="CESI仿宋-GB2312" w:cs="CESI仿宋-GB2312"/>
          <w:color w:val="auto"/>
          <w:sz w:val="32"/>
          <w:szCs w:val="32"/>
          <w:lang w:val="en-US" w:eastAsia="zh-CN"/>
        </w:rPr>
        <w:t>职能</w:t>
      </w:r>
      <w:r>
        <w:rPr>
          <w:rFonts w:hint="eastAsia" w:ascii="CESI仿宋-GB2312" w:hAnsi="CESI仿宋-GB2312" w:eastAsia="CESI仿宋-GB2312" w:cs="CESI仿宋-GB2312"/>
          <w:color w:val="auto"/>
          <w:sz w:val="32"/>
          <w:szCs w:val="32"/>
        </w:rPr>
        <w:t>部门根据自身职责，定期</w:t>
      </w:r>
      <w:r>
        <w:rPr>
          <w:rFonts w:hint="eastAsia" w:ascii="CESI仿宋-GB2312" w:hAnsi="CESI仿宋-GB2312" w:eastAsia="CESI仿宋-GB2312" w:cs="CESI仿宋-GB2312"/>
          <w:color w:val="auto"/>
          <w:sz w:val="32"/>
          <w:szCs w:val="32"/>
          <w:lang w:val="en-US" w:eastAsia="zh-CN"/>
        </w:rPr>
        <w:t>或不定期</w:t>
      </w:r>
      <w:r>
        <w:rPr>
          <w:rFonts w:hint="eastAsia" w:ascii="CESI仿宋-GB2312" w:hAnsi="CESI仿宋-GB2312" w:eastAsia="CESI仿宋-GB2312" w:cs="CESI仿宋-GB2312"/>
          <w:color w:val="auto"/>
          <w:sz w:val="32"/>
          <w:szCs w:val="32"/>
        </w:rPr>
        <w:t>采取“双随机</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一公开”</w:t>
      </w:r>
      <w:r>
        <w:rPr>
          <w:rFonts w:hint="eastAsia" w:ascii="CESI仿宋-GB2312" w:hAnsi="CESI仿宋-GB2312" w:eastAsia="CESI仿宋-GB2312" w:cs="CESI仿宋-GB2312"/>
          <w:color w:val="auto"/>
          <w:sz w:val="32"/>
          <w:szCs w:val="32"/>
          <w:lang w:val="en-US" w:eastAsia="zh-CN"/>
        </w:rPr>
        <w:t>方式</w:t>
      </w:r>
      <w:r>
        <w:rPr>
          <w:rFonts w:hint="eastAsia" w:ascii="CESI仿宋-GB2312" w:hAnsi="CESI仿宋-GB2312" w:eastAsia="CESI仿宋-GB2312" w:cs="CESI仿宋-GB2312"/>
          <w:color w:val="auto"/>
          <w:sz w:val="32"/>
          <w:szCs w:val="32"/>
        </w:rPr>
        <w:t>对辖区内的校外托管机构进行抽查，重点检查其日常运营中的安全隐患和违规行为。抽查结果应及时反馈给联席会议，并及时通报给相关</w:t>
      </w:r>
      <w:r>
        <w:rPr>
          <w:rFonts w:hint="eastAsia" w:ascii="CESI仿宋-GB2312" w:hAnsi="CESI仿宋-GB2312" w:eastAsia="CESI仿宋-GB2312" w:cs="CESI仿宋-GB2312"/>
          <w:color w:val="auto"/>
          <w:sz w:val="32"/>
          <w:szCs w:val="32"/>
          <w:lang w:val="en-US" w:eastAsia="zh-CN"/>
        </w:rPr>
        <w:t>职能</w:t>
      </w:r>
      <w:r>
        <w:rPr>
          <w:rFonts w:hint="eastAsia" w:ascii="CESI仿宋-GB2312" w:hAnsi="CESI仿宋-GB2312" w:eastAsia="CESI仿宋-GB2312" w:cs="CESI仿宋-GB2312"/>
          <w:color w:val="auto"/>
          <w:sz w:val="32"/>
          <w:szCs w:val="32"/>
        </w:rPr>
        <w:t>部门。</w:t>
      </w:r>
    </w:p>
    <w:p w14:paraId="21B925EC">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CESI仿宋-GB2312" w:hAnsi="CESI仿宋-GB2312" w:eastAsia="CESI仿宋-GB2312" w:cs="CESI仿宋-GB2312"/>
          <w:color w:val="auto"/>
          <w:sz w:val="32"/>
          <w:szCs w:val="32"/>
          <w:lang w:eastAsia="zh-CN"/>
        </w:rPr>
      </w:pPr>
      <w:r>
        <w:rPr>
          <w:rFonts w:hint="eastAsia" w:ascii="仿宋" w:hAnsi="仿宋" w:eastAsia="仿宋" w:cs="仿宋"/>
          <w:b/>
          <w:bCs/>
          <w:color w:val="auto"/>
          <w:sz w:val="32"/>
          <w:szCs w:val="40"/>
          <w:lang w:val="en-US" w:eastAsia="zh-CN"/>
        </w:rPr>
        <w:t>第十九条</w:t>
      </w:r>
      <w:r>
        <w:rPr>
          <w:rFonts w:hint="eastAsia" w:ascii="CESI仿宋-GB2312" w:hAnsi="CESI仿宋-GB2312" w:eastAsia="CESI仿宋-GB2312" w:cs="CESI仿宋-GB2312"/>
          <w:color w:val="auto"/>
          <w:sz w:val="32"/>
          <w:szCs w:val="32"/>
          <w:lang w:val="en-US" w:eastAsia="zh-CN"/>
        </w:rPr>
        <w:t>　</w:t>
      </w:r>
      <w:r>
        <w:rPr>
          <w:rFonts w:hint="eastAsia" w:ascii="CESI仿宋-GB2312" w:hAnsi="CESI仿宋-GB2312" w:eastAsia="CESI仿宋-GB2312" w:cs="CESI仿宋-GB2312"/>
          <w:color w:val="auto"/>
          <w:sz w:val="32"/>
          <w:szCs w:val="32"/>
        </w:rPr>
        <w:t>各街道（乡镇）应建立健全校外托管机构日常巡查机制，</w:t>
      </w:r>
      <w:r>
        <w:rPr>
          <w:rFonts w:hint="eastAsia" w:ascii="CESI仿宋-GB2312" w:hAnsi="CESI仿宋-GB2312" w:eastAsia="CESI仿宋-GB2312" w:cs="CESI仿宋-GB2312"/>
          <w:color w:val="auto"/>
          <w:sz w:val="32"/>
          <w:szCs w:val="32"/>
          <w:lang w:val="en-US" w:eastAsia="zh-CN"/>
        </w:rPr>
        <w:t>每月</w:t>
      </w:r>
      <w:r>
        <w:rPr>
          <w:rFonts w:hint="eastAsia" w:ascii="CESI仿宋-GB2312" w:hAnsi="CESI仿宋-GB2312" w:eastAsia="CESI仿宋-GB2312" w:cs="CESI仿宋-GB2312"/>
          <w:color w:val="auto"/>
          <w:sz w:val="32"/>
          <w:szCs w:val="32"/>
        </w:rPr>
        <w:t>进行不少于1次的监督检查</w:t>
      </w:r>
      <w:r>
        <w:rPr>
          <w:rFonts w:hint="eastAsia" w:ascii="CESI仿宋-GB2312" w:hAnsi="CESI仿宋-GB2312" w:eastAsia="CESI仿宋-GB2312" w:cs="CESI仿宋-GB2312"/>
          <w:color w:val="auto"/>
          <w:sz w:val="32"/>
          <w:szCs w:val="32"/>
          <w:lang w:eastAsia="zh-CN"/>
        </w:rPr>
        <w:t>，重点检查托管机构是否证照齐全、是否符合本办法规定的设置要求</w:t>
      </w:r>
      <w:r>
        <w:rPr>
          <w:rFonts w:hint="eastAsia" w:ascii="仿宋" w:hAnsi="仿宋" w:eastAsia="仿宋" w:cs="仿宋"/>
          <w:color w:val="auto"/>
          <w:sz w:val="32"/>
          <w:szCs w:val="40"/>
          <w:lang w:val="en-US" w:eastAsia="zh-CN"/>
        </w:rPr>
        <w:t>，</w:t>
      </w:r>
      <w:r>
        <w:rPr>
          <w:rFonts w:hint="eastAsia" w:ascii="CESI仿宋-GB2312" w:hAnsi="CESI仿宋-GB2312" w:eastAsia="CESI仿宋-GB2312" w:cs="CESI仿宋-GB2312"/>
          <w:color w:val="auto"/>
          <w:sz w:val="32"/>
          <w:szCs w:val="32"/>
        </w:rPr>
        <w:t>及时将巡查</w:t>
      </w:r>
      <w:r>
        <w:rPr>
          <w:rFonts w:hint="eastAsia" w:ascii="CESI仿宋-GB2312" w:hAnsi="CESI仿宋-GB2312" w:eastAsia="CESI仿宋-GB2312" w:cs="CESI仿宋-GB2312"/>
          <w:color w:val="auto"/>
          <w:sz w:val="32"/>
          <w:szCs w:val="32"/>
          <w:lang w:val="en-US" w:eastAsia="zh-CN"/>
        </w:rPr>
        <w:t>发现的违法违规问题报告</w:t>
      </w:r>
      <w:r>
        <w:rPr>
          <w:rFonts w:hint="eastAsia" w:ascii="CESI仿宋-GB2312" w:hAnsi="CESI仿宋-GB2312" w:eastAsia="CESI仿宋-GB2312" w:cs="CESI仿宋-GB2312"/>
          <w:color w:val="auto"/>
          <w:sz w:val="32"/>
          <w:szCs w:val="32"/>
        </w:rPr>
        <w:t>所在地县级人民政府</w:t>
      </w:r>
      <w:r>
        <w:rPr>
          <w:rFonts w:hint="eastAsia" w:ascii="CESI仿宋-GB2312" w:hAnsi="CESI仿宋-GB2312" w:eastAsia="CESI仿宋-GB2312" w:cs="CESI仿宋-GB2312"/>
          <w:color w:val="auto"/>
          <w:sz w:val="32"/>
          <w:szCs w:val="32"/>
          <w:lang w:val="en-US" w:eastAsia="zh-CN"/>
        </w:rPr>
        <w:t>相关职能部门</w:t>
      </w:r>
      <w:r>
        <w:rPr>
          <w:rFonts w:hint="eastAsia" w:ascii="CESI仿宋-GB2312" w:hAnsi="CESI仿宋-GB2312" w:eastAsia="CESI仿宋-GB2312" w:cs="CESI仿宋-GB2312"/>
          <w:color w:val="auto"/>
          <w:sz w:val="32"/>
          <w:szCs w:val="32"/>
        </w:rPr>
        <w:t>依法处置，形成</w:t>
      </w:r>
      <w:r>
        <w:rPr>
          <w:rFonts w:hint="eastAsia" w:ascii="CESI仿宋-GB2312" w:hAnsi="CESI仿宋-GB2312" w:eastAsia="CESI仿宋-GB2312" w:cs="CESI仿宋-GB2312"/>
          <w:color w:val="auto"/>
          <w:sz w:val="32"/>
          <w:szCs w:val="32"/>
          <w:lang w:eastAsia="zh-CN"/>
        </w:rPr>
        <w:t>街道</w:t>
      </w:r>
      <w:r>
        <w:rPr>
          <w:rFonts w:hint="eastAsia" w:ascii="CESI仿宋-GB2312" w:hAnsi="CESI仿宋-GB2312" w:eastAsia="CESI仿宋-GB2312" w:cs="CESI仿宋-GB2312"/>
          <w:color w:val="auto"/>
          <w:sz w:val="32"/>
          <w:szCs w:val="32"/>
        </w:rPr>
        <w:t>社区与部门联动监管</w:t>
      </w:r>
      <w:r>
        <w:rPr>
          <w:rFonts w:hint="eastAsia" w:ascii="CESI仿宋-GB2312" w:hAnsi="CESI仿宋-GB2312" w:eastAsia="CESI仿宋-GB2312" w:cs="CESI仿宋-GB2312"/>
          <w:color w:val="auto"/>
          <w:sz w:val="32"/>
          <w:szCs w:val="32"/>
          <w:lang w:eastAsia="zh-CN"/>
        </w:rPr>
        <w:t>。</w:t>
      </w:r>
    </w:p>
    <w:p w14:paraId="464B77FC">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‌第</w:t>
      </w:r>
      <w:r>
        <w:rPr>
          <w:rFonts w:hint="eastAsia" w:ascii="仿宋" w:hAnsi="仿宋" w:eastAsia="仿宋" w:cs="仿宋"/>
          <w:b/>
          <w:bCs/>
          <w:color w:val="auto"/>
          <w:sz w:val="32"/>
          <w:szCs w:val="40"/>
          <w:lang w:val="en-US" w:eastAsia="zh-CN"/>
        </w:rPr>
        <w:t>二十</w:t>
      </w:r>
      <w:r>
        <w:rPr>
          <w:rFonts w:hint="eastAsia" w:ascii="仿宋" w:hAnsi="仿宋" w:eastAsia="仿宋" w:cs="仿宋"/>
          <w:b/>
          <w:bCs/>
          <w:color w:val="auto"/>
          <w:sz w:val="32"/>
          <w:szCs w:val="40"/>
        </w:rPr>
        <w:t>条</w:t>
      </w:r>
      <w:r>
        <w:rPr>
          <w:rFonts w:hint="eastAsia" w:ascii="仿宋" w:hAnsi="仿宋" w:eastAsia="仿宋" w:cs="仿宋"/>
          <w:color w:val="auto"/>
          <w:sz w:val="32"/>
          <w:szCs w:val="40"/>
        </w:rPr>
        <w:t xml:space="preserve">‌ </w:t>
      </w:r>
      <w:r>
        <w:rPr>
          <w:rFonts w:hint="eastAsia" w:ascii="仿宋" w:hAnsi="仿宋" w:eastAsia="仿宋" w:cs="仿宋"/>
          <w:color w:val="auto"/>
          <w:sz w:val="32"/>
          <w:szCs w:val="40"/>
          <w:lang w:val="en-US" w:eastAsia="zh-CN"/>
        </w:rPr>
        <w:t>学校应加强对学生特别是校外托管学生的安全教育和培训，及时掌握校外托管学生有关情况，引导家长选择合法登记的托管机构提供托管服务，发现托管活动存在安全隐患或其他不利于学生成长的问题，应及时报告有关部门进行查处。</w:t>
      </w:r>
      <w:r>
        <w:rPr>
          <w:rFonts w:hint="eastAsia" w:ascii="仿宋" w:hAnsi="仿宋" w:eastAsia="仿宋" w:cs="仿宋"/>
          <w:color w:val="auto"/>
          <w:sz w:val="32"/>
          <w:szCs w:val="40"/>
        </w:rPr>
        <w:t>‌严禁学校教师参与托管机构经营或变相推荐‌。</w:t>
      </w:r>
    </w:p>
    <w:p w14:paraId="7CB9327A">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lang w:eastAsia="zh-CN"/>
        </w:rPr>
      </w:pPr>
      <w:r>
        <w:rPr>
          <w:rFonts w:hint="eastAsia" w:ascii="仿宋" w:hAnsi="仿宋" w:eastAsia="仿宋" w:cs="仿宋"/>
          <w:b/>
          <w:bCs/>
          <w:color w:val="auto"/>
          <w:sz w:val="32"/>
          <w:szCs w:val="40"/>
        </w:rPr>
        <w:t>‌第</w:t>
      </w:r>
      <w:r>
        <w:rPr>
          <w:rFonts w:hint="eastAsia" w:ascii="仿宋" w:hAnsi="仿宋" w:eastAsia="仿宋" w:cs="仿宋"/>
          <w:b/>
          <w:bCs/>
          <w:color w:val="auto"/>
          <w:sz w:val="32"/>
          <w:szCs w:val="40"/>
          <w:lang w:val="en-US" w:eastAsia="zh-CN"/>
        </w:rPr>
        <w:t>二十一</w:t>
      </w:r>
      <w:r>
        <w:rPr>
          <w:rFonts w:hint="eastAsia" w:ascii="仿宋" w:hAnsi="仿宋" w:eastAsia="仿宋" w:cs="仿宋"/>
          <w:b/>
          <w:bCs/>
          <w:color w:val="auto"/>
          <w:sz w:val="32"/>
          <w:szCs w:val="40"/>
        </w:rPr>
        <w:t>条</w:t>
      </w:r>
      <w:r>
        <w:rPr>
          <w:rFonts w:hint="eastAsia" w:ascii="仿宋" w:hAnsi="仿宋" w:eastAsia="仿宋" w:cs="仿宋"/>
          <w:color w:val="auto"/>
          <w:sz w:val="32"/>
          <w:szCs w:val="40"/>
        </w:rPr>
        <w:t xml:space="preserve">‌ </w:t>
      </w:r>
      <w:r>
        <w:rPr>
          <w:rFonts w:hint="eastAsia" w:ascii="仿宋" w:hAnsi="仿宋" w:eastAsia="仿宋" w:cs="仿宋"/>
          <w:color w:val="auto"/>
          <w:sz w:val="32"/>
          <w:szCs w:val="40"/>
          <w:lang w:val="en-US" w:eastAsia="zh-CN"/>
        </w:rPr>
        <w:t>探索建立校外托管机构“白名单”制度，引导学生和家长选择合规安全的校外托管机构</w:t>
      </w:r>
      <w:r>
        <w:rPr>
          <w:rFonts w:hint="eastAsia" w:ascii="仿宋" w:hAnsi="仿宋" w:eastAsia="仿宋" w:cs="仿宋"/>
          <w:color w:val="auto"/>
          <w:sz w:val="32"/>
          <w:szCs w:val="40"/>
        </w:rPr>
        <w:t>。</w:t>
      </w:r>
    </w:p>
    <w:p w14:paraId="1F6BC4AE">
      <w:pPr>
        <w:keepNext w:val="0"/>
        <w:keepLines w:val="0"/>
        <w:pageBreakBefore w:val="0"/>
        <w:widowControl w:val="0"/>
        <w:kinsoku/>
        <w:wordWrap/>
        <w:overflowPunct/>
        <w:topLinePunct w:val="0"/>
        <w:autoSpaceDE/>
        <w:autoSpaceDN/>
        <w:bidi w:val="0"/>
        <w:adjustRightInd/>
        <w:snapToGrid/>
        <w:spacing w:line="585" w:lineRule="exact"/>
        <w:jc w:val="center"/>
        <w:textAlignment w:val="auto"/>
        <w:rPr>
          <w:rFonts w:hint="eastAsia" w:ascii="仿宋" w:hAnsi="仿宋" w:eastAsia="仿宋" w:cs="仿宋"/>
          <w:color w:val="auto"/>
          <w:sz w:val="32"/>
          <w:szCs w:val="40"/>
        </w:rPr>
      </w:pPr>
      <w:r>
        <w:rPr>
          <w:rFonts w:hint="eastAsia" w:ascii="黑体" w:hAnsi="黑体" w:eastAsia="黑体" w:cs="黑体"/>
          <w:color w:val="auto"/>
          <w:sz w:val="32"/>
          <w:szCs w:val="40"/>
        </w:rPr>
        <w:t>‌第</w:t>
      </w:r>
      <w:r>
        <w:rPr>
          <w:rFonts w:hint="eastAsia" w:ascii="黑体" w:hAnsi="黑体" w:eastAsia="黑体" w:cs="黑体"/>
          <w:color w:val="auto"/>
          <w:sz w:val="32"/>
          <w:szCs w:val="40"/>
          <w:lang w:val="en-US" w:eastAsia="zh-CN"/>
        </w:rPr>
        <w:t>七</w:t>
      </w:r>
      <w:r>
        <w:rPr>
          <w:rFonts w:hint="eastAsia" w:ascii="黑体" w:hAnsi="黑体" w:eastAsia="黑体" w:cs="黑体"/>
          <w:color w:val="auto"/>
          <w:sz w:val="32"/>
          <w:szCs w:val="40"/>
        </w:rPr>
        <w:t xml:space="preserve">章 </w:t>
      </w:r>
      <w:r>
        <w:rPr>
          <w:rFonts w:hint="eastAsia" w:ascii="黑体" w:hAnsi="黑体" w:eastAsia="黑体" w:cs="黑体"/>
          <w:color w:val="auto"/>
          <w:sz w:val="32"/>
          <w:szCs w:val="40"/>
          <w:lang w:val="en-US" w:eastAsia="zh-CN"/>
        </w:rPr>
        <w:t>违规</w:t>
      </w:r>
      <w:r>
        <w:rPr>
          <w:rFonts w:hint="eastAsia" w:ascii="黑体" w:hAnsi="黑体" w:eastAsia="黑体" w:cs="黑体"/>
          <w:color w:val="auto"/>
          <w:sz w:val="32"/>
          <w:szCs w:val="40"/>
        </w:rPr>
        <w:t>处置</w:t>
      </w:r>
      <w:r>
        <w:rPr>
          <w:rFonts w:hint="eastAsia" w:ascii="仿宋" w:hAnsi="仿宋" w:eastAsia="仿宋" w:cs="仿宋"/>
          <w:color w:val="auto"/>
          <w:sz w:val="32"/>
          <w:szCs w:val="40"/>
        </w:rPr>
        <w:t>‌</w:t>
      </w:r>
    </w:p>
    <w:p w14:paraId="014F455D">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default" w:ascii="仿宋" w:hAnsi="仿宋" w:eastAsia="仿宋" w:cs="仿宋"/>
          <w:color w:val="auto"/>
          <w:sz w:val="32"/>
          <w:szCs w:val="40"/>
          <w:lang w:val="en-US" w:eastAsia="zh-CN"/>
        </w:rPr>
      </w:pPr>
      <w:r>
        <w:rPr>
          <w:rFonts w:hint="eastAsia" w:ascii="仿宋" w:hAnsi="仿宋" w:eastAsia="仿宋" w:cs="仿宋"/>
          <w:b/>
          <w:bCs/>
          <w:color w:val="auto"/>
          <w:sz w:val="32"/>
          <w:szCs w:val="40"/>
        </w:rPr>
        <w:t>‌第</w:t>
      </w:r>
      <w:r>
        <w:rPr>
          <w:rFonts w:hint="eastAsia" w:ascii="仿宋" w:hAnsi="仿宋" w:eastAsia="仿宋" w:cs="仿宋"/>
          <w:b/>
          <w:bCs/>
          <w:color w:val="auto"/>
          <w:sz w:val="32"/>
          <w:szCs w:val="40"/>
          <w:lang w:val="en-US" w:eastAsia="zh-CN"/>
        </w:rPr>
        <w:t>二十二</w:t>
      </w:r>
      <w:r>
        <w:rPr>
          <w:rFonts w:hint="eastAsia" w:ascii="仿宋" w:hAnsi="仿宋" w:eastAsia="仿宋" w:cs="仿宋"/>
          <w:b/>
          <w:bCs/>
          <w:color w:val="auto"/>
          <w:sz w:val="32"/>
          <w:szCs w:val="40"/>
        </w:rPr>
        <w:t>条</w:t>
      </w:r>
      <w:r>
        <w:rPr>
          <w:rFonts w:hint="eastAsia" w:ascii="仿宋" w:hAnsi="仿宋" w:eastAsia="仿宋" w:cs="仿宋"/>
          <w:color w:val="auto"/>
          <w:sz w:val="32"/>
          <w:szCs w:val="40"/>
        </w:rPr>
        <w:t xml:space="preserve">‌ </w:t>
      </w:r>
      <w:r>
        <w:rPr>
          <w:rFonts w:hint="eastAsia" w:ascii="仿宋" w:hAnsi="仿宋" w:eastAsia="仿宋" w:cs="仿宋"/>
          <w:color w:val="auto"/>
          <w:sz w:val="32"/>
          <w:szCs w:val="40"/>
          <w:lang w:val="en-US" w:eastAsia="zh-CN"/>
        </w:rPr>
        <w:t>各职能部门设立投诉举报电话，鼓励社会公众对校外托管机构的不法行为进行投诉、举报。任何单位和个人有权对校外托管机构的违法行为进行投诉、举报，接到投诉、举报的部门应当按照规定及时处理。登记机关或者相关职能部门接到投诉、举报后，属于本部门职责范围内的，应当在法定期限内调查处理，并将处理结果告知投诉人；不属于本部门职责范围的，应当及时移送相关职能部门处理并告知投诉人。</w:t>
      </w:r>
    </w:p>
    <w:p w14:paraId="23A43257">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‌第</w:t>
      </w:r>
      <w:r>
        <w:rPr>
          <w:rFonts w:hint="eastAsia" w:ascii="仿宋" w:hAnsi="仿宋" w:eastAsia="仿宋" w:cs="仿宋"/>
          <w:b/>
          <w:bCs/>
          <w:color w:val="auto"/>
          <w:sz w:val="32"/>
          <w:szCs w:val="40"/>
          <w:lang w:val="en-US" w:eastAsia="zh-CN"/>
        </w:rPr>
        <w:t>二十三</w:t>
      </w:r>
      <w:r>
        <w:rPr>
          <w:rFonts w:hint="eastAsia" w:ascii="仿宋" w:hAnsi="仿宋" w:eastAsia="仿宋" w:cs="仿宋"/>
          <w:b/>
          <w:bCs/>
          <w:color w:val="auto"/>
          <w:sz w:val="32"/>
          <w:szCs w:val="40"/>
        </w:rPr>
        <w:t>条</w:t>
      </w:r>
      <w:r>
        <w:rPr>
          <w:rFonts w:hint="eastAsia" w:ascii="仿宋" w:hAnsi="仿宋" w:eastAsia="仿宋" w:cs="仿宋"/>
          <w:color w:val="auto"/>
          <w:sz w:val="32"/>
          <w:szCs w:val="40"/>
        </w:rPr>
        <w:t xml:space="preserve">‌ </w:t>
      </w:r>
      <w:r>
        <w:rPr>
          <w:rFonts w:hint="eastAsia" w:ascii="仿宋" w:hAnsi="仿宋" w:eastAsia="仿宋" w:cs="仿宋"/>
          <w:b w:val="0"/>
          <w:bCs w:val="0"/>
          <w:color w:val="auto"/>
          <w:sz w:val="32"/>
          <w:szCs w:val="40"/>
        </w:rPr>
        <w:t>未经登记从事校</w:t>
      </w:r>
      <w:r>
        <w:rPr>
          <w:rFonts w:hint="eastAsia" w:ascii="仿宋" w:hAnsi="仿宋" w:eastAsia="仿宋" w:cs="仿宋"/>
          <w:color w:val="auto"/>
          <w:sz w:val="32"/>
          <w:szCs w:val="40"/>
        </w:rPr>
        <w:t>外托管服务的机构，由属地市场监管、民政部门依法予以查处。托管机构未依法办理相关许可、审批手续而擅自从事托管活动的，或在托管活动中违规组织开展校外培训、违反消防、建筑、食品安全法律、法规和规章</w:t>
      </w:r>
      <w:r>
        <w:rPr>
          <w:rFonts w:hint="eastAsia" w:ascii="仿宋" w:hAnsi="仿宋" w:eastAsia="仿宋" w:cs="仿宋"/>
          <w:color w:val="auto"/>
          <w:sz w:val="32"/>
          <w:szCs w:val="40"/>
          <w:lang w:eastAsia="zh-CN"/>
        </w:rPr>
        <w:t>等</w:t>
      </w:r>
      <w:r>
        <w:rPr>
          <w:rFonts w:hint="eastAsia" w:ascii="仿宋" w:hAnsi="仿宋" w:eastAsia="仿宋" w:cs="仿宋"/>
          <w:color w:val="auto"/>
          <w:sz w:val="32"/>
          <w:szCs w:val="40"/>
        </w:rPr>
        <w:t>规定的，由相关职能部门</w:t>
      </w:r>
      <w:r>
        <w:rPr>
          <w:rFonts w:hint="eastAsia" w:ascii="仿宋" w:hAnsi="仿宋" w:eastAsia="仿宋" w:cs="仿宋"/>
          <w:color w:val="auto"/>
          <w:sz w:val="32"/>
          <w:szCs w:val="40"/>
          <w:lang w:val="en-US" w:eastAsia="zh-CN"/>
        </w:rPr>
        <w:t>分别</w:t>
      </w:r>
      <w:r>
        <w:rPr>
          <w:rFonts w:hint="eastAsia" w:ascii="仿宋" w:hAnsi="仿宋" w:eastAsia="仿宋" w:cs="仿宋"/>
          <w:color w:val="auto"/>
          <w:sz w:val="32"/>
          <w:szCs w:val="40"/>
        </w:rPr>
        <w:t>依法依规查处。</w:t>
      </w:r>
    </w:p>
    <w:p w14:paraId="59C48469">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eastAsia" w:ascii="仿宋" w:hAnsi="仿宋" w:eastAsia="仿宋" w:cs="仿宋"/>
          <w:color w:val="auto"/>
          <w:sz w:val="32"/>
          <w:szCs w:val="40"/>
        </w:rPr>
      </w:pPr>
      <w:r>
        <w:rPr>
          <w:rFonts w:hint="eastAsia" w:ascii="仿宋" w:hAnsi="仿宋" w:eastAsia="仿宋" w:cs="仿宋"/>
          <w:b/>
          <w:bCs/>
          <w:color w:val="auto"/>
          <w:sz w:val="32"/>
          <w:szCs w:val="40"/>
        </w:rPr>
        <w:t>第二十</w:t>
      </w:r>
      <w:r>
        <w:rPr>
          <w:rFonts w:hint="eastAsia" w:ascii="仿宋" w:hAnsi="仿宋" w:eastAsia="仿宋" w:cs="仿宋"/>
          <w:b/>
          <w:bCs/>
          <w:color w:val="auto"/>
          <w:sz w:val="32"/>
          <w:szCs w:val="40"/>
          <w:lang w:val="en-US" w:eastAsia="zh-CN"/>
        </w:rPr>
        <w:t>四</w:t>
      </w:r>
      <w:r>
        <w:rPr>
          <w:rFonts w:hint="eastAsia" w:ascii="仿宋" w:hAnsi="仿宋" w:eastAsia="仿宋" w:cs="仿宋"/>
          <w:b/>
          <w:bCs/>
          <w:color w:val="auto"/>
          <w:sz w:val="32"/>
          <w:szCs w:val="40"/>
        </w:rPr>
        <w:t>条</w:t>
      </w:r>
      <w:r>
        <w:rPr>
          <w:rFonts w:hint="eastAsia" w:ascii="仿宋" w:hAnsi="仿宋" w:eastAsia="仿宋" w:cs="仿宋"/>
          <w:b/>
          <w:bCs/>
          <w:color w:val="auto"/>
          <w:sz w:val="32"/>
          <w:szCs w:val="40"/>
          <w:lang w:val="en-US" w:eastAsia="zh-CN"/>
        </w:rPr>
        <w:t xml:space="preserve"> </w:t>
      </w:r>
      <w:r>
        <w:rPr>
          <w:rFonts w:hint="eastAsia" w:ascii="仿宋" w:hAnsi="仿宋" w:eastAsia="仿宋" w:cs="仿宋"/>
          <w:color w:val="auto"/>
          <w:sz w:val="32"/>
          <w:szCs w:val="40"/>
        </w:rPr>
        <w:t>各职能部门要严格依照本办法的规定履行职责</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对玩忽职守、徇私舞弊的</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或者未依照本办法规定履行职责的</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各相关部门依法给予处分</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情节严重涉嫌犯罪的</w:t>
      </w:r>
      <w:r>
        <w:rPr>
          <w:rFonts w:hint="eastAsia" w:ascii="仿宋" w:hAnsi="仿宋" w:eastAsia="仿宋" w:cs="仿宋"/>
          <w:color w:val="auto"/>
          <w:sz w:val="32"/>
          <w:szCs w:val="40"/>
          <w:lang w:eastAsia="zh-CN"/>
        </w:rPr>
        <w:t>，</w:t>
      </w:r>
      <w:r>
        <w:rPr>
          <w:rFonts w:hint="eastAsia" w:ascii="仿宋" w:hAnsi="仿宋" w:eastAsia="仿宋" w:cs="仿宋"/>
          <w:color w:val="auto"/>
          <w:sz w:val="32"/>
          <w:szCs w:val="40"/>
        </w:rPr>
        <w:t>移送司法机关依法处理。</w:t>
      </w:r>
    </w:p>
    <w:p w14:paraId="243E88D6">
      <w:pPr>
        <w:keepNext w:val="0"/>
        <w:keepLines w:val="0"/>
        <w:pageBreakBefore w:val="0"/>
        <w:widowControl w:val="0"/>
        <w:kinsoku/>
        <w:wordWrap/>
        <w:overflowPunct/>
        <w:topLinePunct w:val="0"/>
        <w:autoSpaceDE/>
        <w:autoSpaceDN/>
        <w:bidi w:val="0"/>
        <w:adjustRightInd/>
        <w:snapToGrid/>
        <w:spacing w:line="585" w:lineRule="exact"/>
        <w:jc w:val="center"/>
        <w:textAlignment w:val="auto"/>
        <w:rPr>
          <w:rFonts w:hint="eastAsia" w:ascii="黑体" w:hAnsi="黑体" w:eastAsia="黑体" w:cs="黑体"/>
          <w:color w:val="auto"/>
          <w:sz w:val="32"/>
          <w:szCs w:val="40"/>
        </w:rPr>
      </w:pPr>
      <w:r>
        <w:rPr>
          <w:rFonts w:hint="eastAsia" w:ascii="黑体" w:hAnsi="黑体" w:eastAsia="黑体" w:cs="黑体"/>
          <w:color w:val="auto"/>
          <w:sz w:val="32"/>
          <w:szCs w:val="40"/>
        </w:rPr>
        <w:t>‌第</w:t>
      </w:r>
      <w:r>
        <w:rPr>
          <w:rFonts w:hint="eastAsia" w:ascii="黑体" w:hAnsi="黑体" w:eastAsia="黑体" w:cs="黑体"/>
          <w:color w:val="auto"/>
          <w:sz w:val="32"/>
          <w:szCs w:val="40"/>
          <w:lang w:val="en-US" w:eastAsia="zh-CN"/>
        </w:rPr>
        <w:t>八</w:t>
      </w:r>
      <w:r>
        <w:rPr>
          <w:rFonts w:hint="eastAsia" w:ascii="黑体" w:hAnsi="黑体" w:eastAsia="黑体" w:cs="黑体"/>
          <w:color w:val="auto"/>
          <w:sz w:val="32"/>
          <w:szCs w:val="40"/>
        </w:rPr>
        <w:t>章 附则‌</w:t>
      </w:r>
    </w:p>
    <w:p w14:paraId="4FF15752">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rFonts w:hint="default" w:ascii="仿宋" w:hAnsi="仿宋" w:eastAsia="仿宋" w:cs="仿宋"/>
          <w:b/>
          <w:bCs/>
          <w:color w:val="auto"/>
          <w:sz w:val="32"/>
          <w:szCs w:val="40"/>
          <w:lang w:val="en-US" w:eastAsia="zh-CN"/>
        </w:rPr>
      </w:pPr>
      <w:r>
        <w:rPr>
          <w:rFonts w:hint="eastAsia" w:ascii="仿宋" w:hAnsi="仿宋" w:eastAsia="仿宋" w:cs="仿宋"/>
          <w:b/>
          <w:bCs/>
          <w:color w:val="auto"/>
          <w:sz w:val="32"/>
          <w:szCs w:val="40"/>
          <w:lang w:val="en-US" w:eastAsia="zh-CN"/>
        </w:rPr>
        <w:t>第二十五条 AI</w:t>
      </w:r>
      <w:r>
        <w:rPr>
          <w:rFonts w:hint="eastAsia" w:ascii="仿宋" w:hAnsi="仿宋" w:eastAsia="仿宋" w:cs="仿宋"/>
          <w:color w:val="auto"/>
          <w:sz w:val="32"/>
          <w:szCs w:val="40"/>
          <w:lang w:val="en-US" w:eastAsia="zh-CN"/>
        </w:rPr>
        <w:t>自习室参照本办</w:t>
      </w:r>
      <w:bookmarkStart w:id="0" w:name="_GoBack"/>
      <w:bookmarkEnd w:id="0"/>
      <w:r>
        <w:rPr>
          <w:rFonts w:hint="eastAsia" w:ascii="仿宋" w:hAnsi="仿宋" w:eastAsia="仿宋" w:cs="仿宋"/>
          <w:color w:val="auto"/>
          <w:sz w:val="32"/>
          <w:szCs w:val="40"/>
          <w:lang w:val="en-US" w:eastAsia="zh-CN"/>
        </w:rPr>
        <w:t>法管理。</w:t>
      </w:r>
    </w:p>
    <w:p w14:paraId="4FF7FFB2">
      <w:pPr>
        <w:keepNext w:val="0"/>
        <w:keepLines w:val="0"/>
        <w:pageBreakBefore w:val="0"/>
        <w:widowControl w:val="0"/>
        <w:kinsoku/>
        <w:wordWrap/>
        <w:overflowPunct/>
        <w:topLinePunct w:val="0"/>
        <w:autoSpaceDE/>
        <w:autoSpaceDN/>
        <w:bidi w:val="0"/>
        <w:adjustRightInd/>
        <w:snapToGrid/>
        <w:spacing w:line="585" w:lineRule="exact"/>
        <w:ind w:firstLine="643" w:firstLineChars="200"/>
        <w:textAlignment w:val="auto"/>
        <w:rPr>
          <w:color w:val="auto"/>
        </w:rPr>
      </w:pPr>
      <w:r>
        <w:rPr>
          <w:rFonts w:hint="eastAsia" w:ascii="仿宋" w:hAnsi="仿宋" w:eastAsia="仿宋" w:cs="仿宋"/>
          <w:b/>
          <w:bCs/>
          <w:color w:val="auto"/>
          <w:sz w:val="32"/>
          <w:szCs w:val="40"/>
          <w:lang w:val="en-US" w:eastAsia="zh-CN"/>
        </w:rPr>
        <w:t>‌第二十六条</w:t>
      </w:r>
      <w:r>
        <w:rPr>
          <w:rFonts w:hint="eastAsia" w:ascii="仿宋" w:hAnsi="仿宋" w:eastAsia="仿宋" w:cs="仿宋"/>
          <w:color w:val="auto"/>
          <w:sz w:val="32"/>
          <w:szCs w:val="40"/>
        </w:rPr>
        <w:t>‌</w:t>
      </w:r>
      <w:r>
        <w:rPr>
          <w:rFonts w:hint="eastAsia" w:ascii="仿宋" w:hAnsi="仿宋" w:eastAsia="仿宋" w:cs="仿宋"/>
          <w:color w:val="auto"/>
          <w:sz w:val="32"/>
          <w:szCs w:val="40"/>
          <w:lang w:val="en-US" w:eastAsia="zh-CN"/>
        </w:rPr>
        <w:t xml:space="preserve"> </w:t>
      </w:r>
      <w:r>
        <w:rPr>
          <w:rFonts w:hint="eastAsia" w:ascii="仿宋" w:hAnsi="仿宋" w:eastAsia="仿宋" w:cs="仿宋"/>
          <w:color w:val="auto"/>
          <w:sz w:val="32"/>
          <w:szCs w:val="40"/>
        </w:rPr>
        <w:t>‌本办法自2025年</w:t>
      </w:r>
      <w:r>
        <w:rPr>
          <w:rFonts w:hint="eastAsia" w:ascii="仿宋" w:hAnsi="仿宋" w:eastAsia="仿宋" w:cs="仿宋"/>
          <w:color w:val="auto"/>
          <w:sz w:val="32"/>
          <w:szCs w:val="40"/>
          <w:lang w:val="en-US" w:eastAsia="zh-CN"/>
        </w:rPr>
        <w:t>X</w:t>
      </w:r>
      <w:r>
        <w:rPr>
          <w:rFonts w:hint="eastAsia" w:ascii="仿宋" w:hAnsi="仿宋" w:eastAsia="仿宋" w:cs="仿宋"/>
          <w:color w:val="auto"/>
          <w:sz w:val="32"/>
          <w:szCs w:val="40"/>
        </w:rPr>
        <w:t>月1日起施行，有效期3年。本办法施行前已开办的校外托管机构，应在本办法施行之日起 6 个月内按照本办法规定完成整改，办理相关手续，否则不得继续经营。</w:t>
      </w:r>
    </w:p>
    <w:p w14:paraId="17DB2706">
      <w:pPr>
        <w:rPr>
          <w:color w:val="auto"/>
        </w:rPr>
      </w:pPr>
    </w:p>
    <w:sectPr>
      <w:footerReference r:id="rId3" w:type="default"/>
      <w:pgSz w:w="11906" w:h="16838"/>
      <w:pgMar w:top="1440" w:right="1797" w:bottom="1440" w:left="1797" w:header="851" w:footer="102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C8A5A90-6C7A-49DF-B0EB-41AB1AB143F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1E74646B-2B4B-4681-8CF7-6D9F78C18A72}"/>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embedRegular r:id="rId3" w:fontKey="{D18CA181-EE86-42E3-BBF1-5608954CDBE9}"/>
  </w:font>
  <w:font w:name="方正楷体_GBK">
    <w:panose1 w:val="02000000000000000000"/>
    <w:charset w:val="86"/>
    <w:family w:val="auto"/>
    <w:pitch w:val="default"/>
    <w:sig w:usb0="800002BF" w:usb1="38CF7CFA" w:usb2="00000016" w:usb3="00000000" w:csb0="00040000" w:csb1="00000000"/>
    <w:embedRegular r:id="rId4" w:fontKey="{1C6BA2D6-4493-423A-8F12-12F737D3A085}"/>
  </w:font>
  <w:font w:name="CESI仿宋-GB2312">
    <w:altName w:val="仿宋"/>
    <w:panose1 w:val="02000500000000000000"/>
    <w:charset w:val="7A"/>
    <w:family w:val="auto"/>
    <w:pitch w:val="default"/>
    <w:sig w:usb0="00000000" w:usb1="00000000" w:usb2="00000010" w:usb3="00000000" w:csb0="0004000F" w:csb1="00000000"/>
    <w:embedRegular r:id="rId5" w:fontKey="{9F8EC648-E175-4981-8C0E-993181295016}"/>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D07AE">
    <w:pPr>
      <w:pStyle w:val="2"/>
      <w:jc w:val="center"/>
      <w:rPr>
        <w:rFonts w:ascii="宋体" w:hAnsi="宋体"/>
        <w:sz w:val="28"/>
      </w:rPr>
    </w:pPr>
    <w:r>
      <w:rPr>
        <w:rFonts w:hint="eastAsia"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lang w:val="zh-CN"/>
      </w:rPr>
      <w:t>28</w:t>
    </w:r>
    <w:r>
      <w:rPr>
        <w:rFonts w:ascii="宋体" w:hAnsi="宋体"/>
        <w:sz w:val="28"/>
      </w:rPr>
      <w:fldChar w:fldCharType="end"/>
    </w:r>
    <w:r>
      <w:rPr>
        <w:rFonts w:hint="eastAsia" w:ascii="宋体" w:hAnsi="宋体"/>
        <w:sz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0MzRhYmNhMzk5NjVjMzI2NzM0NjgyYzY0YzQ5NmQifQ=="/>
  </w:docVars>
  <w:rsids>
    <w:rsidRoot w:val="2D1445AA"/>
    <w:rsid w:val="0F634F7A"/>
    <w:rsid w:val="2D1445AA"/>
    <w:rsid w:val="30907F59"/>
    <w:rsid w:val="394C712A"/>
    <w:rsid w:val="3D2418E8"/>
    <w:rsid w:val="5F3C88B0"/>
    <w:rsid w:val="5F616889"/>
    <w:rsid w:val="664E2C6E"/>
    <w:rsid w:val="7CAFAAE8"/>
    <w:rsid w:val="7F6D54CB"/>
    <w:rsid w:val="AEFF44AC"/>
    <w:rsid w:val="B6573D27"/>
    <w:rsid w:val="D3EDDBAA"/>
    <w:rsid w:val="F76F196E"/>
    <w:rsid w:val="F9F76BF9"/>
    <w:rsid w:val="FABF1E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eastAsia="宋体" w:cs="宋体"/>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3048</Words>
  <Characters>3055</Characters>
  <Lines>0</Lines>
  <Paragraphs>0</Paragraphs>
  <TotalTime>274</TotalTime>
  <ScaleCrop>false</ScaleCrop>
  <LinksUpToDate>false</LinksUpToDate>
  <CharactersWithSpaces>3080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2025-05-30T20:17:00Z</dcterms:created>
  <dc:creator>耶律</dc:creator>
  <cp:lastModifiedBy>今天中午吃什么</cp:lastModifiedBy>
  <cp:lastPrinted>2025-06-27T19:18:00Z</cp:lastPrinted>
  <dcterms:modified xsi:type="dcterms:W3CDTF">2025-09-22T08:44:15Z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1A7C2B52AC2F4F02B1E71C51D2CC4799_11</vt:lpwstr>
  </property>
  <property fmtid="{D5CDD505-2E9C-101B-9397-08002B2CF9AE}" pid="4" name="KSOTemplateDocerSaveRecord">
    <vt:lpwstr>eyJoZGlkIjoiZjk0ZDFmNjVmZDNkZjJhOTVkYWZlMTgzM2Y2YTIzMGEiLCJ1c2VySWQiOiI2NjQ3Nzk1MDEifQ==</vt:lpwstr>
  </property>
</Properties>
</file>