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323" w:type="dxa"/>
        <w:jc w:val="center"/>
        <w:tblLayout w:type="fixed"/>
        <w:tblCellMar>
          <w:top w:w="0" w:type="dxa"/>
          <w:left w:w="108" w:type="dxa"/>
          <w:bottom w:w="0" w:type="dxa"/>
          <w:right w:w="108" w:type="dxa"/>
        </w:tblCellMar>
      </w:tblPr>
      <w:tblGrid>
        <w:gridCol w:w="1833"/>
        <w:gridCol w:w="840"/>
        <w:gridCol w:w="3337"/>
        <w:gridCol w:w="1215"/>
        <w:gridCol w:w="1110"/>
        <w:gridCol w:w="1988"/>
      </w:tblGrid>
      <w:tr w14:paraId="486861AA">
        <w:tblPrEx>
          <w:tblCellMar>
            <w:top w:w="0" w:type="dxa"/>
            <w:left w:w="108" w:type="dxa"/>
            <w:bottom w:w="0" w:type="dxa"/>
            <w:right w:w="108" w:type="dxa"/>
          </w:tblCellMar>
        </w:tblPrEx>
        <w:trPr>
          <w:trHeight w:val="362" w:hRule="atLeast"/>
          <w:jc w:val="center"/>
        </w:trPr>
        <w:tc>
          <w:tcPr>
            <w:tcW w:w="10323" w:type="dxa"/>
            <w:gridSpan w:val="6"/>
            <w:tcBorders>
              <w:top w:val="nil"/>
              <w:left w:val="nil"/>
              <w:bottom w:val="nil"/>
              <w:right w:val="nil"/>
            </w:tcBorders>
            <w:vAlign w:val="center"/>
          </w:tcPr>
          <w:p w14:paraId="5596C8CA">
            <w:pPr>
              <w:widowControl/>
              <w:jc w:val="left"/>
              <w:rPr>
                <w:rFonts w:ascii="宋体" w:hAnsi="宋体" w:eastAsia="黑体" w:cs="宋体"/>
                <w:kern w:val="0"/>
                <w:sz w:val="24"/>
              </w:rPr>
            </w:pPr>
            <w:r>
              <w:rPr>
                <w:rFonts w:hint="eastAsia" w:ascii="黑体" w:hAnsi="宋体" w:eastAsia="黑体" w:cs="宋体"/>
                <w:kern w:val="0"/>
                <w:sz w:val="24"/>
              </w:rPr>
              <w:t>附件</w:t>
            </w:r>
          </w:p>
        </w:tc>
      </w:tr>
      <w:tr w14:paraId="3EA00F24">
        <w:tblPrEx>
          <w:tblCellMar>
            <w:top w:w="0" w:type="dxa"/>
            <w:left w:w="108" w:type="dxa"/>
            <w:bottom w:w="0" w:type="dxa"/>
            <w:right w:w="108" w:type="dxa"/>
          </w:tblCellMar>
        </w:tblPrEx>
        <w:trPr>
          <w:trHeight w:val="1011" w:hRule="atLeast"/>
          <w:jc w:val="center"/>
        </w:trPr>
        <w:tc>
          <w:tcPr>
            <w:tcW w:w="10323" w:type="dxa"/>
            <w:gridSpan w:val="6"/>
            <w:tcBorders>
              <w:top w:val="nil"/>
              <w:left w:val="nil"/>
              <w:bottom w:val="nil"/>
              <w:right w:val="nil"/>
            </w:tcBorders>
            <w:vAlign w:val="center"/>
          </w:tcPr>
          <w:p w14:paraId="566F6ABE">
            <w:pPr>
              <w:widowControl/>
              <w:jc w:val="center"/>
              <w:rPr>
                <w:rFonts w:ascii="黑体" w:hAnsi="宋体" w:eastAsia="黑体" w:cs="宋体"/>
                <w:kern w:val="0"/>
                <w:sz w:val="36"/>
                <w:szCs w:val="36"/>
              </w:rPr>
            </w:pPr>
            <w:r>
              <w:rPr>
                <w:rFonts w:hint="eastAsia" w:ascii="黑体" w:hAnsi="宋体" w:eastAsia="黑体" w:cs="宋体"/>
                <w:kern w:val="0"/>
                <w:sz w:val="36"/>
                <w:szCs w:val="36"/>
              </w:rPr>
              <w:t>市政府规范性文件清理情况统计表</w:t>
            </w:r>
          </w:p>
        </w:tc>
      </w:tr>
      <w:tr w14:paraId="7BDB3AA1">
        <w:tblPrEx>
          <w:tblCellMar>
            <w:top w:w="0" w:type="dxa"/>
            <w:left w:w="108" w:type="dxa"/>
            <w:bottom w:w="0" w:type="dxa"/>
            <w:right w:w="108" w:type="dxa"/>
          </w:tblCellMar>
        </w:tblPrEx>
        <w:trPr>
          <w:trHeight w:val="773" w:hRule="atLeast"/>
          <w:jc w:val="center"/>
        </w:trPr>
        <w:tc>
          <w:tcPr>
            <w:tcW w:w="1833" w:type="dxa"/>
            <w:tcBorders>
              <w:top w:val="single" w:color="auto" w:sz="4" w:space="0"/>
              <w:left w:val="single" w:color="auto" w:sz="4" w:space="0"/>
              <w:bottom w:val="single" w:color="auto" w:sz="4" w:space="0"/>
              <w:right w:val="single" w:color="auto" w:sz="4" w:space="0"/>
            </w:tcBorders>
            <w:vAlign w:val="center"/>
          </w:tcPr>
          <w:p w14:paraId="25CC2D05">
            <w:pPr>
              <w:widowControl/>
              <w:jc w:val="center"/>
              <w:rPr>
                <w:rFonts w:ascii="黑体" w:hAnsi="宋体" w:eastAsia="黑体" w:cs="宋体"/>
                <w:kern w:val="0"/>
                <w:sz w:val="22"/>
                <w:szCs w:val="22"/>
              </w:rPr>
            </w:pPr>
            <w:r>
              <w:rPr>
                <w:rFonts w:hint="eastAsia" w:ascii="黑体" w:hAnsi="宋体" w:eastAsia="黑体" w:cs="宋体"/>
                <w:kern w:val="0"/>
                <w:sz w:val="22"/>
                <w:szCs w:val="22"/>
              </w:rPr>
              <w:t>规范性文件起草单位名称</w:t>
            </w:r>
          </w:p>
        </w:tc>
        <w:tc>
          <w:tcPr>
            <w:tcW w:w="8490" w:type="dxa"/>
            <w:gridSpan w:val="5"/>
            <w:tcBorders>
              <w:top w:val="single" w:color="auto" w:sz="4" w:space="0"/>
              <w:left w:val="nil"/>
              <w:bottom w:val="single" w:color="auto" w:sz="4" w:space="0"/>
              <w:right w:val="single" w:color="000000" w:sz="4" w:space="0"/>
            </w:tcBorders>
            <w:vAlign w:val="center"/>
          </w:tcPr>
          <w:p w14:paraId="31E255C3">
            <w:pPr>
              <w:widowControl/>
              <w:jc w:val="center"/>
              <w:rPr>
                <w:rFonts w:ascii="黑体" w:hAnsi="宋体" w:eastAsia="黑体" w:cs="宋体"/>
                <w:kern w:val="0"/>
                <w:sz w:val="22"/>
                <w:szCs w:val="22"/>
              </w:rPr>
            </w:pPr>
            <w:r>
              <w:rPr>
                <w:rFonts w:hint="eastAsia" w:ascii="黑体" w:hAnsi="宋体" w:eastAsia="黑体" w:cs="宋体"/>
                <w:kern w:val="0"/>
                <w:sz w:val="22"/>
                <w:szCs w:val="22"/>
              </w:rPr>
              <w:t>南昌市教育局</w:t>
            </w:r>
          </w:p>
        </w:tc>
      </w:tr>
      <w:tr w14:paraId="5CAB0B97">
        <w:tblPrEx>
          <w:tblCellMar>
            <w:top w:w="0" w:type="dxa"/>
            <w:left w:w="108" w:type="dxa"/>
            <w:bottom w:w="0" w:type="dxa"/>
            <w:right w:w="108" w:type="dxa"/>
          </w:tblCellMar>
        </w:tblPrEx>
        <w:trPr>
          <w:trHeight w:val="588" w:hRule="atLeast"/>
          <w:jc w:val="center"/>
        </w:trPr>
        <w:tc>
          <w:tcPr>
            <w:tcW w:w="1833" w:type="dxa"/>
            <w:tcBorders>
              <w:top w:val="nil"/>
              <w:left w:val="single" w:color="auto" w:sz="4" w:space="0"/>
              <w:bottom w:val="single" w:color="auto" w:sz="4" w:space="0"/>
              <w:right w:val="single" w:color="auto" w:sz="4" w:space="0"/>
            </w:tcBorders>
            <w:vAlign w:val="center"/>
          </w:tcPr>
          <w:p w14:paraId="162D9A39">
            <w:pPr>
              <w:widowControl/>
              <w:jc w:val="center"/>
              <w:rPr>
                <w:rFonts w:ascii="黑体" w:hAnsi="宋体" w:eastAsia="黑体" w:cs="宋体"/>
                <w:kern w:val="0"/>
                <w:sz w:val="22"/>
                <w:szCs w:val="22"/>
              </w:rPr>
            </w:pPr>
            <w:r>
              <w:rPr>
                <w:rFonts w:hint="eastAsia" w:ascii="黑体" w:hAnsi="宋体" w:eastAsia="黑体" w:cs="宋体"/>
                <w:kern w:val="0"/>
                <w:sz w:val="22"/>
                <w:szCs w:val="22"/>
              </w:rPr>
              <w:t>纳入清理范围的规范性文件</w:t>
            </w:r>
          </w:p>
        </w:tc>
        <w:tc>
          <w:tcPr>
            <w:tcW w:w="8490" w:type="dxa"/>
            <w:gridSpan w:val="5"/>
            <w:tcBorders>
              <w:top w:val="single" w:color="auto" w:sz="4" w:space="0"/>
              <w:left w:val="nil"/>
              <w:bottom w:val="single" w:color="auto" w:sz="4" w:space="0"/>
              <w:right w:val="single" w:color="000000" w:sz="4" w:space="0"/>
            </w:tcBorders>
            <w:vAlign w:val="center"/>
          </w:tcPr>
          <w:p w14:paraId="584ACEA7">
            <w:pPr>
              <w:widowControl/>
              <w:jc w:val="center"/>
              <w:rPr>
                <w:rFonts w:ascii="黑体" w:hAnsi="宋体" w:eastAsia="黑体" w:cs="宋体"/>
                <w:kern w:val="0"/>
                <w:sz w:val="22"/>
                <w:szCs w:val="22"/>
              </w:rPr>
            </w:pPr>
            <w:r>
              <w:rPr>
                <w:rFonts w:hint="eastAsia" w:ascii="黑体" w:hAnsi="宋体" w:eastAsia="黑体" w:cs="宋体"/>
                <w:kern w:val="0"/>
                <w:sz w:val="22"/>
                <w:szCs w:val="22"/>
              </w:rPr>
              <w:t xml:space="preserve">总计 </w:t>
            </w:r>
            <w:r>
              <w:rPr>
                <w:rFonts w:ascii="黑体" w:hAnsi="宋体" w:eastAsia="黑体" w:cs="宋体"/>
                <w:kern w:val="0"/>
                <w:sz w:val="22"/>
                <w:szCs w:val="22"/>
              </w:rPr>
              <w:t>32</w:t>
            </w:r>
            <w:r>
              <w:rPr>
                <w:rFonts w:hint="eastAsia" w:ascii="黑体" w:hAnsi="宋体" w:eastAsia="黑体" w:cs="宋体"/>
                <w:kern w:val="0"/>
                <w:sz w:val="22"/>
                <w:szCs w:val="22"/>
              </w:rPr>
              <w:t xml:space="preserve"> 件</w:t>
            </w:r>
          </w:p>
        </w:tc>
      </w:tr>
      <w:tr w14:paraId="1B6E504C">
        <w:tblPrEx>
          <w:tblCellMar>
            <w:top w:w="0" w:type="dxa"/>
            <w:left w:w="108" w:type="dxa"/>
            <w:bottom w:w="0" w:type="dxa"/>
            <w:right w:w="108" w:type="dxa"/>
          </w:tblCellMar>
        </w:tblPrEx>
        <w:trPr>
          <w:trHeight w:val="728" w:hRule="atLeast"/>
          <w:jc w:val="center"/>
        </w:trPr>
        <w:tc>
          <w:tcPr>
            <w:tcW w:w="1833" w:type="dxa"/>
            <w:vMerge w:val="restart"/>
            <w:tcBorders>
              <w:top w:val="nil"/>
              <w:left w:val="single" w:color="auto" w:sz="4" w:space="0"/>
              <w:right w:val="single" w:color="auto" w:sz="4" w:space="0"/>
            </w:tcBorders>
            <w:vAlign w:val="center"/>
          </w:tcPr>
          <w:p w14:paraId="3713100E">
            <w:pPr>
              <w:widowControl/>
              <w:jc w:val="center"/>
              <w:rPr>
                <w:rFonts w:ascii="黑体" w:hAnsi="宋体" w:eastAsia="黑体" w:cs="宋体"/>
                <w:kern w:val="0"/>
                <w:sz w:val="22"/>
                <w:szCs w:val="22"/>
              </w:rPr>
            </w:pPr>
            <w:r>
              <w:rPr>
                <w:rFonts w:hint="eastAsia" w:ascii="黑体" w:hAnsi="宋体" w:eastAsia="黑体" w:cs="宋体"/>
                <w:kern w:val="0"/>
                <w:sz w:val="22"/>
                <w:szCs w:val="22"/>
              </w:rPr>
              <w:t>一、继续有效的规范性文件</w:t>
            </w:r>
          </w:p>
          <w:p w14:paraId="192043C0">
            <w:pPr>
              <w:widowControl/>
              <w:jc w:val="center"/>
              <w:rPr>
                <w:rFonts w:ascii="黑体" w:hAnsi="宋体" w:eastAsia="黑体" w:cs="宋体"/>
                <w:kern w:val="0"/>
                <w:sz w:val="22"/>
                <w:szCs w:val="22"/>
              </w:rPr>
            </w:pPr>
            <w:r>
              <w:rPr>
                <w:rFonts w:hint="eastAsia" w:ascii="黑体" w:hAnsi="宋体" w:eastAsia="黑体" w:cs="宋体"/>
                <w:kern w:val="0"/>
                <w:sz w:val="22"/>
                <w:szCs w:val="22"/>
              </w:rPr>
              <w:t xml:space="preserve">（合计 </w:t>
            </w:r>
            <w:r>
              <w:rPr>
                <w:rFonts w:hint="eastAsia" w:ascii="黑体" w:hAnsi="宋体" w:eastAsia="黑体" w:cs="宋体"/>
                <w:kern w:val="0"/>
                <w:sz w:val="22"/>
                <w:szCs w:val="22"/>
                <w:lang w:val="en-US" w:eastAsia="zh-CN"/>
              </w:rPr>
              <w:t>4</w:t>
            </w:r>
            <w:r>
              <w:rPr>
                <w:rFonts w:hint="eastAsia" w:ascii="黑体" w:hAnsi="宋体" w:eastAsia="黑体" w:cs="宋体"/>
                <w:kern w:val="0"/>
                <w:sz w:val="22"/>
                <w:szCs w:val="22"/>
              </w:rPr>
              <w:t xml:space="preserve"> 件）</w:t>
            </w:r>
          </w:p>
        </w:tc>
        <w:tc>
          <w:tcPr>
            <w:tcW w:w="840" w:type="dxa"/>
            <w:tcBorders>
              <w:top w:val="nil"/>
              <w:left w:val="nil"/>
              <w:bottom w:val="single" w:color="auto" w:sz="4" w:space="0"/>
              <w:right w:val="single" w:color="auto" w:sz="4" w:space="0"/>
            </w:tcBorders>
            <w:vAlign w:val="center"/>
          </w:tcPr>
          <w:p w14:paraId="118125C4">
            <w:pPr>
              <w:widowControl/>
              <w:jc w:val="center"/>
              <w:rPr>
                <w:rFonts w:ascii="黑体" w:hAnsi="宋体" w:eastAsia="黑体" w:cs="宋体"/>
                <w:kern w:val="0"/>
                <w:sz w:val="22"/>
                <w:szCs w:val="22"/>
              </w:rPr>
            </w:pPr>
            <w:r>
              <w:rPr>
                <w:rFonts w:hint="eastAsia" w:ascii="黑体" w:hAnsi="宋体" w:eastAsia="黑体" w:cs="宋体"/>
                <w:kern w:val="0"/>
                <w:sz w:val="22"/>
                <w:szCs w:val="22"/>
              </w:rPr>
              <w:t>序号</w:t>
            </w:r>
          </w:p>
        </w:tc>
        <w:tc>
          <w:tcPr>
            <w:tcW w:w="3337" w:type="dxa"/>
            <w:tcBorders>
              <w:top w:val="nil"/>
              <w:left w:val="nil"/>
              <w:bottom w:val="single" w:color="auto" w:sz="4" w:space="0"/>
              <w:right w:val="single" w:color="auto" w:sz="4" w:space="0"/>
            </w:tcBorders>
            <w:vAlign w:val="center"/>
          </w:tcPr>
          <w:p w14:paraId="208A01F6">
            <w:pPr>
              <w:widowControl/>
              <w:jc w:val="center"/>
              <w:rPr>
                <w:rFonts w:ascii="黑体" w:hAnsi="宋体" w:eastAsia="黑体" w:cs="宋体"/>
                <w:kern w:val="0"/>
                <w:sz w:val="22"/>
                <w:szCs w:val="22"/>
              </w:rPr>
            </w:pPr>
            <w:r>
              <w:rPr>
                <w:rFonts w:hint="eastAsia" w:ascii="黑体" w:hAnsi="宋体" w:eastAsia="黑体" w:cs="宋体"/>
                <w:kern w:val="0"/>
                <w:sz w:val="22"/>
                <w:szCs w:val="22"/>
              </w:rPr>
              <w:t>规范性文件名称</w:t>
            </w:r>
          </w:p>
        </w:tc>
        <w:tc>
          <w:tcPr>
            <w:tcW w:w="1215" w:type="dxa"/>
            <w:tcBorders>
              <w:top w:val="nil"/>
              <w:left w:val="nil"/>
              <w:bottom w:val="single" w:color="auto" w:sz="4" w:space="0"/>
              <w:right w:val="single" w:color="auto" w:sz="4" w:space="0"/>
            </w:tcBorders>
            <w:vAlign w:val="center"/>
          </w:tcPr>
          <w:p w14:paraId="20CA612D">
            <w:pPr>
              <w:widowControl/>
              <w:jc w:val="center"/>
              <w:rPr>
                <w:rFonts w:ascii="黑体" w:hAnsi="宋体" w:eastAsia="黑体" w:cs="宋体"/>
                <w:kern w:val="0"/>
                <w:sz w:val="22"/>
                <w:szCs w:val="22"/>
              </w:rPr>
            </w:pPr>
            <w:r>
              <w:rPr>
                <w:rFonts w:hint="eastAsia" w:ascii="黑体" w:hAnsi="宋体" w:eastAsia="黑体" w:cs="宋体"/>
                <w:kern w:val="0"/>
                <w:sz w:val="22"/>
                <w:szCs w:val="22"/>
              </w:rPr>
              <w:t>文号</w:t>
            </w:r>
          </w:p>
        </w:tc>
        <w:tc>
          <w:tcPr>
            <w:tcW w:w="1110" w:type="dxa"/>
            <w:tcBorders>
              <w:top w:val="nil"/>
              <w:left w:val="nil"/>
              <w:bottom w:val="single" w:color="auto" w:sz="4" w:space="0"/>
              <w:right w:val="single" w:color="auto" w:sz="4" w:space="0"/>
            </w:tcBorders>
            <w:vAlign w:val="center"/>
          </w:tcPr>
          <w:p w14:paraId="6859C8F9">
            <w:pPr>
              <w:widowControl/>
              <w:jc w:val="center"/>
              <w:rPr>
                <w:rFonts w:ascii="黑体" w:hAnsi="宋体" w:eastAsia="黑体" w:cs="宋体"/>
                <w:kern w:val="0"/>
                <w:sz w:val="22"/>
                <w:szCs w:val="22"/>
              </w:rPr>
            </w:pPr>
            <w:r>
              <w:rPr>
                <w:rFonts w:hint="eastAsia" w:ascii="黑体" w:hAnsi="宋体" w:eastAsia="黑体" w:cs="宋体"/>
                <w:kern w:val="0"/>
                <w:sz w:val="22"/>
                <w:szCs w:val="22"/>
              </w:rPr>
              <w:t>发文日期</w:t>
            </w:r>
          </w:p>
        </w:tc>
        <w:tc>
          <w:tcPr>
            <w:tcW w:w="1988" w:type="dxa"/>
            <w:tcBorders>
              <w:top w:val="nil"/>
              <w:left w:val="nil"/>
              <w:bottom w:val="single" w:color="auto" w:sz="4" w:space="0"/>
              <w:right w:val="single" w:color="auto" w:sz="4" w:space="0"/>
            </w:tcBorders>
            <w:vAlign w:val="center"/>
          </w:tcPr>
          <w:p w14:paraId="7FE45D65">
            <w:pPr>
              <w:widowControl/>
              <w:jc w:val="center"/>
              <w:rPr>
                <w:rFonts w:ascii="黑体" w:hAnsi="宋体" w:eastAsia="黑体" w:cs="宋体"/>
                <w:kern w:val="0"/>
                <w:sz w:val="22"/>
                <w:szCs w:val="22"/>
              </w:rPr>
            </w:pPr>
          </w:p>
        </w:tc>
      </w:tr>
      <w:tr w14:paraId="4C7E1C3F">
        <w:tblPrEx>
          <w:tblCellMar>
            <w:top w:w="0" w:type="dxa"/>
            <w:left w:w="108" w:type="dxa"/>
            <w:bottom w:w="0" w:type="dxa"/>
            <w:right w:w="108" w:type="dxa"/>
          </w:tblCellMar>
        </w:tblPrEx>
        <w:trPr>
          <w:trHeight w:val="353" w:hRule="atLeast"/>
          <w:jc w:val="center"/>
        </w:trPr>
        <w:tc>
          <w:tcPr>
            <w:tcW w:w="1833" w:type="dxa"/>
            <w:vMerge w:val="continue"/>
            <w:tcBorders>
              <w:left w:val="single" w:color="auto" w:sz="4" w:space="0"/>
              <w:right w:val="single" w:color="auto" w:sz="4" w:space="0"/>
            </w:tcBorders>
            <w:vAlign w:val="center"/>
          </w:tcPr>
          <w:p w14:paraId="53D6F26B">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0A963C3F">
            <w:pPr>
              <w:widowControl/>
              <w:jc w:val="center"/>
              <w:rPr>
                <w:rFonts w:ascii="黑体" w:hAnsi="宋体" w:eastAsia="黑体" w:cs="宋体"/>
                <w:kern w:val="0"/>
                <w:sz w:val="22"/>
                <w:szCs w:val="22"/>
              </w:rPr>
            </w:pPr>
            <w:r>
              <w:rPr>
                <w:rFonts w:hint="eastAsia" w:ascii="黑体" w:hAnsi="宋体" w:eastAsia="黑体" w:cs="宋体"/>
                <w:kern w:val="0"/>
                <w:sz w:val="22"/>
                <w:szCs w:val="22"/>
              </w:rPr>
              <w:t>138</w:t>
            </w:r>
          </w:p>
        </w:tc>
        <w:tc>
          <w:tcPr>
            <w:tcW w:w="3337" w:type="dxa"/>
            <w:tcBorders>
              <w:top w:val="nil"/>
              <w:left w:val="nil"/>
              <w:bottom w:val="single" w:color="auto" w:sz="4" w:space="0"/>
              <w:right w:val="single" w:color="auto" w:sz="4" w:space="0"/>
            </w:tcBorders>
            <w:vAlign w:val="center"/>
          </w:tcPr>
          <w:p w14:paraId="57588A96">
            <w:pPr>
              <w:widowControl/>
              <w:spacing w:line="0" w:lineRule="atLeast"/>
              <w:jc w:val="left"/>
              <w:rPr>
                <w:rFonts w:ascii="黑体" w:hAnsi="宋体" w:eastAsia="黑体" w:cs="宋体"/>
                <w:kern w:val="0"/>
                <w:sz w:val="22"/>
                <w:szCs w:val="22"/>
              </w:rPr>
            </w:pPr>
            <w:r>
              <w:rPr>
                <w:rFonts w:hint="eastAsia" w:ascii="黑体" w:hAnsi="宋体" w:eastAsia="黑体" w:cs="宋体"/>
                <w:kern w:val="0"/>
                <w:sz w:val="22"/>
                <w:szCs w:val="22"/>
              </w:rPr>
              <w:t>南昌市人民政府办公厅关于印发《南昌市乡村教师支持计划（2015-2020年）实施办法》的通知</w:t>
            </w:r>
          </w:p>
        </w:tc>
        <w:tc>
          <w:tcPr>
            <w:tcW w:w="1215" w:type="dxa"/>
            <w:tcBorders>
              <w:top w:val="nil"/>
              <w:left w:val="nil"/>
              <w:bottom w:val="single" w:color="auto" w:sz="4" w:space="0"/>
              <w:right w:val="single" w:color="auto" w:sz="4" w:space="0"/>
            </w:tcBorders>
            <w:vAlign w:val="center"/>
          </w:tcPr>
          <w:p w14:paraId="3F70C545">
            <w:pPr>
              <w:widowControl/>
              <w:spacing w:line="0" w:lineRule="atLeast"/>
              <w:jc w:val="left"/>
              <w:rPr>
                <w:rFonts w:ascii="黑体" w:hAnsi="宋体" w:eastAsia="黑体" w:cs="宋体"/>
                <w:kern w:val="0"/>
                <w:sz w:val="22"/>
                <w:szCs w:val="22"/>
              </w:rPr>
            </w:pPr>
            <w:r>
              <w:rPr>
                <w:rFonts w:hint="eastAsia" w:ascii="黑体" w:hAnsi="宋体" w:eastAsia="黑体" w:cs="宋体"/>
                <w:kern w:val="0"/>
                <w:sz w:val="22"/>
                <w:szCs w:val="22"/>
              </w:rPr>
              <w:t>洪府厅发〔2016〕48号</w:t>
            </w:r>
          </w:p>
        </w:tc>
        <w:tc>
          <w:tcPr>
            <w:tcW w:w="1110" w:type="dxa"/>
            <w:tcBorders>
              <w:top w:val="nil"/>
              <w:left w:val="nil"/>
              <w:bottom w:val="single" w:color="auto" w:sz="4" w:space="0"/>
              <w:right w:val="single" w:color="auto" w:sz="4" w:space="0"/>
            </w:tcBorders>
            <w:vAlign w:val="center"/>
          </w:tcPr>
          <w:p w14:paraId="38373BCF">
            <w:pPr>
              <w:widowControl/>
              <w:spacing w:line="0" w:lineRule="atLeast"/>
              <w:jc w:val="left"/>
              <w:rPr>
                <w:rFonts w:ascii="黑体" w:hAnsi="宋体" w:eastAsia="黑体" w:cs="宋体"/>
                <w:kern w:val="0"/>
                <w:sz w:val="22"/>
                <w:szCs w:val="22"/>
              </w:rPr>
            </w:pPr>
            <w:r>
              <w:rPr>
                <w:rFonts w:hint="eastAsia" w:ascii="黑体" w:hAnsi="宋体" w:eastAsia="黑体" w:cs="宋体"/>
                <w:kern w:val="0"/>
                <w:sz w:val="22"/>
                <w:szCs w:val="22"/>
              </w:rPr>
              <w:t>2016.5.30</w:t>
            </w:r>
          </w:p>
        </w:tc>
        <w:tc>
          <w:tcPr>
            <w:tcW w:w="1988" w:type="dxa"/>
            <w:tcBorders>
              <w:top w:val="nil"/>
              <w:left w:val="nil"/>
              <w:bottom w:val="single" w:color="auto" w:sz="4" w:space="0"/>
              <w:right w:val="single" w:color="auto" w:sz="4" w:space="0"/>
            </w:tcBorders>
            <w:vAlign w:val="center"/>
          </w:tcPr>
          <w:p w14:paraId="504195F4">
            <w:pPr>
              <w:widowControl/>
              <w:spacing w:line="0" w:lineRule="atLeast"/>
              <w:jc w:val="left"/>
              <w:rPr>
                <w:rFonts w:ascii="黑体" w:hAnsi="宋体" w:eastAsia="黑体" w:cs="宋体"/>
                <w:kern w:val="0"/>
                <w:sz w:val="22"/>
                <w:szCs w:val="22"/>
              </w:rPr>
            </w:pPr>
            <w:r>
              <w:rPr>
                <w:rFonts w:hint="eastAsia" w:ascii="黑体" w:hAnsi="宋体" w:eastAsia="黑体" w:cs="宋体"/>
                <w:kern w:val="0"/>
                <w:sz w:val="22"/>
                <w:szCs w:val="22"/>
              </w:rPr>
              <w:t>继续有效</w:t>
            </w:r>
          </w:p>
        </w:tc>
      </w:tr>
      <w:tr w14:paraId="1FA6CB9E">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486101B6">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5FCC0789">
            <w:pPr>
              <w:widowControl/>
              <w:jc w:val="center"/>
              <w:rPr>
                <w:rFonts w:ascii="黑体" w:hAnsi="宋体" w:eastAsia="黑体" w:cs="宋体"/>
                <w:kern w:val="0"/>
                <w:sz w:val="22"/>
                <w:szCs w:val="22"/>
              </w:rPr>
            </w:pPr>
            <w:r>
              <w:rPr>
                <w:rFonts w:ascii="黑体" w:hAnsi="宋体" w:eastAsia="黑体" w:cs="宋体"/>
                <w:kern w:val="0"/>
                <w:sz w:val="22"/>
                <w:szCs w:val="22"/>
              </w:rPr>
              <w:t>121</w:t>
            </w:r>
          </w:p>
        </w:tc>
        <w:tc>
          <w:tcPr>
            <w:tcW w:w="3337" w:type="dxa"/>
            <w:tcBorders>
              <w:top w:val="nil"/>
              <w:left w:val="nil"/>
              <w:bottom w:val="single" w:color="auto" w:sz="4" w:space="0"/>
              <w:right w:val="single" w:color="auto" w:sz="4" w:space="0"/>
            </w:tcBorders>
            <w:vAlign w:val="center"/>
          </w:tcPr>
          <w:p w14:paraId="09A1D774">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《南昌市人民政府印发关于大力发展现代职业教育的实施意见的通知》</w:t>
            </w:r>
          </w:p>
        </w:tc>
        <w:tc>
          <w:tcPr>
            <w:tcW w:w="1215" w:type="dxa"/>
            <w:tcBorders>
              <w:top w:val="nil"/>
              <w:left w:val="nil"/>
              <w:bottom w:val="single" w:color="auto" w:sz="4" w:space="0"/>
              <w:right w:val="single" w:color="auto" w:sz="4" w:space="0"/>
            </w:tcBorders>
            <w:vAlign w:val="center"/>
          </w:tcPr>
          <w:p w14:paraId="0BA19D8C">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洪府发【2015】16号</w:t>
            </w:r>
          </w:p>
        </w:tc>
        <w:tc>
          <w:tcPr>
            <w:tcW w:w="1110" w:type="dxa"/>
            <w:tcBorders>
              <w:top w:val="nil"/>
              <w:left w:val="nil"/>
              <w:bottom w:val="single" w:color="auto" w:sz="4" w:space="0"/>
              <w:right w:val="single" w:color="auto" w:sz="4" w:space="0"/>
            </w:tcBorders>
            <w:vAlign w:val="center"/>
          </w:tcPr>
          <w:p w14:paraId="2E8FF7B0">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2015.5.4</w:t>
            </w:r>
          </w:p>
        </w:tc>
        <w:tc>
          <w:tcPr>
            <w:tcW w:w="1988" w:type="dxa"/>
            <w:tcBorders>
              <w:top w:val="nil"/>
              <w:left w:val="nil"/>
              <w:bottom w:val="single" w:color="auto" w:sz="4" w:space="0"/>
              <w:right w:val="single" w:color="auto" w:sz="4" w:space="0"/>
            </w:tcBorders>
            <w:vAlign w:val="center"/>
          </w:tcPr>
          <w:p w14:paraId="5F16B3E1">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文件仍在适用期内</w:t>
            </w:r>
          </w:p>
        </w:tc>
      </w:tr>
      <w:tr w14:paraId="0C5F4104">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4E3FE560">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26B5F2F1">
            <w:pPr>
              <w:widowControl/>
              <w:jc w:val="center"/>
              <w:rPr>
                <w:rFonts w:ascii="黑体" w:hAnsi="宋体" w:eastAsia="黑体" w:cs="宋体"/>
                <w:kern w:val="0"/>
                <w:sz w:val="22"/>
                <w:szCs w:val="22"/>
              </w:rPr>
            </w:pPr>
            <w:r>
              <w:rPr>
                <w:rFonts w:hint="eastAsia" w:ascii="黑体" w:hAnsi="宋体" w:eastAsia="黑体" w:cs="宋体"/>
                <w:kern w:val="0"/>
                <w:sz w:val="22"/>
                <w:szCs w:val="22"/>
              </w:rPr>
              <w:t>38</w:t>
            </w:r>
          </w:p>
        </w:tc>
        <w:tc>
          <w:tcPr>
            <w:tcW w:w="3337" w:type="dxa"/>
            <w:tcBorders>
              <w:top w:val="nil"/>
              <w:left w:val="nil"/>
              <w:bottom w:val="single" w:color="auto" w:sz="4" w:space="0"/>
              <w:right w:val="single" w:color="auto" w:sz="4" w:space="0"/>
            </w:tcBorders>
            <w:vAlign w:val="center"/>
          </w:tcPr>
          <w:p w14:paraId="05F310B3">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南昌市人民政府办公厅关于进一步调整优化结构提高教育经费使用效益的实施意见</w:t>
            </w:r>
          </w:p>
        </w:tc>
        <w:tc>
          <w:tcPr>
            <w:tcW w:w="1215" w:type="dxa"/>
            <w:tcBorders>
              <w:top w:val="nil"/>
              <w:left w:val="nil"/>
              <w:bottom w:val="single" w:color="auto" w:sz="4" w:space="0"/>
              <w:right w:val="single" w:color="auto" w:sz="4" w:space="0"/>
            </w:tcBorders>
            <w:vAlign w:val="center"/>
          </w:tcPr>
          <w:p w14:paraId="35B8AE21">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洪府厅发[2020]131号</w:t>
            </w:r>
          </w:p>
        </w:tc>
        <w:tc>
          <w:tcPr>
            <w:tcW w:w="1110" w:type="dxa"/>
            <w:tcBorders>
              <w:top w:val="nil"/>
              <w:left w:val="nil"/>
              <w:bottom w:val="single" w:color="auto" w:sz="4" w:space="0"/>
              <w:right w:val="single" w:color="auto" w:sz="4" w:space="0"/>
            </w:tcBorders>
            <w:vAlign w:val="center"/>
          </w:tcPr>
          <w:p w14:paraId="0200353A">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2020.10.30</w:t>
            </w:r>
          </w:p>
        </w:tc>
        <w:tc>
          <w:tcPr>
            <w:tcW w:w="1988" w:type="dxa"/>
            <w:tcBorders>
              <w:top w:val="nil"/>
              <w:left w:val="nil"/>
              <w:bottom w:val="single" w:color="auto" w:sz="4" w:space="0"/>
              <w:right w:val="single" w:color="auto" w:sz="4" w:space="0"/>
            </w:tcBorders>
            <w:vAlign w:val="center"/>
          </w:tcPr>
          <w:p w14:paraId="12941703">
            <w:pPr>
              <w:widowControl/>
              <w:spacing w:line="240" w:lineRule="exact"/>
              <w:jc w:val="left"/>
              <w:rPr>
                <w:rFonts w:ascii="黑体" w:hAnsi="宋体" w:eastAsia="黑体" w:cs="宋体"/>
                <w:kern w:val="0"/>
                <w:sz w:val="22"/>
                <w:szCs w:val="22"/>
              </w:rPr>
            </w:pPr>
          </w:p>
        </w:tc>
      </w:tr>
      <w:tr w14:paraId="6005029B">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bottom w:val="single" w:color="auto" w:sz="4" w:space="0"/>
              <w:right w:val="single" w:color="auto" w:sz="4" w:space="0"/>
            </w:tcBorders>
            <w:vAlign w:val="center"/>
          </w:tcPr>
          <w:p w14:paraId="65E06308">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24C48D2A">
            <w:pPr>
              <w:widowControl/>
              <w:jc w:val="center"/>
              <w:rPr>
                <w:rFonts w:ascii="黑体" w:hAnsi="宋体" w:eastAsia="黑体" w:cs="宋体"/>
                <w:kern w:val="0"/>
                <w:sz w:val="22"/>
                <w:szCs w:val="22"/>
              </w:rPr>
            </w:pPr>
            <w:r>
              <w:rPr>
                <w:rFonts w:hint="eastAsia" w:ascii="黑体" w:hAnsi="宋体" w:eastAsia="黑体" w:cs="宋体"/>
                <w:kern w:val="0"/>
                <w:sz w:val="22"/>
                <w:szCs w:val="22"/>
              </w:rPr>
              <w:t>39</w:t>
            </w:r>
          </w:p>
        </w:tc>
        <w:tc>
          <w:tcPr>
            <w:tcW w:w="3337" w:type="dxa"/>
            <w:tcBorders>
              <w:top w:val="nil"/>
              <w:left w:val="nil"/>
              <w:bottom w:val="single" w:color="auto" w:sz="4" w:space="0"/>
              <w:right w:val="single" w:color="auto" w:sz="4" w:space="0"/>
            </w:tcBorders>
            <w:vAlign w:val="center"/>
          </w:tcPr>
          <w:p w14:paraId="00E6C982">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《南昌市人民政府印发关于推进职业教育综合改革提质创优的实施方案的通知》</w:t>
            </w:r>
          </w:p>
        </w:tc>
        <w:tc>
          <w:tcPr>
            <w:tcW w:w="1215" w:type="dxa"/>
            <w:tcBorders>
              <w:top w:val="nil"/>
              <w:left w:val="nil"/>
              <w:bottom w:val="single" w:color="auto" w:sz="4" w:space="0"/>
              <w:right w:val="single" w:color="auto" w:sz="4" w:space="0"/>
            </w:tcBorders>
            <w:vAlign w:val="center"/>
          </w:tcPr>
          <w:p w14:paraId="586A94CC">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洪府发【2021】5号</w:t>
            </w:r>
          </w:p>
        </w:tc>
        <w:tc>
          <w:tcPr>
            <w:tcW w:w="1110" w:type="dxa"/>
            <w:tcBorders>
              <w:top w:val="nil"/>
              <w:left w:val="nil"/>
              <w:bottom w:val="single" w:color="auto" w:sz="4" w:space="0"/>
              <w:right w:val="single" w:color="auto" w:sz="4" w:space="0"/>
            </w:tcBorders>
            <w:vAlign w:val="center"/>
          </w:tcPr>
          <w:p w14:paraId="41AE0E9E">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2021.2.7</w:t>
            </w:r>
          </w:p>
        </w:tc>
        <w:tc>
          <w:tcPr>
            <w:tcW w:w="1988" w:type="dxa"/>
            <w:tcBorders>
              <w:top w:val="nil"/>
              <w:left w:val="nil"/>
              <w:bottom w:val="single" w:color="auto" w:sz="4" w:space="0"/>
              <w:right w:val="single" w:color="auto" w:sz="4" w:space="0"/>
            </w:tcBorders>
            <w:vAlign w:val="center"/>
          </w:tcPr>
          <w:p w14:paraId="79ACF049">
            <w:pPr>
              <w:widowControl/>
              <w:spacing w:line="240" w:lineRule="exact"/>
              <w:jc w:val="left"/>
              <w:rPr>
                <w:rFonts w:ascii="黑体" w:hAnsi="宋体" w:eastAsia="黑体" w:cs="宋体"/>
                <w:kern w:val="0"/>
                <w:sz w:val="22"/>
                <w:szCs w:val="22"/>
              </w:rPr>
            </w:pPr>
          </w:p>
        </w:tc>
      </w:tr>
      <w:tr w14:paraId="1AF4C35C">
        <w:tblPrEx>
          <w:tblCellMar>
            <w:top w:w="0" w:type="dxa"/>
            <w:left w:w="108" w:type="dxa"/>
            <w:bottom w:w="0" w:type="dxa"/>
            <w:right w:w="108" w:type="dxa"/>
          </w:tblCellMar>
        </w:tblPrEx>
        <w:trPr>
          <w:trHeight w:val="728" w:hRule="atLeast"/>
          <w:jc w:val="center"/>
        </w:trPr>
        <w:tc>
          <w:tcPr>
            <w:tcW w:w="1833" w:type="dxa"/>
            <w:vMerge w:val="restart"/>
            <w:tcBorders>
              <w:top w:val="nil"/>
              <w:left w:val="single" w:color="auto" w:sz="4" w:space="0"/>
              <w:bottom w:val="single" w:color="000000" w:sz="4" w:space="0"/>
              <w:right w:val="single" w:color="auto" w:sz="4" w:space="0"/>
            </w:tcBorders>
            <w:vAlign w:val="center"/>
          </w:tcPr>
          <w:p w14:paraId="407396B3">
            <w:pPr>
              <w:widowControl/>
              <w:jc w:val="center"/>
              <w:rPr>
                <w:rFonts w:ascii="黑体" w:hAnsi="宋体" w:eastAsia="黑体" w:cs="宋体"/>
                <w:kern w:val="0"/>
                <w:sz w:val="22"/>
                <w:szCs w:val="22"/>
              </w:rPr>
            </w:pPr>
            <w:r>
              <w:rPr>
                <w:rFonts w:hint="eastAsia" w:ascii="黑体" w:hAnsi="宋体" w:eastAsia="黑体" w:cs="宋体"/>
                <w:kern w:val="0"/>
                <w:sz w:val="22"/>
                <w:szCs w:val="22"/>
              </w:rPr>
              <w:t>二、拟修改的规范性文件</w:t>
            </w:r>
          </w:p>
          <w:p w14:paraId="37583EF2">
            <w:pPr>
              <w:widowControl/>
              <w:jc w:val="center"/>
              <w:rPr>
                <w:rFonts w:ascii="黑体" w:hAnsi="宋体" w:eastAsia="黑体" w:cs="宋体"/>
                <w:kern w:val="0"/>
                <w:sz w:val="22"/>
                <w:szCs w:val="22"/>
              </w:rPr>
            </w:pPr>
            <w:r>
              <w:rPr>
                <w:rFonts w:hint="eastAsia" w:ascii="黑体" w:hAnsi="宋体" w:eastAsia="黑体" w:cs="宋体"/>
                <w:kern w:val="0"/>
                <w:sz w:val="22"/>
                <w:szCs w:val="22"/>
              </w:rPr>
              <w:t xml:space="preserve">(合计 </w:t>
            </w:r>
            <w:r>
              <w:rPr>
                <w:rFonts w:hint="eastAsia" w:ascii="黑体" w:hAnsi="宋体" w:eastAsia="黑体" w:cs="宋体"/>
                <w:kern w:val="0"/>
                <w:sz w:val="22"/>
                <w:szCs w:val="22"/>
                <w:lang w:val="en-US" w:eastAsia="zh-CN"/>
              </w:rPr>
              <w:t>1</w:t>
            </w:r>
            <w:r>
              <w:rPr>
                <w:rFonts w:hint="eastAsia" w:ascii="黑体" w:hAnsi="宋体" w:eastAsia="黑体" w:cs="宋体"/>
                <w:kern w:val="0"/>
                <w:sz w:val="22"/>
                <w:szCs w:val="22"/>
              </w:rPr>
              <w:t xml:space="preserve"> 件）</w:t>
            </w:r>
          </w:p>
        </w:tc>
        <w:tc>
          <w:tcPr>
            <w:tcW w:w="840" w:type="dxa"/>
            <w:tcBorders>
              <w:top w:val="nil"/>
              <w:left w:val="nil"/>
              <w:bottom w:val="single" w:color="auto" w:sz="4" w:space="0"/>
              <w:right w:val="single" w:color="auto" w:sz="4" w:space="0"/>
            </w:tcBorders>
            <w:vAlign w:val="center"/>
          </w:tcPr>
          <w:p w14:paraId="111544E3">
            <w:pPr>
              <w:widowControl/>
              <w:jc w:val="center"/>
              <w:rPr>
                <w:rFonts w:ascii="黑体" w:hAnsi="宋体" w:eastAsia="黑体" w:cs="宋体"/>
                <w:kern w:val="0"/>
                <w:sz w:val="22"/>
                <w:szCs w:val="22"/>
              </w:rPr>
            </w:pPr>
            <w:r>
              <w:rPr>
                <w:rFonts w:hint="eastAsia" w:ascii="黑体" w:hAnsi="宋体" w:eastAsia="黑体" w:cs="宋体"/>
                <w:kern w:val="0"/>
                <w:sz w:val="22"/>
                <w:szCs w:val="22"/>
              </w:rPr>
              <w:t>序号</w:t>
            </w:r>
          </w:p>
        </w:tc>
        <w:tc>
          <w:tcPr>
            <w:tcW w:w="3337" w:type="dxa"/>
            <w:tcBorders>
              <w:top w:val="nil"/>
              <w:left w:val="nil"/>
              <w:bottom w:val="single" w:color="auto" w:sz="4" w:space="0"/>
              <w:right w:val="single" w:color="auto" w:sz="4" w:space="0"/>
            </w:tcBorders>
            <w:vAlign w:val="center"/>
          </w:tcPr>
          <w:p w14:paraId="3C50F352">
            <w:pPr>
              <w:widowControl/>
              <w:jc w:val="center"/>
              <w:rPr>
                <w:rFonts w:ascii="黑体" w:hAnsi="宋体" w:eastAsia="黑体" w:cs="宋体"/>
                <w:kern w:val="0"/>
                <w:sz w:val="22"/>
                <w:szCs w:val="22"/>
              </w:rPr>
            </w:pPr>
            <w:r>
              <w:rPr>
                <w:rFonts w:hint="eastAsia" w:ascii="黑体" w:hAnsi="宋体" w:eastAsia="黑体" w:cs="宋体"/>
                <w:kern w:val="0"/>
                <w:sz w:val="22"/>
                <w:szCs w:val="22"/>
              </w:rPr>
              <w:t>规范性文件名称</w:t>
            </w:r>
          </w:p>
        </w:tc>
        <w:tc>
          <w:tcPr>
            <w:tcW w:w="1215" w:type="dxa"/>
            <w:tcBorders>
              <w:top w:val="nil"/>
              <w:left w:val="nil"/>
              <w:bottom w:val="single" w:color="auto" w:sz="4" w:space="0"/>
              <w:right w:val="single" w:color="auto" w:sz="4" w:space="0"/>
            </w:tcBorders>
            <w:vAlign w:val="center"/>
          </w:tcPr>
          <w:p w14:paraId="40C2AF34">
            <w:pPr>
              <w:widowControl/>
              <w:jc w:val="center"/>
              <w:rPr>
                <w:rFonts w:ascii="黑体" w:hAnsi="宋体" w:eastAsia="黑体" w:cs="宋体"/>
                <w:kern w:val="0"/>
                <w:sz w:val="22"/>
                <w:szCs w:val="22"/>
              </w:rPr>
            </w:pPr>
            <w:r>
              <w:rPr>
                <w:rFonts w:hint="eastAsia" w:ascii="黑体" w:hAnsi="宋体" w:eastAsia="黑体" w:cs="宋体"/>
                <w:kern w:val="0"/>
                <w:sz w:val="22"/>
                <w:szCs w:val="22"/>
              </w:rPr>
              <w:t>文号</w:t>
            </w:r>
          </w:p>
        </w:tc>
        <w:tc>
          <w:tcPr>
            <w:tcW w:w="1110" w:type="dxa"/>
            <w:tcBorders>
              <w:top w:val="nil"/>
              <w:left w:val="nil"/>
              <w:bottom w:val="single" w:color="auto" w:sz="4" w:space="0"/>
              <w:right w:val="single" w:color="auto" w:sz="4" w:space="0"/>
            </w:tcBorders>
            <w:vAlign w:val="center"/>
          </w:tcPr>
          <w:p w14:paraId="2D3F3526">
            <w:pPr>
              <w:widowControl/>
              <w:jc w:val="center"/>
              <w:rPr>
                <w:rFonts w:ascii="黑体" w:hAnsi="宋体" w:eastAsia="黑体" w:cs="宋体"/>
                <w:kern w:val="0"/>
                <w:sz w:val="22"/>
                <w:szCs w:val="22"/>
              </w:rPr>
            </w:pPr>
            <w:r>
              <w:rPr>
                <w:rFonts w:hint="eastAsia" w:ascii="黑体" w:hAnsi="宋体" w:eastAsia="黑体" w:cs="宋体"/>
                <w:kern w:val="0"/>
                <w:sz w:val="22"/>
                <w:szCs w:val="22"/>
              </w:rPr>
              <w:t>发文日期</w:t>
            </w:r>
          </w:p>
        </w:tc>
        <w:tc>
          <w:tcPr>
            <w:tcW w:w="1988" w:type="dxa"/>
            <w:tcBorders>
              <w:top w:val="nil"/>
              <w:left w:val="nil"/>
              <w:bottom w:val="single" w:color="auto" w:sz="4" w:space="0"/>
              <w:right w:val="single" w:color="auto" w:sz="4" w:space="0"/>
            </w:tcBorders>
            <w:vAlign w:val="center"/>
          </w:tcPr>
          <w:p w14:paraId="4FA67F6D">
            <w:pPr>
              <w:widowControl/>
              <w:jc w:val="center"/>
              <w:rPr>
                <w:rFonts w:ascii="黑体" w:hAnsi="宋体" w:eastAsia="黑体" w:cs="宋体"/>
                <w:kern w:val="0"/>
                <w:sz w:val="22"/>
                <w:szCs w:val="22"/>
              </w:rPr>
            </w:pPr>
            <w:r>
              <w:rPr>
                <w:rFonts w:hint="eastAsia" w:ascii="黑体" w:hAnsi="宋体" w:eastAsia="黑体" w:cs="宋体"/>
                <w:kern w:val="0"/>
                <w:sz w:val="22"/>
                <w:szCs w:val="22"/>
              </w:rPr>
              <w:t>修改的理由和依据</w:t>
            </w:r>
          </w:p>
        </w:tc>
      </w:tr>
      <w:tr w14:paraId="1BD4A5DC">
        <w:tblPrEx>
          <w:tblCellMar>
            <w:top w:w="0" w:type="dxa"/>
            <w:left w:w="108" w:type="dxa"/>
            <w:bottom w:w="0" w:type="dxa"/>
            <w:right w:w="108" w:type="dxa"/>
          </w:tblCellMar>
        </w:tblPrEx>
        <w:trPr>
          <w:trHeight w:val="728" w:hRule="atLeast"/>
          <w:jc w:val="center"/>
        </w:trPr>
        <w:tc>
          <w:tcPr>
            <w:tcW w:w="1833" w:type="dxa"/>
            <w:vMerge w:val="continue"/>
            <w:tcBorders>
              <w:top w:val="nil"/>
              <w:left w:val="single" w:color="auto" w:sz="4" w:space="0"/>
              <w:bottom w:val="single" w:color="000000" w:sz="4" w:space="0"/>
              <w:right w:val="single" w:color="auto" w:sz="4" w:space="0"/>
            </w:tcBorders>
            <w:vAlign w:val="center"/>
          </w:tcPr>
          <w:p w14:paraId="512AB2B7">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2CAEF20E">
            <w:pPr>
              <w:widowControl/>
              <w:spacing w:line="240" w:lineRule="exact"/>
              <w:jc w:val="center"/>
              <w:rPr>
                <w:rFonts w:hint="eastAsia" w:ascii="黑体" w:hAnsi="宋体" w:eastAsia="黑体" w:cs="宋体"/>
                <w:kern w:val="0"/>
                <w:sz w:val="22"/>
                <w:szCs w:val="22"/>
              </w:rPr>
            </w:pPr>
            <w:r>
              <w:rPr>
                <w:rFonts w:hint="eastAsia" w:ascii="黑体" w:hAnsi="宋体" w:eastAsia="黑体" w:cs="宋体"/>
                <w:kern w:val="0"/>
                <w:sz w:val="22"/>
                <w:szCs w:val="22"/>
              </w:rPr>
              <w:t>35</w:t>
            </w:r>
          </w:p>
        </w:tc>
        <w:tc>
          <w:tcPr>
            <w:tcW w:w="3337" w:type="dxa"/>
            <w:tcBorders>
              <w:top w:val="nil"/>
              <w:left w:val="nil"/>
              <w:bottom w:val="single" w:color="auto" w:sz="4" w:space="0"/>
              <w:right w:val="single" w:color="auto" w:sz="4" w:space="0"/>
            </w:tcBorders>
            <w:vAlign w:val="center"/>
          </w:tcPr>
          <w:p w14:paraId="1A6857B9">
            <w:pPr>
              <w:widowControl/>
              <w:spacing w:line="240" w:lineRule="exact"/>
              <w:jc w:val="left"/>
              <w:rPr>
                <w:rFonts w:hint="eastAsia" w:ascii="黑体" w:hAnsi="宋体" w:eastAsia="黑体" w:cs="宋体"/>
                <w:color w:val="auto"/>
                <w:kern w:val="0"/>
                <w:sz w:val="22"/>
                <w:szCs w:val="22"/>
              </w:rPr>
            </w:pPr>
            <w:r>
              <w:rPr>
                <w:rFonts w:hint="eastAsia" w:ascii="黑体" w:hAnsi="宋体" w:eastAsia="黑体" w:cs="宋体"/>
                <w:color w:val="auto"/>
                <w:kern w:val="0"/>
                <w:sz w:val="22"/>
                <w:szCs w:val="22"/>
              </w:rPr>
              <w:t>南昌市人民政府办公厅关于进一步做好严禁非政策性择校行为的工作意见</w:t>
            </w:r>
          </w:p>
        </w:tc>
        <w:tc>
          <w:tcPr>
            <w:tcW w:w="1215" w:type="dxa"/>
            <w:tcBorders>
              <w:top w:val="nil"/>
              <w:left w:val="nil"/>
              <w:bottom w:val="single" w:color="auto" w:sz="4" w:space="0"/>
              <w:right w:val="single" w:color="auto" w:sz="4" w:space="0"/>
            </w:tcBorders>
            <w:vAlign w:val="center"/>
          </w:tcPr>
          <w:p w14:paraId="3F240D06">
            <w:pPr>
              <w:widowControl/>
              <w:spacing w:line="240" w:lineRule="exact"/>
              <w:jc w:val="left"/>
              <w:rPr>
                <w:rFonts w:hint="eastAsia" w:ascii="黑体" w:hAnsi="宋体" w:eastAsia="黑体" w:cs="宋体"/>
                <w:color w:val="auto"/>
                <w:kern w:val="0"/>
                <w:sz w:val="22"/>
                <w:szCs w:val="22"/>
              </w:rPr>
            </w:pPr>
            <w:r>
              <w:rPr>
                <w:rFonts w:hint="eastAsia" w:ascii="黑体" w:hAnsi="宋体" w:eastAsia="黑体" w:cs="宋体"/>
                <w:color w:val="auto"/>
                <w:kern w:val="0"/>
                <w:sz w:val="22"/>
                <w:szCs w:val="22"/>
              </w:rPr>
              <w:t>洪府厅发〔2015〕14号</w:t>
            </w:r>
          </w:p>
        </w:tc>
        <w:tc>
          <w:tcPr>
            <w:tcW w:w="1110" w:type="dxa"/>
            <w:tcBorders>
              <w:top w:val="nil"/>
              <w:left w:val="nil"/>
              <w:bottom w:val="single" w:color="auto" w:sz="4" w:space="0"/>
              <w:right w:val="single" w:color="auto" w:sz="4" w:space="0"/>
            </w:tcBorders>
            <w:vAlign w:val="center"/>
          </w:tcPr>
          <w:p w14:paraId="630A2876">
            <w:pPr>
              <w:widowControl/>
              <w:spacing w:line="240" w:lineRule="exact"/>
              <w:jc w:val="left"/>
              <w:rPr>
                <w:rFonts w:hint="eastAsia" w:ascii="黑体" w:hAnsi="宋体" w:eastAsia="黑体" w:cs="宋体"/>
                <w:color w:val="auto"/>
                <w:kern w:val="0"/>
                <w:sz w:val="22"/>
                <w:szCs w:val="22"/>
              </w:rPr>
            </w:pPr>
            <w:r>
              <w:rPr>
                <w:rFonts w:hint="eastAsia" w:ascii="黑体" w:hAnsi="宋体" w:eastAsia="黑体" w:cs="宋体"/>
                <w:color w:val="auto"/>
                <w:kern w:val="0"/>
                <w:sz w:val="22"/>
                <w:szCs w:val="22"/>
              </w:rPr>
              <w:t>2015.2.25</w:t>
            </w:r>
          </w:p>
        </w:tc>
        <w:tc>
          <w:tcPr>
            <w:tcW w:w="1988" w:type="dxa"/>
            <w:tcBorders>
              <w:top w:val="nil"/>
              <w:left w:val="nil"/>
              <w:bottom w:val="single" w:color="auto" w:sz="4" w:space="0"/>
              <w:right w:val="single" w:color="auto" w:sz="4" w:space="0"/>
            </w:tcBorders>
            <w:vAlign w:val="center"/>
          </w:tcPr>
          <w:p w14:paraId="54164818">
            <w:pPr>
              <w:widowControl/>
              <w:spacing w:line="240" w:lineRule="exact"/>
              <w:jc w:val="left"/>
              <w:rPr>
                <w:rFonts w:hint="default" w:ascii="黑体" w:hAnsi="宋体" w:eastAsia="黑体" w:cs="宋体"/>
                <w:color w:val="auto"/>
                <w:kern w:val="0"/>
                <w:sz w:val="22"/>
                <w:szCs w:val="22"/>
                <w:lang w:val="en-US" w:eastAsia="zh-CN"/>
              </w:rPr>
            </w:pPr>
            <w:r>
              <w:rPr>
                <w:rFonts w:hint="eastAsia" w:ascii="黑体" w:hAnsi="宋体" w:eastAsia="黑体" w:cs="宋体"/>
                <w:color w:val="auto"/>
                <w:kern w:val="0"/>
                <w:sz w:val="22"/>
                <w:szCs w:val="22"/>
                <w:lang w:val="en-US" w:eastAsia="zh-CN"/>
              </w:rPr>
              <w:t>个别条款</w:t>
            </w:r>
            <w:r>
              <w:rPr>
                <w:rFonts w:hint="eastAsia" w:ascii="黑体" w:hAnsi="宋体" w:eastAsia="黑体" w:cs="宋体"/>
                <w:color w:val="auto"/>
                <w:kern w:val="0"/>
                <w:sz w:val="22"/>
                <w:szCs w:val="22"/>
              </w:rPr>
              <w:t>与实际工作不符</w:t>
            </w:r>
            <w:r>
              <w:rPr>
                <w:rFonts w:hint="eastAsia" w:ascii="黑体" w:hAnsi="宋体" w:eastAsia="黑体" w:cs="宋体"/>
                <w:color w:val="auto"/>
                <w:kern w:val="0"/>
                <w:sz w:val="22"/>
                <w:szCs w:val="22"/>
                <w:lang w:eastAsia="zh-CN"/>
              </w:rPr>
              <w:t>，</w:t>
            </w:r>
            <w:r>
              <w:rPr>
                <w:rFonts w:hint="eastAsia" w:ascii="黑体" w:hAnsi="宋体" w:eastAsia="黑体" w:cs="宋体"/>
                <w:color w:val="auto"/>
                <w:kern w:val="0"/>
                <w:sz w:val="22"/>
                <w:szCs w:val="22"/>
                <w:lang w:val="en-US" w:eastAsia="zh-CN"/>
              </w:rPr>
              <w:t>需要修改完善。</w:t>
            </w:r>
          </w:p>
        </w:tc>
      </w:tr>
      <w:tr w14:paraId="6401E801">
        <w:tblPrEx>
          <w:tblCellMar>
            <w:top w:w="0" w:type="dxa"/>
            <w:left w:w="108" w:type="dxa"/>
            <w:bottom w:w="0" w:type="dxa"/>
            <w:right w:w="108" w:type="dxa"/>
          </w:tblCellMar>
        </w:tblPrEx>
        <w:trPr>
          <w:trHeight w:val="728" w:hRule="atLeast"/>
          <w:jc w:val="center"/>
        </w:trPr>
        <w:tc>
          <w:tcPr>
            <w:tcW w:w="1833" w:type="dxa"/>
            <w:vMerge w:val="restart"/>
            <w:tcBorders>
              <w:top w:val="nil"/>
              <w:left w:val="single" w:color="auto" w:sz="4" w:space="0"/>
              <w:right w:val="single" w:color="auto" w:sz="4" w:space="0"/>
            </w:tcBorders>
            <w:vAlign w:val="center"/>
          </w:tcPr>
          <w:p w14:paraId="524C9DC7">
            <w:pPr>
              <w:widowControl/>
              <w:jc w:val="center"/>
              <w:rPr>
                <w:rFonts w:ascii="黑体" w:hAnsi="宋体" w:eastAsia="黑体" w:cs="宋体"/>
                <w:kern w:val="0"/>
                <w:sz w:val="22"/>
                <w:szCs w:val="22"/>
              </w:rPr>
            </w:pPr>
            <w:r>
              <w:rPr>
                <w:rFonts w:hint="eastAsia" w:ascii="黑体" w:hAnsi="宋体" w:eastAsia="黑体" w:cs="宋体"/>
                <w:kern w:val="0"/>
                <w:sz w:val="22"/>
                <w:szCs w:val="22"/>
              </w:rPr>
              <w:t>三、拟废止的规范性文件</w:t>
            </w:r>
          </w:p>
          <w:p w14:paraId="58CE77C4">
            <w:pPr>
              <w:widowControl/>
              <w:jc w:val="center"/>
              <w:rPr>
                <w:rFonts w:ascii="黑体" w:hAnsi="宋体" w:eastAsia="黑体" w:cs="宋体"/>
                <w:kern w:val="0"/>
                <w:sz w:val="22"/>
                <w:szCs w:val="22"/>
              </w:rPr>
            </w:pPr>
            <w:r>
              <w:rPr>
                <w:rFonts w:hint="eastAsia" w:ascii="黑体" w:hAnsi="宋体" w:eastAsia="黑体" w:cs="宋体"/>
                <w:kern w:val="0"/>
                <w:sz w:val="22"/>
                <w:szCs w:val="22"/>
              </w:rPr>
              <w:t>(合计 1</w:t>
            </w:r>
            <w:r>
              <w:rPr>
                <w:rFonts w:hint="eastAsia" w:ascii="黑体" w:hAnsi="宋体" w:eastAsia="黑体" w:cs="宋体"/>
                <w:kern w:val="0"/>
                <w:sz w:val="22"/>
                <w:szCs w:val="22"/>
                <w:lang w:val="en-US" w:eastAsia="zh-CN"/>
              </w:rPr>
              <w:t>5</w:t>
            </w:r>
            <w:r>
              <w:rPr>
                <w:rFonts w:hint="eastAsia" w:ascii="黑体" w:hAnsi="宋体" w:eastAsia="黑体" w:cs="宋体"/>
                <w:kern w:val="0"/>
                <w:sz w:val="22"/>
                <w:szCs w:val="22"/>
              </w:rPr>
              <w:t xml:space="preserve"> 件）</w:t>
            </w:r>
          </w:p>
        </w:tc>
        <w:tc>
          <w:tcPr>
            <w:tcW w:w="840" w:type="dxa"/>
            <w:tcBorders>
              <w:top w:val="nil"/>
              <w:left w:val="nil"/>
              <w:bottom w:val="single" w:color="auto" w:sz="4" w:space="0"/>
              <w:right w:val="single" w:color="auto" w:sz="4" w:space="0"/>
            </w:tcBorders>
            <w:vAlign w:val="center"/>
          </w:tcPr>
          <w:p w14:paraId="155AB23D">
            <w:pPr>
              <w:widowControl/>
              <w:spacing w:line="240" w:lineRule="exact"/>
              <w:jc w:val="left"/>
              <w:rPr>
                <w:rFonts w:hint="eastAsia" w:ascii="黑体" w:hAnsi="宋体" w:eastAsia="黑体" w:cs="宋体"/>
                <w:kern w:val="0"/>
                <w:sz w:val="22"/>
                <w:szCs w:val="22"/>
              </w:rPr>
            </w:pPr>
            <w:r>
              <w:rPr>
                <w:rFonts w:hint="eastAsia" w:ascii="黑体" w:hAnsi="宋体" w:eastAsia="黑体" w:cs="宋体"/>
                <w:kern w:val="0"/>
                <w:sz w:val="22"/>
                <w:szCs w:val="22"/>
              </w:rPr>
              <w:t>序号</w:t>
            </w:r>
          </w:p>
        </w:tc>
        <w:tc>
          <w:tcPr>
            <w:tcW w:w="3337" w:type="dxa"/>
            <w:tcBorders>
              <w:top w:val="nil"/>
              <w:left w:val="nil"/>
              <w:bottom w:val="single" w:color="auto" w:sz="4" w:space="0"/>
              <w:right w:val="single" w:color="auto" w:sz="4" w:space="0"/>
            </w:tcBorders>
            <w:vAlign w:val="center"/>
          </w:tcPr>
          <w:p w14:paraId="318DF1B2">
            <w:pPr>
              <w:widowControl/>
              <w:spacing w:line="240" w:lineRule="exact"/>
              <w:jc w:val="left"/>
              <w:rPr>
                <w:rFonts w:hint="eastAsia" w:ascii="黑体" w:hAnsi="宋体" w:eastAsia="黑体" w:cs="宋体"/>
                <w:color w:val="auto"/>
                <w:kern w:val="0"/>
                <w:sz w:val="22"/>
                <w:szCs w:val="22"/>
              </w:rPr>
            </w:pPr>
            <w:r>
              <w:rPr>
                <w:rFonts w:hint="eastAsia" w:ascii="黑体" w:hAnsi="宋体" w:eastAsia="黑体" w:cs="宋体"/>
                <w:color w:val="auto"/>
                <w:kern w:val="0"/>
                <w:sz w:val="22"/>
                <w:szCs w:val="22"/>
              </w:rPr>
              <w:t>规范性文件名称</w:t>
            </w:r>
          </w:p>
        </w:tc>
        <w:tc>
          <w:tcPr>
            <w:tcW w:w="1215" w:type="dxa"/>
            <w:tcBorders>
              <w:top w:val="nil"/>
              <w:left w:val="nil"/>
              <w:bottom w:val="single" w:color="auto" w:sz="4" w:space="0"/>
              <w:right w:val="single" w:color="auto" w:sz="4" w:space="0"/>
            </w:tcBorders>
            <w:vAlign w:val="center"/>
          </w:tcPr>
          <w:p w14:paraId="1EAA384C">
            <w:pPr>
              <w:widowControl/>
              <w:spacing w:line="240" w:lineRule="exact"/>
              <w:jc w:val="left"/>
              <w:rPr>
                <w:rFonts w:hint="eastAsia" w:ascii="黑体" w:hAnsi="宋体" w:eastAsia="黑体" w:cs="宋体"/>
                <w:color w:val="auto"/>
                <w:kern w:val="0"/>
                <w:sz w:val="22"/>
                <w:szCs w:val="22"/>
              </w:rPr>
            </w:pPr>
            <w:r>
              <w:rPr>
                <w:rFonts w:hint="eastAsia" w:ascii="黑体" w:hAnsi="宋体" w:eastAsia="黑体" w:cs="宋体"/>
                <w:color w:val="auto"/>
                <w:kern w:val="0"/>
                <w:sz w:val="22"/>
                <w:szCs w:val="22"/>
              </w:rPr>
              <w:t>文号</w:t>
            </w:r>
          </w:p>
        </w:tc>
        <w:tc>
          <w:tcPr>
            <w:tcW w:w="1110" w:type="dxa"/>
            <w:tcBorders>
              <w:top w:val="nil"/>
              <w:left w:val="nil"/>
              <w:bottom w:val="single" w:color="auto" w:sz="4" w:space="0"/>
              <w:right w:val="single" w:color="auto" w:sz="4" w:space="0"/>
            </w:tcBorders>
            <w:vAlign w:val="center"/>
          </w:tcPr>
          <w:p w14:paraId="61B5467D">
            <w:pPr>
              <w:widowControl/>
              <w:spacing w:line="240" w:lineRule="exact"/>
              <w:jc w:val="left"/>
              <w:rPr>
                <w:rFonts w:hint="eastAsia" w:ascii="黑体" w:hAnsi="宋体" w:eastAsia="黑体" w:cs="宋体"/>
                <w:color w:val="auto"/>
                <w:kern w:val="0"/>
                <w:sz w:val="22"/>
                <w:szCs w:val="22"/>
              </w:rPr>
            </w:pPr>
            <w:r>
              <w:rPr>
                <w:rFonts w:hint="eastAsia" w:ascii="黑体" w:hAnsi="宋体" w:eastAsia="黑体" w:cs="宋体"/>
                <w:color w:val="auto"/>
                <w:kern w:val="0"/>
                <w:sz w:val="22"/>
                <w:szCs w:val="22"/>
              </w:rPr>
              <w:t>发文日期</w:t>
            </w:r>
          </w:p>
        </w:tc>
        <w:tc>
          <w:tcPr>
            <w:tcW w:w="1988" w:type="dxa"/>
            <w:tcBorders>
              <w:top w:val="nil"/>
              <w:left w:val="nil"/>
              <w:bottom w:val="single" w:color="auto" w:sz="4" w:space="0"/>
              <w:right w:val="single" w:color="auto" w:sz="4" w:space="0"/>
            </w:tcBorders>
            <w:vAlign w:val="center"/>
          </w:tcPr>
          <w:p w14:paraId="3C0148C6">
            <w:pPr>
              <w:widowControl/>
              <w:spacing w:line="240" w:lineRule="exact"/>
              <w:jc w:val="left"/>
              <w:rPr>
                <w:rFonts w:hint="eastAsia" w:ascii="黑体" w:hAnsi="宋体" w:eastAsia="黑体" w:cs="宋体"/>
                <w:color w:val="auto"/>
                <w:kern w:val="0"/>
                <w:sz w:val="22"/>
                <w:szCs w:val="22"/>
              </w:rPr>
            </w:pPr>
            <w:r>
              <w:rPr>
                <w:rFonts w:hint="eastAsia" w:ascii="黑体" w:hAnsi="宋体" w:eastAsia="黑体" w:cs="宋体"/>
                <w:color w:val="auto"/>
                <w:kern w:val="0"/>
                <w:sz w:val="22"/>
                <w:szCs w:val="22"/>
              </w:rPr>
              <w:t>废止的理由和依据</w:t>
            </w:r>
          </w:p>
        </w:tc>
      </w:tr>
      <w:tr w14:paraId="4798FF57">
        <w:tblPrEx>
          <w:tblCellMar>
            <w:top w:w="0" w:type="dxa"/>
            <w:left w:w="108" w:type="dxa"/>
            <w:bottom w:w="0" w:type="dxa"/>
            <w:right w:w="108" w:type="dxa"/>
          </w:tblCellMar>
        </w:tblPrEx>
        <w:trPr>
          <w:trHeight w:val="398" w:hRule="atLeast"/>
          <w:jc w:val="center"/>
        </w:trPr>
        <w:tc>
          <w:tcPr>
            <w:tcW w:w="1833" w:type="dxa"/>
            <w:vMerge w:val="continue"/>
            <w:tcBorders>
              <w:left w:val="single" w:color="auto" w:sz="4" w:space="0"/>
              <w:right w:val="single" w:color="auto" w:sz="4" w:space="0"/>
            </w:tcBorders>
            <w:vAlign w:val="center"/>
          </w:tcPr>
          <w:p w14:paraId="18F3234A">
            <w:pPr>
              <w:widowControl/>
              <w:jc w:val="center"/>
              <w:rPr>
                <w:rFonts w:hint="eastAsia"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2A134065">
            <w:pPr>
              <w:widowControl/>
              <w:jc w:val="center"/>
              <w:rPr>
                <w:rFonts w:hint="eastAsia" w:ascii="黑体" w:hAnsi="宋体" w:eastAsia="黑体" w:cs="宋体"/>
                <w:kern w:val="0"/>
                <w:sz w:val="22"/>
                <w:szCs w:val="22"/>
                <w:lang w:val="en-US" w:eastAsia="zh-CN" w:bidi="ar-SA"/>
              </w:rPr>
            </w:pPr>
            <w:r>
              <w:rPr>
                <w:rFonts w:hint="eastAsia" w:ascii="黑体" w:hAnsi="宋体" w:eastAsia="黑体" w:cs="宋体"/>
                <w:kern w:val="0"/>
                <w:sz w:val="22"/>
                <w:szCs w:val="22"/>
              </w:rPr>
              <w:t>118</w:t>
            </w:r>
          </w:p>
        </w:tc>
        <w:tc>
          <w:tcPr>
            <w:tcW w:w="3337" w:type="dxa"/>
            <w:tcBorders>
              <w:top w:val="nil"/>
              <w:left w:val="nil"/>
              <w:bottom w:val="single" w:color="auto" w:sz="4" w:space="0"/>
              <w:right w:val="single" w:color="auto" w:sz="4" w:space="0"/>
            </w:tcBorders>
            <w:vAlign w:val="center"/>
          </w:tcPr>
          <w:p w14:paraId="21F2F6C7">
            <w:pPr>
              <w:widowControl/>
              <w:spacing w:line="0" w:lineRule="atLeast"/>
              <w:jc w:val="left"/>
              <w:rPr>
                <w:rFonts w:hint="eastAsia" w:ascii="黑体" w:hAnsi="宋体" w:eastAsia="黑体" w:cs="宋体"/>
                <w:color w:val="auto"/>
                <w:kern w:val="0"/>
                <w:sz w:val="22"/>
                <w:szCs w:val="22"/>
                <w:lang w:val="en-US" w:eastAsia="zh-CN" w:bidi="ar-SA"/>
              </w:rPr>
            </w:pPr>
            <w:r>
              <w:rPr>
                <w:rFonts w:hint="eastAsia" w:ascii="黑体" w:hAnsi="宋体" w:eastAsia="黑体" w:cs="宋体"/>
                <w:color w:val="auto"/>
                <w:kern w:val="0"/>
                <w:sz w:val="22"/>
                <w:szCs w:val="22"/>
              </w:rPr>
              <w:t>南昌市人民政府关于建立健全普通本科高校高等职业学校和中等职业学校家庭经济困难学生资助政策体系的意见</w:t>
            </w:r>
          </w:p>
        </w:tc>
        <w:tc>
          <w:tcPr>
            <w:tcW w:w="1215" w:type="dxa"/>
            <w:tcBorders>
              <w:top w:val="nil"/>
              <w:left w:val="nil"/>
              <w:bottom w:val="single" w:color="auto" w:sz="4" w:space="0"/>
              <w:right w:val="single" w:color="auto" w:sz="4" w:space="0"/>
            </w:tcBorders>
            <w:vAlign w:val="center"/>
          </w:tcPr>
          <w:p w14:paraId="2211916E">
            <w:pPr>
              <w:widowControl/>
              <w:spacing w:line="0" w:lineRule="atLeast"/>
              <w:jc w:val="left"/>
              <w:rPr>
                <w:rFonts w:hint="eastAsia" w:ascii="黑体" w:hAnsi="宋体" w:eastAsia="黑体" w:cs="宋体"/>
                <w:color w:val="auto"/>
                <w:kern w:val="0"/>
                <w:sz w:val="22"/>
                <w:szCs w:val="22"/>
                <w:lang w:val="en-US" w:eastAsia="zh-CN" w:bidi="ar-SA"/>
              </w:rPr>
            </w:pPr>
            <w:r>
              <w:rPr>
                <w:rFonts w:ascii="黑体" w:hAnsi="宋体" w:eastAsia="黑体" w:cs="宋体"/>
                <w:color w:val="auto"/>
                <w:kern w:val="0"/>
                <w:sz w:val="22"/>
                <w:szCs w:val="22"/>
              </w:rPr>
              <w:t>洪府发【</w:t>
            </w:r>
            <w:r>
              <w:rPr>
                <w:rFonts w:hint="eastAsia" w:ascii="黑体" w:hAnsi="宋体" w:eastAsia="黑体" w:cs="宋体"/>
                <w:color w:val="auto"/>
                <w:kern w:val="0"/>
                <w:sz w:val="22"/>
                <w:szCs w:val="22"/>
              </w:rPr>
              <w:t>2007】38号</w:t>
            </w:r>
          </w:p>
        </w:tc>
        <w:tc>
          <w:tcPr>
            <w:tcW w:w="1110" w:type="dxa"/>
            <w:tcBorders>
              <w:top w:val="nil"/>
              <w:left w:val="nil"/>
              <w:bottom w:val="single" w:color="auto" w:sz="4" w:space="0"/>
              <w:right w:val="single" w:color="auto" w:sz="4" w:space="0"/>
            </w:tcBorders>
            <w:vAlign w:val="center"/>
          </w:tcPr>
          <w:p w14:paraId="77659B0C">
            <w:pPr>
              <w:widowControl/>
              <w:spacing w:line="0" w:lineRule="atLeast"/>
              <w:jc w:val="left"/>
              <w:rPr>
                <w:rFonts w:hint="eastAsia" w:ascii="黑体" w:hAnsi="宋体" w:eastAsia="黑体" w:cs="宋体"/>
                <w:color w:val="auto"/>
                <w:kern w:val="0"/>
                <w:sz w:val="22"/>
                <w:szCs w:val="22"/>
                <w:lang w:val="en-US" w:eastAsia="zh-CN" w:bidi="ar-SA"/>
              </w:rPr>
            </w:pPr>
            <w:r>
              <w:rPr>
                <w:rFonts w:hint="eastAsia" w:ascii="黑体" w:hAnsi="宋体" w:eastAsia="黑体" w:cs="宋体"/>
                <w:color w:val="auto"/>
                <w:kern w:val="0"/>
                <w:sz w:val="22"/>
                <w:szCs w:val="22"/>
              </w:rPr>
              <w:t>2007.10.25</w:t>
            </w:r>
          </w:p>
        </w:tc>
        <w:tc>
          <w:tcPr>
            <w:tcW w:w="1988" w:type="dxa"/>
            <w:tcBorders>
              <w:top w:val="nil"/>
              <w:left w:val="nil"/>
              <w:bottom w:val="single" w:color="auto" w:sz="4" w:space="0"/>
              <w:right w:val="single" w:color="auto" w:sz="4" w:space="0"/>
            </w:tcBorders>
            <w:vAlign w:val="center"/>
          </w:tcPr>
          <w:p w14:paraId="7F569886">
            <w:pPr>
              <w:widowControl/>
              <w:spacing w:line="0" w:lineRule="atLeast"/>
              <w:jc w:val="left"/>
              <w:rPr>
                <w:rFonts w:hint="eastAsia" w:ascii="黑体" w:hAnsi="宋体" w:eastAsia="黑体" w:cs="宋体"/>
                <w:color w:val="auto"/>
                <w:kern w:val="0"/>
                <w:sz w:val="22"/>
                <w:szCs w:val="22"/>
                <w:lang w:val="en-US" w:eastAsia="zh-CN" w:bidi="ar-SA"/>
              </w:rPr>
            </w:pPr>
            <w:r>
              <w:rPr>
                <w:rFonts w:hint="eastAsia" w:ascii="黑体" w:hAnsi="宋体" w:eastAsia="黑体" w:cs="宋体"/>
                <w:color w:val="auto"/>
                <w:kern w:val="0"/>
                <w:sz w:val="22"/>
                <w:szCs w:val="22"/>
              </w:rPr>
              <w:t>此文件部分内容的资助标准和资金分担比例已与实际有所不同，</w:t>
            </w:r>
            <w:r>
              <w:rPr>
                <w:rFonts w:ascii="黑体" w:hAnsi="宋体" w:eastAsia="黑体" w:cs="宋体"/>
                <w:color w:val="auto"/>
                <w:kern w:val="0"/>
                <w:sz w:val="22"/>
                <w:szCs w:val="22"/>
              </w:rPr>
              <w:t xml:space="preserve"> 省厅现已出台《江西省学生资助资金管理办法》（赣财教【</w:t>
            </w:r>
            <w:r>
              <w:rPr>
                <w:rFonts w:hint="eastAsia" w:ascii="黑体" w:hAnsi="宋体" w:eastAsia="黑体" w:cs="宋体"/>
                <w:color w:val="auto"/>
                <w:kern w:val="0"/>
                <w:sz w:val="22"/>
                <w:szCs w:val="22"/>
              </w:rPr>
              <w:t>2023】2号）对学生资助进行规范。</w:t>
            </w:r>
          </w:p>
        </w:tc>
      </w:tr>
      <w:tr w14:paraId="27774207">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515DA0F4">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30E0CDE9">
            <w:pPr>
              <w:widowControl/>
              <w:jc w:val="center"/>
              <w:rPr>
                <w:rFonts w:ascii="黑体" w:hAnsi="宋体" w:eastAsia="黑体" w:cs="宋体"/>
                <w:kern w:val="0"/>
                <w:sz w:val="22"/>
                <w:szCs w:val="22"/>
              </w:rPr>
            </w:pPr>
            <w:r>
              <w:rPr>
                <w:rFonts w:hint="eastAsia" w:ascii="黑体" w:hAnsi="宋体" w:eastAsia="黑体" w:cs="宋体"/>
                <w:kern w:val="0"/>
                <w:sz w:val="22"/>
                <w:szCs w:val="22"/>
              </w:rPr>
              <w:t>134</w:t>
            </w:r>
          </w:p>
        </w:tc>
        <w:tc>
          <w:tcPr>
            <w:tcW w:w="3337" w:type="dxa"/>
            <w:tcBorders>
              <w:top w:val="nil"/>
              <w:left w:val="nil"/>
              <w:bottom w:val="single" w:color="auto" w:sz="4" w:space="0"/>
              <w:right w:val="single" w:color="auto" w:sz="4" w:space="0"/>
            </w:tcBorders>
            <w:vAlign w:val="center"/>
          </w:tcPr>
          <w:p w14:paraId="26DD5CEA">
            <w:pPr>
              <w:widowControl/>
              <w:spacing w:line="0" w:lineRule="atLeast"/>
              <w:rPr>
                <w:rFonts w:ascii="黑体" w:hAnsi="宋体" w:eastAsia="黑体" w:cs="宋体"/>
                <w:color w:val="auto"/>
                <w:kern w:val="0"/>
                <w:sz w:val="22"/>
                <w:szCs w:val="22"/>
              </w:rPr>
            </w:pPr>
            <w:r>
              <w:rPr>
                <w:rFonts w:hint="eastAsia" w:ascii="黑体" w:hAnsi="宋体" w:eastAsia="黑体" w:cs="宋体"/>
                <w:color w:val="auto"/>
                <w:kern w:val="0"/>
                <w:sz w:val="22"/>
                <w:szCs w:val="22"/>
              </w:rPr>
              <w:t>南昌市人民政府办公厅关于印发南昌市学前教育财政奖补资金使用管理办法（试行）的通知》</w:t>
            </w:r>
          </w:p>
        </w:tc>
        <w:tc>
          <w:tcPr>
            <w:tcW w:w="1215" w:type="dxa"/>
            <w:tcBorders>
              <w:top w:val="nil"/>
              <w:left w:val="nil"/>
              <w:bottom w:val="single" w:color="auto" w:sz="4" w:space="0"/>
              <w:right w:val="single" w:color="auto" w:sz="4" w:space="0"/>
            </w:tcBorders>
            <w:vAlign w:val="center"/>
          </w:tcPr>
          <w:p w14:paraId="7D71BA3F">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洪府厅发[2014]4号</w:t>
            </w:r>
          </w:p>
        </w:tc>
        <w:tc>
          <w:tcPr>
            <w:tcW w:w="1110" w:type="dxa"/>
            <w:tcBorders>
              <w:top w:val="nil"/>
              <w:left w:val="nil"/>
              <w:bottom w:val="single" w:color="auto" w:sz="4" w:space="0"/>
              <w:right w:val="single" w:color="auto" w:sz="4" w:space="0"/>
            </w:tcBorders>
            <w:vAlign w:val="center"/>
          </w:tcPr>
          <w:p w14:paraId="3F16BA55">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2014.01.22</w:t>
            </w:r>
          </w:p>
        </w:tc>
        <w:tc>
          <w:tcPr>
            <w:tcW w:w="1988" w:type="dxa"/>
            <w:tcBorders>
              <w:top w:val="nil"/>
              <w:left w:val="nil"/>
              <w:bottom w:val="single" w:color="auto" w:sz="4" w:space="0"/>
              <w:right w:val="single" w:color="auto" w:sz="4" w:space="0"/>
            </w:tcBorders>
            <w:vAlign w:val="center"/>
          </w:tcPr>
          <w:p w14:paraId="67C5A73F">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已被2017年修订的《南昌市人民政府办公厅关于印发南昌市学前教育专项奖补资金使用管理办法的通知》取代</w:t>
            </w:r>
          </w:p>
        </w:tc>
      </w:tr>
      <w:tr w14:paraId="20E9C4F2">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5CA8B2DF">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633345D8">
            <w:pPr>
              <w:widowControl/>
              <w:jc w:val="center"/>
              <w:rPr>
                <w:rFonts w:ascii="黑体" w:hAnsi="宋体" w:eastAsia="黑体" w:cs="宋体"/>
                <w:kern w:val="0"/>
                <w:sz w:val="22"/>
                <w:szCs w:val="22"/>
              </w:rPr>
            </w:pPr>
            <w:r>
              <w:rPr>
                <w:rFonts w:hint="eastAsia" w:ascii="黑体" w:hAnsi="宋体" w:eastAsia="黑体" w:cs="宋体"/>
                <w:kern w:val="0"/>
                <w:sz w:val="22"/>
                <w:szCs w:val="22"/>
              </w:rPr>
              <w:t>139</w:t>
            </w:r>
          </w:p>
        </w:tc>
        <w:tc>
          <w:tcPr>
            <w:tcW w:w="3337" w:type="dxa"/>
            <w:tcBorders>
              <w:top w:val="nil"/>
              <w:left w:val="nil"/>
              <w:bottom w:val="single" w:color="auto" w:sz="4" w:space="0"/>
              <w:right w:val="single" w:color="auto" w:sz="4" w:space="0"/>
            </w:tcBorders>
            <w:vAlign w:val="center"/>
          </w:tcPr>
          <w:p w14:paraId="65889FC8">
            <w:pPr>
              <w:widowControl/>
              <w:spacing w:line="0" w:lineRule="atLeast"/>
              <w:rPr>
                <w:rFonts w:ascii="黑体" w:hAnsi="宋体" w:eastAsia="黑体" w:cs="宋体"/>
                <w:color w:val="auto"/>
                <w:kern w:val="0"/>
                <w:sz w:val="22"/>
                <w:szCs w:val="22"/>
              </w:rPr>
            </w:pPr>
            <w:r>
              <w:rPr>
                <w:rFonts w:hint="eastAsia" w:ascii="黑体" w:hAnsi="宋体" w:eastAsia="黑体" w:cs="宋体"/>
                <w:color w:val="auto"/>
                <w:kern w:val="0"/>
                <w:sz w:val="22"/>
                <w:szCs w:val="22"/>
              </w:rPr>
              <w:t>南昌市人民政府办公厅关于印发南昌市学前教育专项奖补资金使用管理办法的通知</w:t>
            </w:r>
          </w:p>
        </w:tc>
        <w:tc>
          <w:tcPr>
            <w:tcW w:w="1215" w:type="dxa"/>
            <w:tcBorders>
              <w:top w:val="nil"/>
              <w:left w:val="nil"/>
              <w:bottom w:val="single" w:color="auto" w:sz="4" w:space="0"/>
              <w:right w:val="single" w:color="auto" w:sz="4" w:space="0"/>
            </w:tcBorders>
            <w:vAlign w:val="center"/>
          </w:tcPr>
          <w:p w14:paraId="4C7613D3">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洪府厅发〔2017〕86号</w:t>
            </w:r>
          </w:p>
        </w:tc>
        <w:tc>
          <w:tcPr>
            <w:tcW w:w="1110" w:type="dxa"/>
            <w:tcBorders>
              <w:top w:val="nil"/>
              <w:left w:val="nil"/>
              <w:bottom w:val="single" w:color="auto" w:sz="4" w:space="0"/>
              <w:right w:val="single" w:color="auto" w:sz="4" w:space="0"/>
            </w:tcBorders>
            <w:vAlign w:val="center"/>
          </w:tcPr>
          <w:p w14:paraId="15B6EDFF">
            <w:pPr>
              <w:widowControl/>
              <w:spacing w:line="0" w:lineRule="atLeast"/>
              <w:jc w:val="left"/>
              <w:rPr>
                <w:rFonts w:ascii="黑体" w:hAnsi="宋体" w:eastAsia="黑体" w:cs="宋体"/>
                <w:color w:val="auto"/>
                <w:kern w:val="0"/>
                <w:sz w:val="22"/>
                <w:szCs w:val="22"/>
              </w:rPr>
            </w:pPr>
            <w:r>
              <w:rPr>
                <w:rFonts w:ascii="黑体" w:hAnsi="宋体" w:eastAsia="黑体" w:cs="宋体"/>
                <w:color w:val="auto"/>
                <w:kern w:val="0"/>
                <w:sz w:val="22"/>
                <w:szCs w:val="22"/>
              </w:rPr>
              <w:t>2017</w:t>
            </w:r>
            <w:r>
              <w:rPr>
                <w:rFonts w:hint="eastAsia" w:ascii="黑体" w:hAnsi="宋体" w:eastAsia="黑体" w:cs="宋体"/>
                <w:color w:val="auto"/>
                <w:kern w:val="0"/>
                <w:sz w:val="22"/>
                <w:szCs w:val="22"/>
              </w:rPr>
              <w:t>.</w:t>
            </w:r>
            <w:r>
              <w:rPr>
                <w:rFonts w:ascii="黑体" w:hAnsi="宋体" w:eastAsia="黑体" w:cs="宋体"/>
                <w:color w:val="auto"/>
                <w:kern w:val="0"/>
                <w:sz w:val="22"/>
                <w:szCs w:val="22"/>
              </w:rPr>
              <w:t>7</w:t>
            </w:r>
            <w:r>
              <w:rPr>
                <w:rFonts w:hint="eastAsia" w:ascii="黑体" w:hAnsi="宋体" w:eastAsia="黑体" w:cs="宋体"/>
                <w:color w:val="auto"/>
                <w:kern w:val="0"/>
                <w:sz w:val="22"/>
                <w:szCs w:val="22"/>
              </w:rPr>
              <w:t>.</w:t>
            </w:r>
            <w:r>
              <w:rPr>
                <w:rFonts w:ascii="黑体" w:hAnsi="宋体" w:eastAsia="黑体" w:cs="宋体"/>
                <w:color w:val="auto"/>
                <w:kern w:val="0"/>
                <w:sz w:val="22"/>
                <w:szCs w:val="22"/>
              </w:rPr>
              <w:t>25</w:t>
            </w:r>
          </w:p>
        </w:tc>
        <w:tc>
          <w:tcPr>
            <w:tcW w:w="1988" w:type="dxa"/>
            <w:tcBorders>
              <w:top w:val="nil"/>
              <w:left w:val="nil"/>
              <w:bottom w:val="single" w:color="auto" w:sz="4" w:space="0"/>
              <w:right w:val="single" w:color="auto" w:sz="4" w:space="0"/>
            </w:tcBorders>
            <w:vAlign w:val="center"/>
          </w:tcPr>
          <w:p w14:paraId="3C795D77">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已被2020年修订的《南昌市财政局 南昌市教育局关于印发学前教育发展专项资金使用管理办法的通知》取代</w:t>
            </w:r>
          </w:p>
        </w:tc>
      </w:tr>
      <w:tr w14:paraId="3C56C51C">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494B7B88">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71EEC8A7">
            <w:pPr>
              <w:widowControl/>
              <w:jc w:val="center"/>
              <w:rPr>
                <w:rFonts w:ascii="黑体" w:hAnsi="宋体" w:eastAsia="黑体" w:cs="宋体"/>
                <w:kern w:val="0"/>
                <w:sz w:val="22"/>
                <w:szCs w:val="22"/>
              </w:rPr>
            </w:pPr>
            <w:r>
              <w:rPr>
                <w:rFonts w:hint="eastAsia" w:ascii="黑体" w:hAnsi="宋体" w:eastAsia="黑体" w:cs="宋体"/>
                <w:kern w:val="0"/>
                <w:sz w:val="22"/>
                <w:szCs w:val="22"/>
              </w:rPr>
              <w:t>143</w:t>
            </w:r>
          </w:p>
        </w:tc>
        <w:tc>
          <w:tcPr>
            <w:tcW w:w="3337" w:type="dxa"/>
            <w:tcBorders>
              <w:top w:val="nil"/>
              <w:left w:val="nil"/>
              <w:bottom w:val="single" w:color="auto" w:sz="4" w:space="0"/>
              <w:right w:val="single" w:color="auto" w:sz="4" w:space="0"/>
            </w:tcBorders>
            <w:vAlign w:val="center"/>
          </w:tcPr>
          <w:p w14:paraId="586D581C">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南昌市人民政府办公厅关于印发南昌市深化义务教育经费保障机制改革实施办法的通知</w:t>
            </w:r>
          </w:p>
        </w:tc>
        <w:tc>
          <w:tcPr>
            <w:tcW w:w="1215" w:type="dxa"/>
            <w:tcBorders>
              <w:top w:val="nil"/>
              <w:left w:val="nil"/>
              <w:bottom w:val="single" w:color="auto" w:sz="4" w:space="0"/>
              <w:right w:val="single" w:color="auto" w:sz="4" w:space="0"/>
            </w:tcBorders>
            <w:vAlign w:val="center"/>
          </w:tcPr>
          <w:p w14:paraId="0D8B70ED">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洪府厅发[2007]20号</w:t>
            </w:r>
          </w:p>
        </w:tc>
        <w:tc>
          <w:tcPr>
            <w:tcW w:w="1110" w:type="dxa"/>
            <w:tcBorders>
              <w:top w:val="nil"/>
              <w:left w:val="nil"/>
              <w:bottom w:val="single" w:color="auto" w:sz="4" w:space="0"/>
              <w:right w:val="single" w:color="auto" w:sz="4" w:space="0"/>
            </w:tcBorders>
            <w:vAlign w:val="center"/>
          </w:tcPr>
          <w:p w14:paraId="20054685">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2007.2.16</w:t>
            </w:r>
          </w:p>
        </w:tc>
        <w:tc>
          <w:tcPr>
            <w:tcW w:w="1988" w:type="dxa"/>
            <w:tcBorders>
              <w:top w:val="nil"/>
              <w:left w:val="nil"/>
              <w:bottom w:val="single" w:color="auto" w:sz="4" w:space="0"/>
              <w:right w:val="single" w:color="auto" w:sz="4" w:space="0"/>
            </w:tcBorders>
            <w:vAlign w:val="center"/>
          </w:tcPr>
          <w:p w14:paraId="66A46445">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lang w:eastAsia="zh-CN"/>
              </w:rPr>
              <w:t>已</w:t>
            </w:r>
            <w:r>
              <w:rPr>
                <w:rFonts w:hint="eastAsia" w:ascii="黑体" w:hAnsi="宋体" w:eastAsia="黑体" w:cs="宋体"/>
                <w:color w:val="auto"/>
                <w:kern w:val="0"/>
                <w:sz w:val="22"/>
                <w:szCs w:val="22"/>
              </w:rPr>
              <w:t>被《江西省城乡义务教育补助经费管理办法》（赣财教〔2021〕24 号）取代</w:t>
            </w:r>
          </w:p>
        </w:tc>
      </w:tr>
      <w:tr w14:paraId="7B980EB1">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49556C69">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184D3B26">
            <w:pPr>
              <w:widowControl/>
              <w:jc w:val="center"/>
              <w:rPr>
                <w:rFonts w:ascii="黑体" w:hAnsi="宋体" w:eastAsia="黑体" w:cs="宋体"/>
                <w:kern w:val="0"/>
                <w:sz w:val="22"/>
                <w:szCs w:val="22"/>
              </w:rPr>
            </w:pPr>
            <w:r>
              <w:rPr>
                <w:rFonts w:hint="eastAsia" w:ascii="黑体" w:hAnsi="宋体" w:eastAsia="黑体" w:cs="宋体"/>
                <w:kern w:val="0"/>
                <w:sz w:val="22"/>
                <w:szCs w:val="22"/>
              </w:rPr>
              <w:t>123</w:t>
            </w:r>
          </w:p>
        </w:tc>
        <w:tc>
          <w:tcPr>
            <w:tcW w:w="3337" w:type="dxa"/>
            <w:tcBorders>
              <w:top w:val="nil"/>
              <w:left w:val="nil"/>
              <w:bottom w:val="single" w:color="auto" w:sz="4" w:space="0"/>
              <w:right w:val="single" w:color="auto" w:sz="4" w:space="0"/>
            </w:tcBorders>
            <w:vAlign w:val="center"/>
          </w:tcPr>
          <w:p w14:paraId="2441A3EB">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南昌市人民政府办公厅转发市教委关于积极鼓励民间办学实施办法的通知</w:t>
            </w:r>
          </w:p>
        </w:tc>
        <w:tc>
          <w:tcPr>
            <w:tcW w:w="1215" w:type="dxa"/>
            <w:tcBorders>
              <w:top w:val="nil"/>
              <w:left w:val="nil"/>
              <w:bottom w:val="single" w:color="auto" w:sz="4" w:space="0"/>
              <w:right w:val="single" w:color="auto" w:sz="4" w:space="0"/>
            </w:tcBorders>
            <w:vAlign w:val="center"/>
          </w:tcPr>
          <w:p w14:paraId="23B238F6">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洪府厅发[1999]40号</w:t>
            </w:r>
          </w:p>
        </w:tc>
        <w:tc>
          <w:tcPr>
            <w:tcW w:w="1110" w:type="dxa"/>
            <w:tcBorders>
              <w:top w:val="nil"/>
              <w:left w:val="nil"/>
              <w:bottom w:val="single" w:color="auto" w:sz="4" w:space="0"/>
              <w:right w:val="single" w:color="auto" w:sz="4" w:space="0"/>
            </w:tcBorders>
            <w:vAlign w:val="center"/>
          </w:tcPr>
          <w:p w14:paraId="0906EBE6">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1999.8.31</w:t>
            </w:r>
          </w:p>
        </w:tc>
        <w:tc>
          <w:tcPr>
            <w:tcW w:w="1988" w:type="dxa"/>
            <w:tcBorders>
              <w:top w:val="nil"/>
              <w:left w:val="nil"/>
              <w:bottom w:val="single" w:color="auto" w:sz="4" w:space="0"/>
              <w:right w:val="single" w:color="auto" w:sz="4" w:space="0"/>
            </w:tcBorders>
            <w:vAlign w:val="center"/>
          </w:tcPr>
          <w:p w14:paraId="2B8D170B">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已被2021年11月印发《江西省规范民办义务教育发展专项工作方案》（〔2021〕9号）取代</w:t>
            </w:r>
          </w:p>
        </w:tc>
      </w:tr>
      <w:tr w14:paraId="1A2E435F">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1994822F">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3152869C">
            <w:pPr>
              <w:widowControl/>
              <w:jc w:val="center"/>
              <w:rPr>
                <w:rFonts w:ascii="黑体" w:hAnsi="宋体" w:eastAsia="黑体" w:cs="宋体"/>
                <w:kern w:val="0"/>
                <w:sz w:val="22"/>
                <w:szCs w:val="22"/>
              </w:rPr>
            </w:pPr>
            <w:r>
              <w:rPr>
                <w:rFonts w:hint="eastAsia" w:ascii="黑体" w:hAnsi="宋体" w:eastAsia="黑体" w:cs="宋体"/>
                <w:kern w:val="0"/>
                <w:sz w:val="22"/>
                <w:szCs w:val="22"/>
              </w:rPr>
              <w:t>128</w:t>
            </w:r>
          </w:p>
        </w:tc>
        <w:tc>
          <w:tcPr>
            <w:tcW w:w="3337" w:type="dxa"/>
            <w:tcBorders>
              <w:top w:val="nil"/>
              <w:left w:val="nil"/>
              <w:bottom w:val="single" w:color="auto" w:sz="4" w:space="0"/>
              <w:right w:val="single" w:color="auto" w:sz="4" w:space="0"/>
            </w:tcBorders>
            <w:vAlign w:val="center"/>
          </w:tcPr>
          <w:p w14:paraId="28EB98C9">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南昌市人民政府办公厅印发关于鼓励城区加快示范性九年一贯制义务教育学校建设的实施意见的通知</w:t>
            </w:r>
          </w:p>
        </w:tc>
        <w:tc>
          <w:tcPr>
            <w:tcW w:w="1215" w:type="dxa"/>
            <w:tcBorders>
              <w:top w:val="nil"/>
              <w:left w:val="nil"/>
              <w:bottom w:val="single" w:color="auto" w:sz="4" w:space="0"/>
              <w:right w:val="single" w:color="auto" w:sz="4" w:space="0"/>
            </w:tcBorders>
            <w:vAlign w:val="center"/>
          </w:tcPr>
          <w:p w14:paraId="525CB9AF">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洪府厅发[2007]156号</w:t>
            </w:r>
          </w:p>
        </w:tc>
        <w:tc>
          <w:tcPr>
            <w:tcW w:w="1110" w:type="dxa"/>
            <w:tcBorders>
              <w:top w:val="nil"/>
              <w:left w:val="nil"/>
              <w:bottom w:val="single" w:color="auto" w:sz="4" w:space="0"/>
              <w:right w:val="single" w:color="auto" w:sz="4" w:space="0"/>
            </w:tcBorders>
            <w:vAlign w:val="center"/>
          </w:tcPr>
          <w:p w14:paraId="43D5F66E">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2007.10.9</w:t>
            </w:r>
          </w:p>
        </w:tc>
        <w:tc>
          <w:tcPr>
            <w:tcW w:w="1988" w:type="dxa"/>
            <w:tcBorders>
              <w:top w:val="nil"/>
              <w:left w:val="nil"/>
              <w:bottom w:val="single" w:color="auto" w:sz="4" w:space="0"/>
              <w:right w:val="single" w:color="auto" w:sz="4" w:space="0"/>
            </w:tcBorders>
            <w:vAlign w:val="center"/>
          </w:tcPr>
          <w:p w14:paraId="485EC3EB">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被《南昌市人民政府办公厅印发关于鼓励城区加快义务教育学校建设的实施意见的通知》（洪府厅发〔2014〕17号）替代</w:t>
            </w:r>
          </w:p>
        </w:tc>
      </w:tr>
      <w:tr w14:paraId="252DB38D">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3D1FC4A0">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6F53B057">
            <w:pPr>
              <w:widowControl/>
              <w:jc w:val="center"/>
              <w:rPr>
                <w:rFonts w:ascii="黑体" w:hAnsi="宋体" w:eastAsia="黑体" w:cs="宋体"/>
                <w:kern w:val="0"/>
                <w:sz w:val="22"/>
                <w:szCs w:val="22"/>
              </w:rPr>
            </w:pPr>
            <w:r>
              <w:rPr>
                <w:rFonts w:hint="eastAsia" w:ascii="黑体" w:hAnsi="宋体" w:eastAsia="黑体" w:cs="宋体"/>
                <w:kern w:val="0"/>
                <w:sz w:val="22"/>
                <w:szCs w:val="22"/>
              </w:rPr>
              <w:t>130</w:t>
            </w:r>
          </w:p>
        </w:tc>
        <w:tc>
          <w:tcPr>
            <w:tcW w:w="3337" w:type="dxa"/>
            <w:tcBorders>
              <w:top w:val="nil"/>
              <w:left w:val="nil"/>
              <w:bottom w:val="single" w:color="auto" w:sz="4" w:space="0"/>
              <w:right w:val="single" w:color="auto" w:sz="4" w:space="0"/>
            </w:tcBorders>
            <w:vAlign w:val="center"/>
          </w:tcPr>
          <w:p w14:paraId="225BE896">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南昌市人民政府办公厅关于印发进一步推进县区农村中小学基础设施均衡发展实施意见的通知</w:t>
            </w:r>
          </w:p>
        </w:tc>
        <w:tc>
          <w:tcPr>
            <w:tcW w:w="1215" w:type="dxa"/>
            <w:tcBorders>
              <w:top w:val="nil"/>
              <w:left w:val="nil"/>
              <w:bottom w:val="single" w:color="auto" w:sz="4" w:space="0"/>
              <w:right w:val="single" w:color="auto" w:sz="4" w:space="0"/>
            </w:tcBorders>
            <w:vAlign w:val="center"/>
          </w:tcPr>
          <w:p w14:paraId="67615905">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洪府厅发[2008]68号</w:t>
            </w:r>
          </w:p>
        </w:tc>
        <w:tc>
          <w:tcPr>
            <w:tcW w:w="1110" w:type="dxa"/>
            <w:tcBorders>
              <w:top w:val="nil"/>
              <w:left w:val="nil"/>
              <w:bottom w:val="single" w:color="auto" w:sz="4" w:space="0"/>
              <w:right w:val="single" w:color="auto" w:sz="4" w:space="0"/>
            </w:tcBorders>
            <w:vAlign w:val="center"/>
          </w:tcPr>
          <w:p w14:paraId="4F78F200">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2008.6.16</w:t>
            </w:r>
          </w:p>
        </w:tc>
        <w:tc>
          <w:tcPr>
            <w:tcW w:w="1988" w:type="dxa"/>
            <w:tcBorders>
              <w:top w:val="nil"/>
              <w:left w:val="nil"/>
              <w:bottom w:val="single" w:color="auto" w:sz="4" w:space="0"/>
              <w:right w:val="single" w:color="auto" w:sz="4" w:space="0"/>
            </w:tcBorders>
            <w:vAlign w:val="center"/>
          </w:tcPr>
          <w:p w14:paraId="0BB5C79E">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被《南昌市人民政府办公厅印发关于加快我市县区农村中小学基础设施建设均衡发展实施意见的通知》（洪府厅发〔2012〕79号）替代</w:t>
            </w:r>
          </w:p>
        </w:tc>
      </w:tr>
      <w:tr w14:paraId="7E07EF87">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773A251B">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679B8919">
            <w:pPr>
              <w:widowControl/>
              <w:jc w:val="center"/>
              <w:rPr>
                <w:rFonts w:ascii="黑体" w:hAnsi="宋体" w:eastAsia="黑体" w:cs="宋体"/>
                <w:kern w:val="0"/>
                <w:sz w:val="22"/>
                <w:szCs w:val="22"/>
              </w:rPr>
            </w:pPr>
            <w:r>
              <w:rPr>
                <w:rFonts w:hint="eastAsia" w:ascii="黑体" w:hAnsi="宋体" w:eastAsia="黑体" w:cs="宋体"/>
                <w:kern w:val="0"/>
                <w:sz w:val="22"/>
                <w:szCs w:val="22"/>
              </w:rPr>
              <w:t>136</w:t>
            </w:r>
          </w:p>
        </w:tc>
        <w:tc>
          <w:tcPr>
            <w:tcW w:w="3337" w:type="dxa"/>
            <w:tcBorders>
              <w:top w:val="nil"/>
              <w:left w:val="nil"/>
              <w:bottom w:val="single" w:color="auto" w:sz="4" w:space="0"/>
              <w:right w:val="single" w:color="auto" w:sz="4" w:space="0"/>
            </w:tcBorders>
            <w:vAlign w:val="center"/>
          </w:tcPr>
          <w:p w14:paraId="67B0EC5D">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南昌市人民政府办公厅关于转发市教育局等部门全市普通高中新课程实验实施方案的通知</w:t>
            </w:r>
          </w:p>
        </w:tc>
        <w:tc>
          <w:tcPr>
            <w:tcW w:w="1215" w:type="dxa"/>
            <w:tcBorders>
              <w:top w:val="nil"/>
              <w:left w:val="nil"/>
              <w:bottom w:val="single" w:color="auto" w:sz="4" w:space="0"/>
              <w:right w:val="single" w:color="auto" w:sz="4" w:space="0"/>
            </w:tcBorders>
            <w:vAlign w:val="center"/>
          </w:tcPr>
          <w:p w14:paraId="4B3EF575">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洪府厅发〔2008〕55号</w:t>
            </w:r>
          </w:p>
        </w:tc>
        <w:tc>
          <w:tcPr>
            <w:tcW w:w="1110" w:type="dxa"/>
            <w:tcBorders>
              <w:top w:val="nil"/>
              <w:left w:val="nil"/>
              <w:bottom w:val="single" w:color="auto" w:sz="4" w:space="0"/>
              <w:right w:val="single" w:color="auto" w:sz="4" w:space="0"/>
            </w:tcBorders>
            <w:vAlign w:val="center"/>
          </w:tcPr>
          <w:p w14:paraId="7C0EC8A4">
            <w:pPr>
              <w:widowControl/>
              <w:spacing w:line="0" w:lineRule="atLeast"/>
              <w:jc w:val="left"/>
              <w:rPr>
                <w:rFonts w:ascii="黑体" w:hAnsi="宋体" w:eastAsia="黑体" w:cs="宋体"/>
                <w:color w:val="auto"/>
                <w:kern w:val="0"/>
                <w:sz w:val="22"/>
                <w:szCs w:val="22"/>
              </w:rPr>
            </w:pPr>
          </w:p>
        </w:tc>
        <w:tc>
          <w:tcPr>
            <w:tcW w:w="1988" w:type="dxa"/>
            <w:tcBorders>
              <w:top w:val="nil"/>
              <w:left w:val="nil"/>
              <w:bottom w:val="single" w:color="auto" w:sz="4" w:space="0"/>
              <w:right w:val="single" w:color="auto" w:sz="4" w:space="0"/>
            </w:tcBorders>
            <w:vAlign w:val="center"/>
          </w:tcPr>
          <w:p w14:paraId="69E13C59">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已被2021年印发《南昌市普通高中新课程实施工作意见》取代</w:t>
            </w:r>
          </w:p>
        </w:tc>
      </w:tr>
      <w:tr w14:paraId="51ACD98A">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184FD1EB">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6751C3A5">
            <w:pPr>
              <w:widowControl/>
              <w:jc w:val="center"/>
              <w:rPr>
                <w:rFonts w:ascii="黑体" w:hAnsi="宋体" w:eastAsia="黑体" w:cs="宋体"/>
                <w:kern w:val="0"/>
                <w:sz w:val="22"/>
                <w:szCs w:val="22"/>
              </w:rPr>
            </w:pPr>
            <w:r>
              <w:rPr>
                <w:rFonts w:hint="eastAsia" w:ascii="黑体" w:hAnsi="宋体" w:eastAsia="黑体" w:cs="宋体"/>
                <w:kern w:val="0"/>
                <w:sz w:val="22"/>
                <w:szCs w:val="22"/>
              </w:rPr>
              <w:t>137</w:t>
            </w:r>
          </w:p>
        </w:tc>
        <w:tc>
          <w:tcPr>
            <w:tcW w:w="3337" w:type="dxa"/>
            <w:tcBorders>
              <w:top w:val="nil"/>
              <w:left w:val="nil"/>
              <w:bottom w:val="single" w:color="auto" w:sz="4" w:space="0"/>
              <w:right w:val="single" w:color="auto" w:sz="4" w:space="0"/>
            </w:tcBorders>
            <w:vAlign w:val="center"/>
          </w:tcPr>
          <w:p w14:paraId="63827C49">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南昌市人民政府办公厅转发市教育局等部门关于进一步加强南昌市学校体育工作实施意见的通知</w:t>
            </w:r>
          </w:p>
        </w:tc>
        <w:tc>
          <w:tcPr>
            <w:tcW w:w="1215" w:type="dxa"/>
            <w:tcBorders>
              <w:top w:val="nil"/>
              <w:left w:val="nil"/>
              <w:bottom w:val="single" w:color="auto" w:sz="4" w:space="0"/>
              <w:right w:val="single" w:color="auto" w:sz="4" w:space="0"/>
            </w:tcBorders>
            <w:vAlign w:val="center"/>
          </w:tcPr>
          <w:p w14:paraId="1185663E">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洪府厅发〔2013〕60号</w:t>
            </w:r>
          </w:p>
        </w:tc>
        <w:tc>
          <w:tcPr>
            <w:tcW w:w="1110" w:type="dxa"/>
            <w:tcBorders>
              <w:top w:val="nil"/>
              <w:left w:val="nil"/>
              <w:bottom w:val="single" w:color="auto" w:sz="4" w:space="0"/>
              <w:right w:val="single" w:color="auto" w:sz="4" w:space="0"/>
            </w:tcBorders>
            <w:vAlign w:val="center"/>
          </w:tcPr>
          <w:p w14:paraId="733044EA">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2013.07.25</w:t>
            </w:r>
          </w:p>
        </w:tc>
        <w:tc>
          <w:tcPr>
            <w:tcW w:w="1988" w:type="dxa"/>
            <w:tcBorders>
              <w:top w:val="nil"/>
              <w:left w:val="nil"/>
              <w:bottom w:val="single" w:color="auto" w:sz="4" w:space="0"/>
              <w:right w:val="single" w:color="auto" w:sz="4" w:space="0"/>
            </w:tcBorders>
            <w:vAlign w:val="center"/>
          </w:tcPr>
          <w:p w14:paraId="7C2BF17B">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已被《南昌市人民政府办公厅关于强化学校体育促进学生身心健康全面发展的实施意见》（洪府厅发〔2017〕78号）代替废止</w:t>
            </w:r>
          </w:p>
        </w:tc>
      </w:tr>
      <w:tr w14:paraId="052EA9DB">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58FD48DB">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4E43649F">
            <w:pPr>
              <w:widowControl/>
              <w:jc w:val="center"/>
              <w:rPr>
                <w:rFonts w:ascii="黑体" w:hAnsi="宋体" w:eastAsia="黑体" w:cs="宋体"/>
                <w:kern w:val="0"/>
                <w:sz w:val="22"/>
                <w:szCs w:val="22"/>
              </w:rPr>
            </w:pPr>
            <w:r>
              <w:rPr>
                <w:rFonts w:hint="eastAsia" w:ascii="黑体" w:hAnsi="宋体" w:eastAsia="黑体" w:cs="宋体"/>
                <w:kern w:val="0"/>
                <w:sz w:val="22"/>
                <w:szCs w:val="22"/>
              </w:rPr>
              <w:t>117</w:t>
            </w:r>
          </w:p>
        </w:tc>
        <w:tc>
          <w:tcPr>
            <w:tcW w:w="3337" w:type="dxa"/>
            <w:tcBorders>
              <w:top w:val="nil"/>
              <w:left w:val="nil"/>
              <w:bottom w:val="single" w:color="auto" w:sz="4" w:space="0"/>
              <w:right w:val="single" w:color="auto" w:sz="4" w:space="0"/>
            </w:tcBorders>
            <w:vAlign w:val="center"/>
          </w:tcPr>
          <w:p w14:paraId="6BF524AF">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南昌市人民政府江西省教育厅关于加强南昌地区学校疾病预防控制与食品卫生安全工作的意见</w:t>
            </w:r>
          </w:p>
        </w:tc>
        <w:tc>
          <w:tcPr>
            <w:tcW w:w="1215" w:type="dxa"/>
            <w:tcBorders>
              <w:top w:val="nil"/>
              <w:left w:val="nil"/>
              <w:bottom w:val="single" w:color="auto" w:sz="4" w:space="0"/>
              <w:right w:val="single" w:color="auto" w:sz="4" w:space="0"/>
            </w:tcBorders>
            <w:vAlign w:val="center"/>
          </w:tcPr>
          <w:p w14:paraId="09020E9E">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洪府发[2007]13号</w:t>
            </w:r>
          </w:p>
        </w:tc>
        <w:tc>
          <w:tcPr>
            <w:tcW w:w="1110" w:type="dxa"/>
            <w:tcBorders>
              <w:top w:val="nil"/>
              <w:left w:val="nil"/>
              <w:bottom w:val="single" w:color="auto" w:sz="4" w:space="0"/>
              <w:right w:val="single" w:color="auto" w:sz="4" w:space="0"/>
            </w:tcBorders>
            <w:vAlign w:val="center"/>
          </w:tcPr>
          <w:p w14:paraId="0341030C">
            <w:pPr>
              <w:widowControl/>
              <w:spacing w:line="0" w:lineRule="atLeas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2007.02.12</w:t>
            </w:r>
          </w:p>
        </w:tc>
        <w:tc>
          <w:tcPr>
            <w:tcW w:w="1988" w:type="dxa"/>
            <w:tcBorders>
              <w:top w:val="nil"/>
              <w:left w:val="nil"/>
              <w:bottom w:val="single" w:color="auto" w:sz="4" w:space="0"/>
              <w:right w:val="single" w:color="auto" w:sz="4" w:space="0"/>
            </w:tcBorders>
            <w:vAlign w:val="center"/>
          </w:tcPr>
          <w:p w14:paraId="191AEA88">
            <w:pPr>
              <w:widowControl/>
              <w:spacing w:line="240" w:lineRule="exac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主要内容已经不能适应社会发展需要</w:t>
            </w:r>
          </w:p>
        </w:tc>
      </w:tr>
      <w:tr w14:paraId="32FB075B">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7BB16313">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328997A4">
            <w:pPr>
              <w:widowControl/>
              <w:jc w:val="center"/>
              <w:rPr>
                <w:rFonts w:ascii="黑体" w:hAnsi="宋体" w:eastAsia="黑体" w:cs="宋体"/>
                <w:kern w:val="0"/>
                <w:sz w:val="22"/>
                <w:szCs w:val="22"/>
              </w:rPr>
            </w:pPr>
            <w:r>
              <w:rPr>
                <w:rFonts w:ascii="黑体" w:hAnsi="宋体" w:eastAsia="黑体" w:cs="宋体"/>
                <w:kern w:val="0"/>
                <w:sz w:val="22"/>
                <w:szCs w:val="22"/>
              </w:rPr>
              <w:t>140</w:t>
            </w:r>
          </w:p>
        </w:tc>
        <w:tc>
          <w:tcPr>
            <w:tcW w:w="3337" w:type="dxa"/>
            <w:tcBorders>
              <w:top w:val="nil"/>
              <w:left w:val="nil"/>
              <w:bottom w:val="single" w:color="auto" w:sz="4" w:space="0"/>
              <w:right w:val="single" w:color="auto" w:sz="4" w:space="0"/>
            </w:tcBorders>
            <w:vAlign w:val="center"/>
          </w:tcPr>
          <w:p w14:paraId="0DB9F4AE">
            <w:pPr>
              <w:widowControl/>
              <w:spacing w:line="240" w:lineRule="exac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关于进一步搞好扫除青壮年文盲工作的通知</w:t>
            </w:r>
          </w:p>
        </w:tc>
        <w:tc>
          <w:tcPr>
            <w:tcW w:w="1215" w:type="dxa"/>
            <w:tcBorders>
              <w:top w:val="nil"/>
              <w:left w:val="nil"/>
              <w:bottom w:val="single" w:color="auto" w:sz="4" w:space="0"/>
              <w:right w:val="single" w:color="auto" w:sz="4" w:space="0"/>
            </w:tcBorders>
            <w:vAlign w:val="center"/>
          </w:tcPr>
          <w:p w14:paraId="36144A9D">
            <w:pPr>
              <w:widowControl/>
              <w:spacing w:line="240" w:lineRule="exac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洪府厅字【1999】130号</w:t>
            </w:r>
          </w:p>
        </w:tc>
        <w:tc>
          <w:tcPr>
            <w:tcW w:w="1110" w:type="dxa"/>
            <w:tcBorders>
              <w:top w:val="nil"/>
              <w:left w:val="nil"/>
              <w:bottom w:val="single" w:color="auto" w:sz="4" w:space="0"/>
              <w:right w:val="single" w:color="auto" w:sz="4" w:space="0"/>
            </w:tcBorders>
            <w:vAlign w:val="center"/>
          </w:tcPr>
          <w:p w14:paraId="24D3AF50">
            <w:pPr>
              <w:widowControl/>
              <w:spacing w:line="240" w:lineRule="exac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1999.10.19</w:t>
            </w:r>
          </w:p>
        </w:tc>
        <w:tc>
          <w:tcPr>
            <w:tcW w:w="1988" w:type="dxa"/>
            <w:tcBorders>
              <w:top w:val="nil"/>
              <w:left w:val="nil"/>
              <w:bottom w:val="single" w:color="auto" w:sz="4" w:space="0"/>
              <w:right w:val="single" w:color="auto" w:sz="4" w:space="0"/>
            </w:tcBorders>
            <w:vAlign w:val="center"/>
          </w:tcPr>
          <w:p w14:paraId="6E00DCA9">
            <w:pPr>
              <w:widowControl/>
              <w:spacing w:line="240" w:lineRule="exac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主要内容已经不能适应社会发展需要</w:t>
            </w:r>
          </w:p>
        </w:tc>
      </w:tr>
      <w:tr w14:paraId="2017A1C3">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5A824B3D">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44D22097">
            <w:pPr>
              <w:widowControl/>
              <w:jc w:val="center"/>
              <w:rPr>
                <w:rFonts w:ascii="黑体" w:hAnsi="宋体" w:eastAsia="黑体" w:cs="宋体"/>
                <w:kern w:val="0"/>
                <w:sz w:val="22"/>
                <w:szCs w:val="22"/>
              </w:rPr>
            </w:pPr>
            <w:r>
              <w:rPr>
                <w:rFonts w:hint="eastAsia" w:ascii="黑体" w:hAnsi="宋体" w:eastAsia="黑体" w:cs="宋体"/>
                <w:kern w:val="0"/>
                <w:sz w:val="22"/>
                <w:szCs w:val="22"/>
              </w:rPr>
              <w:t>176</w:t>
            </w:r>
          </w:p>
        </w:tc>
        <w:tc>
          <w:tcPr>
            <w:tcW w:w="3337" w:type="dxa"/>
            <w:tcBorders>
              <w:top w:val="nil"/>
              <w:left w:val="nil"/>
              <w:bottom w:val="single" w:color="auto" w:sz="4" w:space="0"/>
              <w:right w:val="single" w:color="auto" w:sz="4" w:space="0"/>
            </w:tcBorders>
            <w:vAlign w:val="center"/>
          </w:tcPr>
          <w:p w14:paraId="407FD087">
            <w:pPr>
              <w:widowControl/>
              <w:spacing w:line="240" w:lineRule="exac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南昌市人民政府关于进一步加强农村教育工作若干问题的决定</w:t>
            </w:r>
          </w:p>
        </w:tc>
        <w:tc>
          <w:tcPr>
            <w:tcW w:w="1215" w:type="dxa"/>
            <w:tcBorders>
              <w:top w:val="nil"/>
              <w:left w:val="nil"/>
              <w:bottom w:val="single" w:color="auto" w:sz="4" w:space="0"/>
              <w:right w:val="single" w:color="auto" w:sz="4" w:space="0"/>
            </w:tcBorders>
            <w:vAlign w:val="center"/>
          </w:tcPr>
          <w:p w14:paraId="3094CF1C">
            <w:pPr>
              <w:widowControl/>
              <w:spacing w:line="240" w:lineRule="exac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洪府发[2005]22号</w:t>
            </w:r>
          </w:p>
        </w:tc>
        <w:tc>
          <w:tcPr>
            <w:tcW w:w="1110" w:type="dxa"/>
            <w:tcBorders>
              <w:top w:val="nil"/>
              <w:left w:val="nil"/>
              <w:bottom w:val="single" w:color="auto" w:sz="4" w:space="0"/>
              <w:right w:val="single" w:color="auto" w:sz="4" w:space="0"/>
            </w:tcBorders>
            <w:vAlign w:val="center"/>
          </w:tcPr>
          <w:p w14:paraId="55E56D17">
            <w:pPr>
              <w:widowControl/>
              <w:spacing w:line="240" w:lineRule="exac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2005.5.16</w:t>
            </w:r>
          </w:p>
        </w:tc>
        <w:tc>
          <w:tcPr>
            <w:tcW w:w="1988" w:type="dxa"/>
            <w:tcBorders>
              <w:top w:val="nil"/>
              <w:left w:val="nil"/>
              <w:bottom w:val="single" w:color="auto" w:sz="4" w:space="0"/>
              <w:right w:val="single" w:color="auto" w:sz="4" w:space="0"/>
            </w:tcBorders>
            <w:vAlign w:val="center"/>
          </w:tcPr>
          <w:p w14:paraId="30A3BB3D">
            <w:pPr>
              <w:widowControl/>
              <w:spacing w:line="240" w:lineRule="exac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主要内容不适用当下社会发展要求</w:t>
            </w:r>
          </w:p>
        </w:tc>
      </w:tr>
      <w:tr w14:paraId="68760218">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08575407">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487E3A1E">
            <w:pPr>
              <w:widowControl/>
              <w:jc w:val="center"/>
              <w:rPr>
                <w:rFonts w:ascii="黑体" w:hAnsi="宋体" w:eastAsia="黑体" w:cs="宋体"/>
                <w:kern w:val="0"/>
                <w:sz w:val="22"/>
                <w:szCs w:val="22"/>
              </w:rPr>
            </w:pPr>
            <w:r>
              <w:rPr>
                <w:rFonts w:hint="eastAsia" w:ascii="黑体" w:hAnsi="宋体" w:eastAsia="黑体" w:cs="宋体"/>
                <w:kern w:val="0"/>
                <w:sz w:val="22"/>
                <w:szCs w:val="22"/>
              </w:rPr>
              <w:t>209</w:t>
            </w:r>
          </w:p>
        </w:tc>
        <w:tc>
          <w:tcPr>
            <w:tcW w:w="3337" w:type="dxa"/>
            <w:tcBorders>
              <w:top w:val="nil"/>
              <w:left w:val="nil"/>
              <w:bottom w:val="single" w:color="auto" w:sz="4" w:space="0"/>
              <w:right w:val="single" w:color="auto" w:sz="4" w:space="0"/>
            </w:tcBorders>
            <w:vAlign w:val="center"/>
          </w:tcPr>
          <w:p w14:paraId="46DE66FE">
            <w:pPr>
              <w:widowControl/>
              <w:spacing w:line="240" w:lineRule="exac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南昌市人民政府办公厅关于印发市政府农村工作办公室、市教育局、市农业局关于实施学生饮用奶计划的意见的通知</w:t>
            </w:r>
          </w:p>
        </w:tc>
        <w:tc>
          <w:tcPr>
            <w:tcW w:w="1215" w:type="dxa"/>
            <w:tcBorders>
              <w:top w:val="nil"/>
              <w:left w:val="nil"/>
              <w:bottom w:val="single" w:color="auto" w:sz="4" w:space="0"/>
              <w:right w:val="single" w:color="auto" w:sz="4" w:space="0"/>
            </w:tcBorders>
            <w:vAlign w:val="center"/>
          </w:tcPr>
          <w:p w14:paraId="66FDF0EE">
            <w:pPr>
              <w:widowControl/>
              <w:spacing w:line="240" w:lineRule="exact"/>
              <w:jc w:val="left"/>
              <w:rPr>
                <w:rFonts w:ascii="黑体" w:hAnsi="黑体" w:eastAsia="黑体" w:cs="黑体"/>
                <w:color w:val="auto"/>
                <w:kern w:val="0"/>
                <w:sz w:val="22"/>
                <w:szCs w:val="22"/>
              </w:rPr>
            </w:pPr>
            <w:r>
              <w:rPr>
                <w:rFonts w:hint="eastAsia" w:ascii="黑体" w:hAnsi="宋体" w:eastAsia="黑体" w:cs="宋体"/>
                <w:color w:val="auto"/>
                <w:kern w:val="0"/>
                <w:sz w:val="22"/>
                <w:szCs w:val="22"/>
              </w:rPr>
              <w:t>洪府厅发</w:t>
            </w:r>
            <w:r>
              <w:rPr>
                <w:rFonts w:hint="eastAsia" w:ascii="黑体" w:hAnsi="黑体" w:eastAsia="黑体" w:cs="黑体"/>
                <w:color w:val="auto"/>
                <w:kern w:val="0"/>
                <w:sz w:val="22"/>
                <w:szCs w:val="22"/>
              </w:rPr>
              <w:t>〔2003〕1号</w:t>
            </w:r>
          </w:p>
        </w:tc>
        <w:tc>
          <w:tcPr>
            <w:tcW w:w="1110" w:type="dxa"/>
            <w:tcBorders>
              <w:top w:val="nil"/>
              <w:left w:val="nil"/>
              <w:bottom w:val="single" w:color="auto" w:sz="4" w:space="0"/>
              <w:right w:val="single" w:color="auto" w:sz="4" w:space="0"/>
            </w:tcBorders>
            <w:vAlign w:val="center"/>
          </w:tcPr>
          <w:p w14:paraId="3F347AC8">
            <w:pPr>
              <w:widowControl/>
              <w:spacing w:line="240" w:lineRule="exac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2003年1月2日</w:t>
            </w:r>
          </w:p>
        </w:tc>
        <w:tc>
          <w:tcPr>
            <w:tcW w:w="1988" w:type="dxa"/>
            <w:tcBorders>
              <w:top w:val="nil"/>
              <w:left w:val="nil"/>
              <w:bottom w:val="single" w:color="auto" w:sz="4" w:space="0"/>
              <w:right w:val="single" w:color="auto" w:sz="4" w:space="0"/>
            </w:tcBorders>
            <w:vAlign w:val="center"/>
          </w:tcPr>
          <w:p w14:paraId="38D836A2">
            <w:pPr>
              <w:widowControl/>
              <w:spacing w:line="240" w:lineRule="exac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主要内容已经不适应经济社会发展要求</w:t>
            </w:r>
          </w:p>
        </w:tc>
      </w:tr>
      <w:tr w14:paraId="2F685074">
        <w:tblPrEx>
          <w:tblCellMar>
            <w:top w:w="0" w:type="dxa"/>
            <w:left w:w="108" w:type="dxa"/>
            <w:bottom w:w="0" w:type="dxa"/>
            <w:right w:w="108" w:type="dxa"/>
          </w:tblCellMar>
        </w:tblPrEx>
        <w:trPr>
          <w:trHeight w:val="728" w:hRule="atLeast"/>
          <w:jc w:val="center"/>
        </w:trPr>
        <w:tc>
          <w:tcPr>
            <w:tcW w:w="1833" w:type="dxa"/>
            <w:tcBorders>
              <w:left w:val="single" w:color="auto" w:sz="4" w:space="0"/>
              <w:right w:val="single" w:color="auto" w:sz="4" w:space="0"/>
            </w:tcBorders>
            <w:vAlign w:val="center"/>
          </w:tcPr>
          <w:p w14:paraId="61A2394A">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39A978EB">
            <w:pPr>
              <w:widowControl/>
              <w:jc w:val="center"/>
              <w:rPr>
                <w:rFonts w:ascii="黑体" w:hAnsi="宋体" w:eastAsia="黑体" w:cs="宋体"/>
                <w:kern w:val="0"/>
                <w:sz w:val="22"/>
                <w:szCs w:val="22"/>
              </w:rPr>
            </w:pPr>
            <w:r>
              <w:rPr>
                <w:rFonts w:hint="eastAsia" w:ascii="黑体" w:hAnsi="宋体" w:eastAsia="黑体" w:cs="宋体"/>
                <w:kern w:val="0"/>
                <w:sz w:val="22"/>
                <w:szCs w:val="22"/>
              </w:rPr>
              <w:t>37</w:t>
            </w:r>
          </w:p>
        </w:tc>
        <w:tc>
          <w:tcPr>
            <w:tcW w:w="3337" w:type="dxa"/>
            <w:tcBorders>
              <w:top w:val="nil"/>
              <w:left w:val="nil"/>
              <w:bottom w:val="single" w:color="auto" w:sz="4" w:space="0"/>
              <w:right w:val="single" w:color="auto" w:sz="4" w:space="0"/>
            </w:tcBorders>
            <w:vAlign w:val="center"/>
          </w:tcPr>
          <w:p w14:paraId="7F758A4A">
            <w:pPr>
              <w:widowControl/>
              <w:spacing w:line="240" w:lineRule="exact"/>
              <w:jc w:val="left"/>
              <w:rPr>
                <w:rFonts w:ascii="黑体" w:hAnsi="宋体" w:eastAsia="黑体" w:cs="宋体"/>
                <w:color w:val="auto"/>
                <w:kern w:val="0"/>
                <w:sz w:val="22"/>
                <w:szCs w:val="22"/>
                <w:highlight w:val="none"/>
              </w:rPr>
            </w:pPr>
            <w:r>
              <w:rPr>
                <w:rFonts w:hint="eastAsia" w:ascii="黑体" w:hAnsi="宋体" w:eastAsia="黑体" w:cs="宋体"/>
                <w:color w:val="auto"/>
                <w:kern w:val="0"/>
                <w:sz w:val="22"/>
                <w:szCs w:val="22"/>
                <w:highlight w:val="none"/>
              </w:rPr>
              <w:t>南昌市人民政府办公厅关于转发南昌市校外培训机构监督管理办法（试行）的通知</w:t>
            </w:r>
          </w:p>
        </w:tc>
        <w:tc>
          <w:tcPr>
            <w:tcW w:w="1215" w:type="dxa"/>
            <w:tcBorders>
              <w:top w:val="nil"/>
              <w:left w:val="nil"/>
              <w:bottom w:val="single" w:color="auto" w:sz="4" w:space="0"/>
              <w:right w:val="single" w:color="auto" w:sz="4" w:space="0"/>
            </w:tcBorders>
            <w:vAlign w:val="center"/>
          </w:tcPr>
          <w:p w14:paraId="60E34EFF">
            <w:pPr>
              <w:widowControl/>
              <w:spacing w:line="240" w:lineRule="exact"/>
              <w:jc w:val="left"/>
              <w:rPr>
                <w:rFonts w:ascii="黑体" w:hAnsi="宋体" w:eastAsia="黑体" w:cs="宋体"/>
                <w:color w:val="auto"/>
                <w:kern w:val="0"/>
                <w:sz w:val="22"/>
                <w:szCs w:val="22"/>
                <w:highlight w:val="none"/>
              </w:rPr>
            </w:pPr>
            <w:r>
              <w:rPr>
                <w:rFonts w:hint="eastAsia" w:ascii="黑体" w:hAnsi="宋体" w:eastAsia="黑体" w:cs="宋体"/>
                <w:color w:val="auto"/>
                <w:kern w:val="0"/>
                <w:sz w:val="22"/>
                <w:szCs w:val="22"/>
                <w:highlight w:val="none"/>
              </w:rPr>
              <w:t>洪府办发〔2019〕98号</w:t>
            </w:r>
          </w:p>
        </w:tc>
        <w:tc>
          <w:tcPr>
            <w:tcW w:w="1110" w:type="dxa"/>
            <w:tcBorders>
              <w:top w:val="nil"/>
              <w:left w:val="nil"/>
              <w:bottom w:val="single" w:color="auto" w:sz="4" w:space="0"/>
              <w:right w:val="single" w:color="auto" w:sz="4" w:space="0"/>
            </w:tcBorders>
            <w:vAlign w:val="center"/>
          </w:tcPr>
          <w:p w14:paraId="54570238">
            <w:pPr>
              <w:widowControl/>
              <w:spacing w:line="240" w:lineRule="exact"/>
              <w:jc w:val="left"/>
              <w:rPr>
                <w:rFonts w:ascii="黑体" w:hAnsi="宋体" w:eastAsia="黑体" w:cs="宋体"/>
                <w:color w:val="auto"/>
                <w:kern w:val="0"/>
                <w:sz w:val="22"/>
                <w:szCs w:val="22"/>
                <w:highlight w:val="none"/>
              </w:rPr>
            </w:pPr>
            <w:r>
              <w:rPr>
                <w:rFonts w:hint="eastAsia" w:ascii="黑体" w:hAnsi="宋体" w:eastAsia="黑体" w:cs="宋体"/>
                <w:color w:val="auto"/>
                <w:kern w:val="0"/>
                <w:sz w:val="22"/>
                <w:szCs w:val="22"/>
                <w:highlight w:val="none"/>
              </w:rPr>
              <w:t>2019年9月23日</w:t>
            </w:r>
          </w:p>
        </w:tc>
        <w:tc>
          <w:tcPr>
            <w:tcW w:w="1988" w:type="dxa"/>
            <w:tcBorders>
              <w:top w:val="nil"/>
              <w:left w:val="nil"/>
              <w:bottom w:val="single" w:color="auto" w:sz="4" w:space="0"/>
              <w:right w:val="single" w:color="auto" w:sz="4" w:space="0"/>
            </w:tcBorders>
            <w:vAlign w:val="center"/>
          </w:tcPr>
          <w:p w14:paraId="05F2650E">
            <w:pPr>
              <w:widowControl/>
              <w:spacing w:line="240" w:lineRule="exact"/>
              <w:rPr>
                <w:rFonts w:ascii="黑体" w:hAnsi="宋体" w:eastAsia="黑体" w:cs="宋体"/>
                <w:color w:val="auto"/>
                <w:kern w:val="0"/>
                <w:sz w:val="22"/>
                <w:szCs w:val="22"/>
                <w:highlight w:val="none"/>
              </w:rPr>
            </w:pPr>
            <w:r>
              <w:rPr>
                <w:rFonts w:hint="eastAsia" w:ascii="黑体" w:hAnsi="宋体" w:eastAsia="黑体" w:cs="宋体"/>
                <w:color w:val="auto"/>
                <w:kern w:val="0"/>
                <w:sz w:val="22"/>
                <w:szCs w:val="22"/>
                <w:highlight w:val="none"/>
              </w:rPr>
              <w:t>中共中央办公厅、国务院办公厅于2021年7月印发的《关于进一步减轻义务教育阶段学生作业负担和校外培训负担的意见》明确提出“坚决压减学科类校外培训”、“不再审批新的面向义务教育阶段学生的学科类校外培训机构”“不再审批新的面向学龄前儿童的校外培训机构和面向普通高中学生的学科类校外培训机构”等要</w:t>
            </w:r>
          </w:p>
          <w:p w14:paraId="00DDD954">
            <w:pPr>
              <w:widowControl/>
              <w:spacing w:line="240" w:lineRule="exact"/>
              <w:jc w:val="left"/>
              <w:rPr>
                <w:rFonts w:ascii="黑体" w:hAnsi="宋体" w:eastAsia="黑体" w:cs="宋体"/>
                <w:color w:val="auto"/>
                <w:kern w:val="0"/>
                <w:sz w:val="22"/>
                <w:szCs w:val="22"/>
                <w:highlight w:val="none"/>
              </w:rPr>
            </w:pPr>
            <w:r>
              <w:rPr>
                <w:rFonts w:hint="eastAsia" w:ascii="黑体" w:hAnsi="宋体" w:eastAsia="黑体" w:cs="宋体"/>
                <w:color w:val="auto"/>
                <w:kern w:val="0"/>
                <w:sz w:val="22"/>
                <w:szCs w:val="22"/>
                <w:highlight w:val="none"/>
              </w:rPr>
              <w:t>江西省教育厅联合多个省直单位和部门于2022年9月分别出台《江西省科技类校外培训机构管理办法（试行）》赣教规字〔2022〕5号、《江西省文化艺术类校外培训机构管理办法（试行）》赣教规字〔2022〕6号和《江西省体育类校外培训机构管理办法（试行）》赣教规字〔2022〕7号。</w:t>
            </w:r>
          </w:p>
        </w:tc>
      </w:tr>
      <w:tr w14:paraId="789BB6FF">
        <w:tblPrEx>
          <w:tblCellMar>
            <w:top w:w="0" w:type="dxa"/>
            <w:left w:w="108" w:type="dxa"/>
            <w:bottom w:w="0" w:type="dxa"/>
            <w:right w:w="108" w:type="dxa"/>
          </w:tblCellMar>
        </w:tblPrEx>
        <w:trPr>
          <w:trHeight w:val="728" w:hRule="atLeast"/>
          <w:jc w:val="center"/>
        </w:trPr>
        <w:tc>
          <w:tcPr>
            <w:tcW w:w="1833" w:type="dxa"/>
            <w:tcBorders>
              <w:left w:val="single" w:color="auto" w:sz="4" w:space="0"/>
              <w:bottom w:val="single" w:color="auto" w:sz="4" w:space="0"/>
              <w:right w:val="single" w:color="auto" w:sz="4" w:space="0"/>
            </w:tcBorders>
            <w:vAlign w:val="center"/>
          </w:tcPr>
          <w:p w14:paraId="54E58E66">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49A00740">
            <w:pPr>
              <w:widowControl/>
              <w:jc w:val="center"/>
              <w:rPr>
                <w:rFonts w:ascii="黑体" w:hAnsi="宋体" w:eastAsia="黑体" w:cs="宋体"/>
                <w:kern w:val="0"/>
                <w:sz w:val="22"/>
                <w:szCs w:val="22"/>
              </w:rPr>
            </w:pPr>
            <w:r>
              <w:rPr>
                <w:rFonts w:hint="eastAsia" w:ascii="黑体" w:hAnsi="宋体" w:eastAsia="黑体" w:cs="宋体"/>
                <w:kern w:val="0"/>
                <w:sz w:val="22"/>
                <w:szCs w:val="22"/>
              </w:rPr>
              <w:t>11</w:t>
            </w:r>
          </w:p>
        </w:tc>
        <w:tc>
          <w:tcPr>
            <w:tcW w:w="3337" w:type="dxa"/>
            <w:tcBorders>
              <w:top w:val="nil"/>
              <w:left w:val="nil"/>
              <w:bottom w:val="single" w:color="auto" w:sz="4" w:space="0"/>
              <w:right w:val="single" w:color="auto" w:sz="4" w:space="0"/>
            </w:tcBorders>
            <w:vAlign w:val="center"/>
          </w:tcPr>
          <w:p w14:paraId="2920B766">
            <w:pPr>
              <w:widowControl/>
              <w:spacing w:line="240" w:lineRule="exac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关于鼓励社会资本进入教育领域的实施办法</w:t>
            </w:r>
          </w:p>
        </w:tc>
        <w:tc>
          <w:tcPr>
            <w:tcW w:w="1215" w:type="dxa"/>
            <w:tcBorders>
              <w:top w:val="nil"/>
              <w:left w:val="nil"/>
              <w:bottom w:val="single" w:color="auto" w:sz="4" w:space="0"/>
              <w:right w:val="single" w:color="auto" w:sz="4" w:space="0"/>
            </w:tcBorders>
            <w:vAlign w:val="center"/>
          </w:tcPr>
          <w:p w14:paraId="17143332">
            <w:pPr>
              <w:widowControl/>
              <w:spacing w:line="240" w:lineRule="exac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洪府厅发〔2015〕136号</w:t>
            </w:r>
          </w:p>
        </w:tc>
        <w:tc>
          <w:tcPr>
            <w:tcW w:w="1110" w:type="dxa"/>
            <w:tcBorders>
              <w:top w:val="nil"/>
              <w:left w:val="nil"/>
              <w:bottom w:val="single" w:color="auto" w:sz="4" w:space="0"/>
              <w:right w:val="single" w:color="auto" w:sz="4" w:space="0"/>
            </w:tcBorders>
            <w:vAlign w:val="center"/>
          </w:tcPr>
          <w:p w14:paraId="0D459C74">
            <w:pPr>
              <w:widowControl/>
              <w:spacing w:line="240" w:lineRule="exac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2015年12月24日</w:t>
            </w:r>
          </w:p>
        </w:tc>
        <w:tc>
          <w:tcPr>
            <w:tcW w:w="1988" w:type="dxa"/>
            <w:tcBorders>
              <w:top w:val="nil"/>
              <w:left w:val="nil"/>
              <w:bottom w:val="single" w:color="auto" w:sz="4" w:space="0"/>
              <w:right w:val="single" w:color="auto" w:sz="4" w:space="0"/>
            </w:tcBorders>
            <w:vAlign w:val="center"/>
          </w:tcPr>
          <w:p w14:paraId="236A7B14">
            <w:pPr>
              <w:widowControl/>
              <w:spacing w:line="240" w:lineRule="exact"/>
              <w:jc w:val="left"/>
              <w:rPr>
                <w:rFonts w:ascii="黑体" w:hAnsi="宋体" w:eastAsia="黑体" w:cs="宋体"/>
                <w:color w:val="auto"/>
                <w:kern w:val="0"/>
                <w:sz w:val="22"/>
                <w:szCs w:val="22"/>
              </w:rPr>
            </w:pPr>
            <w:r>
              <w:rPr>
                <w:rFonts w:hint="eastAsia" w:ascii="黑体" w:hAnsi="宋体" w:eastAsia="黑体" w:cs="宋体"/>
                <w:color w:val="auto"/>
                <w:kern w:val="0"/>
                <w:sz w:val="22"/>
                <w:szCs w:val="22"/>
              </w:rPr>
              <w:t>被2021年11月印发《江西省规范民办义务教育发展专项工作方案》（〔2021〕9号）取代</w:t>
            </w:r>
          </w:p>
        </w:tc>
      </w:tr>
      <w:tr w14:paraId="6FB6FC66">
        <w:tblPrEx>
          <w:tblCellMar>
            <w:top w:w="0" w:type="dxa"/>
            <w:left w:w="108" w:type="dxa"/>
            <w:bottom w:w="0" w:type="dxa"/>
            <w:right w:w="108" w:type="dxa"/>
          </w:tblCellMar>
        </w:tblPrEx>
        <w:trPr>
          <w:trHeight w:val="728" w:hRule="atLeast"/>
          <w:jc w:val="center"/>
        </w:trPr>
        <w:tc>
          <w:tcPr>
            <w:tcW w:w="1833" w:type="dxa"/>
            <w:vMerge w:val="restart"/>
            <w:tcBorders>
              <w:top w:val="single" w:color="auto" w:sz="4" w:space="0"/>
              <w:left w:val="single" w:color="auto" w:sz="4" w:space="0"/>
              <w:right w:val="single" w:color="auto" w:sz="4" w:space="0"/>
            </w:tcBorders>
            <w:vAlign w:val="center"/>
          </w:tcPr>
          <w:p w14:paraId="6D770EAD">
            <w:pPr>
              <w:widowControl/>
              <w:jc w:val="center"/>
              <w:rPr>
                <w:rFonts w:ascii="黑体" w:hAnsi="宋体" w:eastAsia="黑体" w:cs="宋体"/>
                <w:kern w:val="0"/>
                <w:sz w:val="22"/>
                <w:szCs w:val="22"/>
              </w:rPr>
            </w:pPr>
            <w:r>
              <w:rPr>
                <w:rFonts w:hint="eastAsia" w:ascii="黑体" w:hAnsi="宋体" w:eastAsia="黑体" w:cs="宋体"/>
                <w:kern w:val="0"/>
                <w:sz w:val="22"/>
                <w:szCs w:val="22"/>
              </w:rPr>
              <w:t>四、失效的规范性文件</w:t>
            </w:r>
          </w:p>
          <w:p w14:paraId="2600B28A">
            <w:pPr>
              <w:widowControl/>
              <w:jc w:val="center"/>
              <w:rPr>
                <w:rFonts w:ascii="黑体" w:hAnsi="宋体" w:eastAsia="黑体" w:cs="宋体"/>
                <w:kern w:val="0"/>
                <w:sz w:val="22"/>
                <w:szCs w:val="22"/>
              </w:rPr>
            </w:pPr>
            <w:r>
              <w:rPr>
                <w:rFonts w:hint="eastAsia" w:ascii="黑体" w:hAnsi="宋体" w:eastAsia="黑体" w:cs="宋体"/>
                <w:kern w:val="0"/>
                <w:sz w:val="22"/>
                <w:szCs w:val="22"/>
              </w:rPr>
              <w:t xml:space="preserve">(合计 </w:t>
            </w:r>
            <w:r>
              <w:rPr>
                <w:rFonts w:ascii="黑体" w:hAnsi="宋体" w:eastAsia="黑体" w:cs="宋体"/>
                <w:kern w:val="0"/>
                <w:sz w:val="22"/>
                <w:szCs w:val="22"/>
              </w:rPr>
              <w:t>12</w:t>
            </w:r>
            <w:r>
              <w:rPr>
                <w:rFonts w:hint="eastAsia" w:ascii="黑体" w:hAnsi="宋体" w:eastAsia="黑体" w:cs="宋体"/>
                <w:kern w:val="0"/>
                <w:sz w:val="22"/>
                <w:szCs w:val="22"/>
              </w:rPr>
              <w:t xml:space="preserve"> 件）</w:t>
            </w:r>
          </w:p>
          <w:p w14:paraId="1BD8B6A4">
            <w:pPr>
              <w:widowControl/>
              <w:jc w:val="left"/>
              <w:rPr>
                <w:rFonts w:ascii="黑体" w:hAnsi="宋体" w:eastAsia="黑体" w:cs="宋体"/>
                <w:kern w:val="0"/>
                <w:sz w:val="22"/>
                <w:szCs w:val="22"/>
              </w:rPr>
            </w:pPr>
          </w:p>
          <w:p w14:paraId="26995508">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3C9C0B55">
            <w:pPr>
              <w:widowControl/>
              <w:jc w:val="center"/>
              <w:rPr>
                <w:rFonts w:ascii="黑体" w:hAnsi="宋体" w:eastAsia="黑体" w:cs="宋体"/>
                <w:kern w:val="0"/>
                <w:sz w:val="22"/>
                <w:szCs w:val="22"/>
              </w:rPr>
            </w:pPr>
            <w:r>
              <w:rPr>
                <w:rFonts w:hint="eastAsia" w:ascii="黑体" w:hAnsi="宋体" w:eastAsia="黑体" w:cs="宋体"/>
                <w:kern w:val="0"/>
                <w:sz w:val="22"/>
                <w:szCs w:val="22"/>
              </w:rPr>
              <w:t>序号</w:t>
            </w:r>
          </w:p>
        </w:tc>
        <w:tc>
          <w:tcPr>
            <w:tcW w:w="3337" w:type="dxa"/>
            <w:tcBorders>
              <w:top w:val="nil"/>
              <w:left w:val="nil"/>
              <w:bottom w:val="single" w:color="auto" w:sz="4" w:space="0"/>
              <w:right w:val="single" w:color="auto" w:sz="4" w:space="0"/>
            </w:tcBorders>
            <w:vAlign w:val="center"/>
          </w:tcPr>
          <w:p w14:paraId="12E33DD6">
            <w:pPr>
              <w:widowControl/>
              <w:jc w:val="center"/>
              <w:rPr>
                <w:rFonts w:ascii="黑体" w:hAnsi="宋体" w:eastAsia="黑体" w:cs="宋体"/>
                <w:kern w:val="0"/>
                <w:sz w:val="22"/>
                <w:szCs w:val="22"/>
              </w:rPr>
            </w:pPr>
            <w:r>
              <w:rPr>
                <w:rFonts w:hint="eastAsia" w:ascii="黑体" w:hAnsi="宋体" w:eastAsia="黑体" w:cs="宋体"/>
                <w:kern w:val="0"/>
                <w:sz w:val="22"/>
                <w:szCs w:val="22"/>
              </w:rPr>
              <w:t>规范性文件名称</w:t>
            </w:r>
          </w:p>
        </w:tc>
        <w:tc>
          <w:tcPr>
            <w:tcW w:w="1215" w:type="dxa"/>
            <w:tcBorders>
              <w:top w:val="nil"/>
              <w:left w:val="nil"/>
              <w:bottom w:val="single" w:color="auto" w:sz="4" w:space="0"/>
              <w:right w:val="single" w:color="auto" w:sz="4" w:space="0"/>
            </w:tcBorders>
            <w:vAlign w:val="center"/>
          </w:tcPr>
          <w:p w14:paraId="64F396DF">
            <w:pPr>
              <w:widowControl/>
              <w:jc w:val="center"/>
              <w:rPr>
                <w:rFonts w:ascii="黑体" w:hAnsi="宋体" w:eastAsia="黑体" w:cs="宋体"/>
                <w:kern w:val="0"/>
                <w:sz w:val="22"/>
                <w:szCs w:val="22"/>
              </w:rPr>
            </w:pPr>
            <w:r>
              <w:rPr>
                <w:rFonts w:hint="eastAsia" w:ascii="黑体" w:hAnsi="宋体" w:eastAsia="黑体" w:cs="宋体"/>
                <w:kern w:val="0"/>
                <w:sz w:val="22"/>
                <w:szCs w:val="22"/>
              </w:rPr>
              <w:t>文号</w:t>
            </w:r>
          </w:p>
        </w:tc>
        <w:tc>
          <w:tcPr>
            <w:tcW w:w="1110" w:type="dxa"/>
            <w:tcBorders>
              <w:top w:val="nil"/>
              <w:left w:val="nil"/>
              <w:bottom w:val="single" w:color="auto" w:sz="4" w:space="0"/>
              <w:right w:val="single" w:color="auto" w:sz="4" w:space="0"/>
            </w:tcBorders>
            <w:vAlign w:val="center"/>
          </w:tcPr>
          <w:p w14:paraId="0396FFDD">
            <w:pPr>
              <w:widowControl/>
              <w:jc w:val="center"/>
              <w:rPr>
                <w:rFonts w:ascii="黑体" w:hAnsi="宋体" w:eastAsia="黑体" w:cs="宋体"/>
                <w:kern w:val="0"/>
                <w:sz w:val="22"/>
                <w:szCs w:val="22"/>
              </w:rPr>
            </w:pPr>
            <w:r>
              <w:rPr>
                <w:rFonts w:hint="eastAsia" w:ascii="黑体" w:hAnsi="宋体" w:eastAsia="黑体" w:cs="宋体"/>
                <w:kern w:val="0"/>
                <w:sz w:val="22"/>
                <w:szCs w:val="22"/>
              </w:rPr>
              <w:t>发文日期</w:t>
            </w:r>
          </w:p>
        </w:tc>
        <w:tc>
          <w:tcPr>
            <w:tcW w:w="1988" w:type="dxa"/>
            <w:tcBorders>
              <w:top w:val="nil"/>
              <w:left w:val="nil"/>
              <w:bottom w:val="single" w:color="auto" w:sz="4" w:space="0"/>
              <w:right w:val="single" w:color="auto" w:sz="4" w:space="0"/>
            </w:tcBorders>
            <w:vAlign w:val="center"/>
          </w:tcPr>
          <w:p w14:paraId="3BD74EF3">
            <w:pPr>
              <w:widowControl/>
              <w:jc w:val="center"/>
              <w:rPr>
                <w:rFonts w:ascii="黑体" w:hAnsi="宋体" w:eastAsia="黑体" w:cs="宋体"/>
                <w:kern w:val="0"/>
                <w:sz w:val="22"/>
                <w:szCs w:val="22"/>
              </w:rPr>
            </w:pPr>
            <w:r>
              <w:rPr>
                <w:rFonts w:hint="eastAsia" w:ascii="黑体" w:hAnsi="宋体" w:eastAsia="黑体" w:cs="宋体"/>
                <w:kern w:val="0"/>
                <w:sz w:val="22"/>
                <w:szCs w:val="22"/>
              </w:rPr>
              <w:t>失效的理由和依据</w:t>
            </w:r>
          </w:p>
        </w:tc>
      </w:tr>
      <w:tr w14:paraId="70858262">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6733FCBD">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411BD9EF">
            <w:pPr>
              <w:widowControl/>
              <w:jc w:val="center"/>
              <w:rPr>
                <w:rFonts w:ascii="黑体" w:hAnsi="宋体" w:eastAsia="黑体" w:cs="宋体"/>
                <w:kern w:val="0"/>
                <w:sz w:val="22"/>
                <w:szCs w:val="22"/>
              </w:rPr>
            </w:pPr>
            <w:r>
              <w:rPr>
                <w:rFonts w:hint="eastAsia" w:ascii="黑体" w:hAnsi="宋体" w:eastAsia="黑体" w:cs="宋体"/>
                <w:kern w:val="0"/>
                <w:sz w:val="22"/>
                <w:szCs w:val="22"/>
              </w:rPr>
              <w:t>127</w:t>
            </w:r>
          </w:p>
        </w:tc>
        <w:tc>
          <w:tcPr>
            <w:tcW w:w="3337" w:type="dxa"/>
            <w:tcBorders>
              <w:top w:val="nil"/>
              <w:left w:val="nil"/>
              <w:bottom w:val="single" w:color="auto" w:sz="4" w:space="0"/>
              <w:right w:val="single" w:color="auto" w:sz="4" w:space="0"/>
            </w:tcBorders>
            <w:vAlign w:val="center"/>
          </w:tcPr>
          <w:p w14:paraId="38450D80">
            <w:pPr>
              <w:widowControl/>
              <w:spacing w:line="0" w:lineRule="atLeast"/>
              <w:jc w:val="left"/>
              <w:rPr>
                <w:rFonts w:ascii="黑体" w:hAnsi="宋体" w:eastAsia="黑体" w:cs="宋体"/>
                <w:kern w:val="0"/>
                <w:sz w:val="22"/>
                <w:szCs w:val="22"/>
              </w:rPr>
            </w:pPr>
            <w:r>
              <w:rPr>
                <w:rFonts w:hint="eastAsia" w:ascii="黑体" w:hAnsi="宋体" w:eastAsia="黑体" w:cs="宋体"/>
                <w:kern w:val="0"/>
                <w:sz w:val="22"/>
                <w:szCs w:val="22"/>
              </w:rPr>
              <w:t>南昌市人民政府办公厅关于转发市教育局等部门关于开展经常性助学活动意见的通知</w:t>
            </w:r>
          </w:p>
        </w:tc>
        <w:tc>
          <w:tcPr>
            <w:tcW w:w="1215" w:type="dxa"/>
            <w:tcBorders>
              <w:top w:val="nil"/>
              <w:left w:val="nil"/>
              <w:bottom w:val="single" w:color="auto" w:sz="4" w:space="0"/>
              <w:right w:val="single" w:color="auto" w:sz="4" w:space="0"/>
            </w:tcBorders>
            <w:vAlign w:val="center"/>
          </w:tcPr>
          <w:p w14:paraId="7528CC9D">
            <w:pPr>
              <w:widowControl/>
              <w:spacing w:line="0" w:lineRule="atLeast"/>
              <w:jc w:val="left"/>
              <w:rPr>
                <w:rFonts w:ascii="黑体" w:hAnsi="宋体" w:eastAsia="黑体" w:cs="宋体"/>
                <w:kern w:val="0"/>
                <w:sz w:val="22"/>
                <w:szCs w:val="22"/>
              </w:rPr>
            </w:pPr>
            <w:r>
              <w:rPr>
                <w:rFonts w:hint="eastAsia" w:ascii="黑体" w:hAnsi="宋体" w:eastAsia="黑体" w:cs="宋体"/>
                <w:kern w:val="0"/>
                <w:sz w:val="22"/>
                <w:szCs w:val="22"/>
              </w:rPr>
              <w:t>洪府厅发[2005]24号</w:t>
            </w:r>
          </w:p>
        </w:tc>
        <w:tc>
          <w:tcPr>
            <w:tcW w:w="1110" w:type="dxa"/>
            <w:tcBorders>
              <w:top w:val="nil"/>
              <w:left w:val="nil"/>
              <w:bottom w:val="single" w:color="auto" w:sz="4" w:space="0"/>
              <w:right w:val="single" w:color="auto" w:sz="4" w:space="0"/>
            </w:tcBorders>
            <w:vAlign w:val="center"/>
          </w:tcPr>
          <w:p w14:paraId="748A493A">
            <w:pPr>
              <w:widowControl/>
              <w:spacing w:line="240" w:lineRule="exact"/>
              <w:jc w:val="left"/>
              <w:rPr>
                <w:rFonts w:ascii="黑体" w:hAnsi="宋体" w:eastAsia="黑体" w:cs="宋体"/>
                <w:kern w:val="0"/>
                <w:sz w:val="22"/>
                <w:szCs w:val="22"/>
              </w:rPr>
            </w:pPr>
            <w:r>
              <w:rPr>
                <w:rFonts w:ascii="黑体" w:hAnsi="宋体" w:eastAsia="黑体" w:cs="宋体"/>
                <w:kern w:val="0"/>
                <w:sz w:val="22"/>
                <w:szCs w:val="22"/>
              </w:rPr>
              <w:t>2005.2.5</w:t>
            </w:r>
          </w:p>
        </w:tc>
        <w:tc>
          <w:tcPr>
            <w:tcW w:w="1988" w:type="dxa"/>
            <w:tcBorders>
              <w:top w:val="nil"/>
              <w:left w:val="nil"/>
              <w:bottom w:val="single" w:color="auto" w:sz="4" w:space="0"/>
              <w:right w:val="single" w:color="auto" w:sz="4" w:space="0"/>
            </w:tcBorders>
            <w:vAlign w:val="center"/>
          </w:tcPr>
          <w:p w14:paraId="4A5EE65F">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文件适用期已过</w:t>
            </w:r>
          </w:p>
        </w:tc>
      </w:tr>
      <w:tr w14:paraId="14CA8A49">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6BEEF11D">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62DED506">
            <w:pPr>
              <w:widowControl/>
              <w:jc w:val="center"/>
              <w:rPr>
                <w:rFonts w:ascii="黑体" w:hAnsi="宋体" w:eastAsia="黑体" w:cs="宋体"/>
                <w:kern w:val="0"/>
                <w:sz w:val="22"/>
                <w:szCs w:val="22"/>
              </w:rPr>
            </w:pPr>
            <w:r>
              <w:rPr>
                <w:rFonts w:hint="eastAsia" w:ascii="黑体" w:hAnsi="宋体" w:eastAsia="黑体" w:cs="宋体"/>
                <w:kern w:val="0"/>
                <w:sz w:val="22"/>
                <w:szCs w:val="22"/>
              </w:rPr>
              <w:t>119</w:t>
            </w:r>
          </w:p>
        </w:tc>
        <w:tc>
          <w:tcPr>
            <w:tcW w:w="3337" w:type="dxa"/>
            <w:tcBorders>
              <w:top w:val="nil"/>
              <w:left w:val="nil"/>
              <w:bottom w:val="single" w:color="auto" w:sz="4" w:space="0"/>
              <w:right w:val="single" w:color="auto" w:sz="4" w:space="0"/>
            </w:tcBorders>
            <w:vAlign w:val="center"/>
          </w:tcPr>
          <w:p w14:paraId="74F7016D">
            <w:pPr>
              <w:widowControl/>
              <w:spacing w:line="0" w:lineRule="atLeast"/>
              <w:jc w:val="left"/>
              <w:rPr>
                <w:rFonts w:ascii="黑体" w:hAnsi="宋体" w:eastAsia="黑体" w:cs="宋体"/>
                <w:kern w:val="0"/>
                <w:sz w:val="22"/>
                <w:szCs w:val="22"/>
              </w:rPr>
            </w:pPr>
            <w:r>
              <w:rPr>
                <w:rFonts w:hint="eastAsia" w:ascii="黑体" w:hAnsi="宋体" w:eastAsia="黑体" w:cs="宋体"/>
                <w:kern w:val="0"/>
                <w:sz w:val="22"/>
                <w:szCs w:val="22"/>
              </w:rPr>
              <w:t>南昌市人民政府印发关于推进区域内义务教育均衡发展行动计划实施方案的通知</w:t>
            </w:r>
          </w:p>
        </w:tc>
        <w:tc>
          <w:tcPr>
            <w:tcW w:w="1215" w:type="dxa"/>
            <w:tcBorders>
              <w:top w:val="nil"/>
              <w:left w:val="nil"/>
              <w:bottom w:val="single" w:color="auto" w:sz="4" w:space="0"/>
              <w:right w:val="single" w:color="auto" w:sz="4" w:space="0"/>
            </w:tcBorders>
            <w:vAlign w:val="center"/>
          </w:tcPr>
          <w:p w14:paraId="790B9D0C">
            <w:pPr>
              <w:widowControl/>
              <w:spacing w:line="0" w:lineRule="atLeast"/>
              <w:jc w:val="left"/>
              <w:rPr>
                <w:rFonts w:ascii="黑体" w:hAnsi="宋体" w:eastAsia="黑体" w:cs="宋体"/>
                <w:kern w:val="0"/>
                <w:sz w:val="22"/>
                <w:szCs w:val="22"/>
              </w:rPr>
            </w:pPr>
            <w:r>
              <w:rPr>
                <w:rFonts w:hint="eastAsia" w:ascii="黑体" w:hAnsi="宋体" w:eastAsia="黑体" w:cs="宋体"/>
                <w:kern w:val="0"/>
                <w:sz w:val="22"/>
                <w:szCs w:val="22"/>
              </w:rPr>
              <w:t>洪府发[2010]29号</w:t>
            </w:r>
          </w:p>
        </w:tc>
        <w:tc>
          <w:tcPr>
            <w:tcW w:w="1110" w:type="dxa"/>
            <w:tcBorders>
              <w:top w:val="nil"/>
              <w:left w:val="nil"/>
              <w:bottom w:val="single" w:color="auto" w:sz="4" w:space="0"/>
              <w:right w:val="single" w:color="auto" w:sz="4" w:space="0"/>
            </w:tcBorders>
            <w:vAlign w:val="center"/>
          </w:tcPr>
          <w:p w14:paraId="6C008016">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2010.11.16</w:t>
            </w:r>
          </w:p>
        </w:tc>
        <w:tc>
          <w:tcPr>
            <w:tcW w:w="1988" w:type="dxa"/>
            <w:tcBorders>
              <w:top w:val="nil"/>
              <w:left w:val="nil"/>
              <w:bottom w:val="single" w:color="auto" w:sz="4" w:space="0"/>
              <w:right w:val="single" w:color="auto" w:sz="4" w:space="0"/>
            </w:tcBorders>
            <w:vAlign w:val="center"/>
          </w:tcPr>
          <w:p w14:paraId="438894E6">
            <w:pPr>
              <w:widowControl/>
              <w:spacing w:line="240" w:lineRule="exact"/>
              <w:rPr>
                <w:rFonts w:ascii="黑体" w:hAnsi="宋体" w:eastAsia="黑体" w:cs="宋体"/>
                <w:kern w:val="0"/>
                <w:sz w:val="22"/>
                <w:szCs w:val="22"/>
              </w:rPr>
            </w:pPr>
            <w:r>
              <w:rPr>
                <w:rFonts w:hint="eastAsia" w:ascii="黑体" w:hAnsi="宋体" w:eastAsia="黑体" w:cs="宋体"/>
                <w:kern w:val="0"/>
                <w:sz w:val="22"/>
                <w:szCs w:val="22"/>
              </w:rPr>
              <w:t>文件适用期已过</w:t>
            </w:r>
          </w:p>
        </w:tc>
      </w:tr>
      <w:tr w14:paraId="7867E797">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2729E975">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3001D31E">
            <w:pPr>
              <w:widowControl/>
              <w:jc w:val="center"/>
              <w:rPr>
                <w:rFonts w:ascii="黑体" w:hAnsi="宋体" w:eastAsia="黑体" w:cs="宋体"/>
                <w:kern w:val="0"/>
                <w:sz w:val="22"/>
                <w:szCs w:val="22"/>
              </w:rPr>
            </w:pPr>
            <w:r>
              <w:rPr>
                <w:rFonts w:hint="eastAsia" w:ascii="黑体" w:hAnsi="宋体" w:eastAsia="黑体" w:cs="宋体"/>
                <w:kern w:val="0"/>
                <w:sz w:val="22"/>
                <w:szCs w:val="22"/>
              </w:rPr>
              <w:t>120</w:t>
            </w:r>
          </w:p>
        </w:tc>
        <w:tc>
          <w:tcPr>
            <w:tcW w:w="3337" w:type="dxa"/>
            <w:tcBorders>
              <w:top w:val="nil"/>
              <w:left w:val="nil"/>
              <w:bottom w:val="single" w:color="auto" w:sz="4" w:space="0"/>
              <w:right w:val="single" w:color="auto" w:sz="4" w:space="0"/>
            </w:tcBorders>
            <w:vAlign w:val="center"/>
          </w:tcPr>
          <w:p w14:paraId="341C8EEA">
            <w:pPr>
              <w:widowControl/>
              <w:spacing w:line="0" w:lineRule="atLeast"/>
              <w:rPr>
                <w:rFonts w:ascii="黑体" w:hAnsi="宋体" w:eastAsia="黑体" w:cs="宋体"/>
                <w:kern w:val="0"/>
                <w:sz w:val="22"/>
                <w:szCs w:val="22"/>
              </w:rPr>
            </w:pPr>
            <w:r>
              <w:rPr>
                <w:rFonts w:hint="eastAsia" w:ascii="黑体" w:hAnsi="宋体" w:eastAsia="黑体" w:cs="宋体"/>
                <w:kern w:val="0"/>
                <w:sz w:val="22"/>
                <w:szCs w:val="22"/>
              </w:rPr>
              <w:t>南</w:t>
            </w:r>
            <w:r>
              <w:rPr>
                <w:rFonts w:hint="eastAsia" w:ascii="黑体" w:hAnsi="宋体" w:eastAsia="黑体" w:cs="宋体"/>
                <w:color w:val="000000" w:themeColor="text1"/>
                <w:kern w:val="0"/>
                <w:sz w:val="22"/>
                <w:szCs w:val="22"/>
                <w14:textFill>
                  <w14:solidFill>
                    <w14:schemeClr w14:val="tx1"/>
                  </w14:solidFill>
                </w14:textFill>
              </w:rPr>
              <w:t>昌市人民政府关于进一步加快学前教育发展的实施意见</w:t>
            </w:r>
          </w:p>
        </w:tc>
        <w:tc>
          <w:tcPr>
            <w:tcW w:w="1215" w:type="dxa"/>
            <w:tcBorders>
              <w:top w:val="nil"/>
              <w:left w:val="nil"/>
              <w:bottom w:val="single" w:color="auto" w:sz="4" w:space="0"/>
              <w:right w:val="single" w:color="auto" w:sz="4" w:space="0"/>
            </w:tcBorders>
            <w:vAlign w:val="center"/>
          </w:tcPr>
          <w:p w14:paraId="31184C11">
            <w:pPr>
              <w:widowControl/>
              <w:spacing w:line="0" w:lineRule="atLeast"/>
              <w:jc w:val="left"/>
              <w:rPr>
                <w:rFonts w:ascii="黑体" w:hAnsi="宋体" w:eastAsia="黑体" w:cs="宋体"/>
                <w:kern w:val="0"/>
                <w:sz w:val="22"/>
                <w:szCs w:val="22"/>
              </w:rPr>
            </w:pPr>
            <w:r>
              <w:rPr>
                <w:rFonts w:hint="eastAsia" w:ascii="黑体" w:hAnsi="宋体" w:eastAsia="黑体" w:cs="宋体"/>
                <w:kern w:val="0"/>
                <w:sz w:val="22"/>
                <w:szCs w:val="22"/>
              </w:rPr>
              <w:t>洪府发[2013]44号</w:t>
            </w:r>
          </w:p>
        </w:tc>
        <w:tc>
          <w:tcPr>
            <w:tcW w:w="1110" w:type="dxa"/>
            <w:tcBorders>
              <w:top w:val="nil"/>
              <w:left w:val="nil"/>
              <w:bottom w:val="single" w:color="auto" w:sz="4" w:space="0"/>
              <w:right w:val="single" w:color="auto" w:sz="4" w:space="0"/>
            </w:tcBorders>
            <w:vAlign w:val="center"/>
          </w:tcPr>
          <w:p w14:paraId="275BBB35">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2013.9.24</w:t>
            </w:r>
          </w:p>
        </w:tc>
        <w:tc>
          <w:tcPr>
            <w:tcW w:w="1988" w:type="dxa"/>
            <w:tcBorders>
              <w:top w:val="nil"/>
              <w:left w:val="nil"/>
              <w:bottom w:val="single" w:color="auto" w:sz="4" w:space="0"/>
              <w:right w:val="single" w:color="auto" w:sz="4" w:space="0"/>
            </w:tcBorders>
            <w:vAlign w:val="center"/>
          </w:tcPr>
          <w:p w14:paraId="6EE8DDCF">
            <w:pPr>
              <w:widowControl/>
              <w:spacing w:line="240" w:lineRule="exact"/>
              <w:rPr>
                <w:rFonts w:ascii="黑体" w:hAnsi="宋体" w:eastAsia="黑体" w:cs="宋体"/>
                <w:kern w:val="0"/>
                <w:sz w:val="22"/>
                <w:szCs w:val="22"/>
              </w:rPr>
            </w:pPr>
            <w:r>
              <w:rPr>
                <w:rFonts w:hint="eastAsia" w:ascii="黑体" w:hAnsi="宋体" w:eastAsia="黑体" w:cs="宋体"/>
                <w:kern w:val="0"/>
                <w:sz w:val="22"/>
                <w:szCs w:val="22"/>
              </w:rPr>
              <w:t>文件适用期已过</w:t>
            </w:r>
          </w:p>
        </w:tc>
      </w:tr>
      <w:tr w14:paraId="18CB2B43">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5ABDA9A1">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4F3F7021">
            <w:pPr>
              <w:widowControl/>
              <w:jc w:val="center"/>
              <w:rPr>
                <w:rFonts w:ascii="黑体" w:hAnsi="宋体" w:eastAsia="黑体" w:cs="宋体"/>
                <w:kern w:val="0"/>
                <w:sz w:val="22"/>
                <w:szCs w:val="22"/>
              </w:rPr>
            </w:pPr>
            <w:r>
              <w:rPr>
                <w:rFonts w:hint="eastAsia" w:ascii="黑体" w:hAnsi="宋体" w:eastAsia="黑体" w:cs="宋体"/>
                <w:kern w:val="0"/>
                <w:sz w:val="22"/>
                <w:szCs w:val="22"/>
              </w:rPr>
              <w:t>135</w:t>
            </w:r>
          </w:p>
        </w:tc>
        <w:tc>
          <w:tcPr>
            <w:tcW w:w="3337" w:type="dxa"/>
            <w:tcBorders>
              <w:top w:val="nil"/>
              <w:left w:val="nil"/>
              <w:bottom w:val="single" w:color="auto" w:sz="4" w:space="0"/>
              <w:right w:val="single" w:color="auto" w:sz="4" w:space="0"/>
            </w:tcBorders>
            <w:vAlign w:val="center"/>
          </w:tcPr>
          <w:p w14:paraId="1D40A6BC">
            <w:pPr>
              <w:widowControl/>
              <w:spacing w:line="0" w:lineRule="atLeast"/>
              <w:rPr>
                <w:rFonts w:ascii="黑体" w:hAnsi="宋体" w:eastAsia="黑体" w:cs="宋体"/>
                <w:kern w:val="0"/>
                <w:sz w:val="22"/>
                <w:szCs w:val="22"/>
              </w:rPr>
            </w:pPr>
            <w:r>
              <w:rPr>
                <w:rFonts w:hint="eastAsia" w:ascii="黑体" w:hAnsi="宋体" w:eastAsia="黑体" w:cs="宋体"/>
                <w:kern w:val="0"/>
                <w:sz w:val="22"/>
                <w:szCs w:val="22"/>
              </w:rPr>
              <w:t>南昌市人民政府办公厅关于转发市教育局等部门南昌市特殊教育提升计划（2014-2016）实施方案的通知</w:t>
            </w:r>
          </w:p>
        </w:tc>
        <w:tc>
          <w:tcPr>
            <w:tcW w:w="1215" w:type="dxa"/>
            <w:tcBorders>
              <w:top w:val="nil"/>
              <w:left w:val="nil"/>
              <w:bottom w:val="single" w:color="auto" w:sz="4" w:space="0"/>
              <w:right w:val="single" w:color="auto" w:sz="4" w:space="0"/>
            </w:tcBorders>
            <w:vAlign w:val="center"/>
          </w:tcPr>
          <w:p w14:paraId="1F4B4878">
            <w:pPr>
              <w:widowControl/>
              <w:spacing w:line="0" w:lineRule="atLeast"/>
              <w:jc w:val="left"/>
              <w:rPr>
                <w:rFonts w:ascii="黑体" w:hAnsi="宋体" w:eastAsia="黑体" w:cs="宋体"/>
                <w:kern w:val="0"/>
                <w:sz w:val="22"/>
                <w:szCs w:val="22"/>
              </w:rPr>
            </w:pPr>
            <w:r>
              <w:rPr>
                <w:rFonts w:hint="eastAsia" w:ascii="黑体" w:hAnsi="宋体" w:eastAsia="黑体" w:cs="宋体"/>
                <w:kern w:val="0"/>
                <w:sz w:val="22"/>
                <w:szCs w:val="22"/>
              </w:rPr>
              <w:t>洪府厅发[2015]50号</w:t>
            </w:r>
          </w:p>
        </w:tc>
        <w:tc>
          <w:tcPr>
            <w:tcW w:w="1110" w:type="dxa"/>
            <w:tcBorders>
              <w:top w:val="nil"/>
              <w:left w:val="nil"/>
              <w:bottom w:val="single" w:color="auto" w:sz="4" w:space="0"/>
              <w:right w:val="single" w:color="auto" w:sz="4" w:space="0"/>
            </w:tcBorders>
            <w:vAlign w:val="center"/>
          </w:tcPr>
          <w:p w14:paraId="1E9BB625">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2015.4.24</w:t>
            </w:r>
          </w:p>
        </w:tc>
        <w:tc>
          <w:tcPr>
            <w:tcW w:w="1988" w:type="dxa"/>
            <w:tcBorders>
              <w:top w:val="nil"/>
              <w:left w:val="nil"/>
              <w:bottom w:val="single" w:color="auto" w:sz="4" w:space="0"/>
              <w:right w:val="single" w:color="auto" w:sz="4" w:space="0"/>
            </w:tcBorders>
            <w:vAlign w:val="center"/>
          </w:tcPr>
          <w:p w14:paraId="52A3A152">
            <w:pPr>
              <w:widowControl/>
              <w:spacing w:line="240" w:lineRule="exact"/>
              <w:rPr>
                <w:rFonts w:ascii="黑体" w:hAnsi="宋体" w:eastAsia="黑体" w:cs="宋体"/>
                <w:kern w:val="0"/>
                <w:sz w:val="22"/>
                <w:szCs w:val="22"/>
              </w:rPr>
            </w:pPr>
            <w:r>
              <w:rPr>
                <w:rFonts w:hint="eastAsia" w:ascii="黑体" w:hAnsi="宋体" w:eastAsia="黑体" w:cs="宋体"/>
                <w:kern w:val="0"/>
                <w:sz w:val="22"/>
                <w:szCs w:val="22"/>
              </w:rPr>
              <w:t>文件适用期已过</w:t>
            </w:r>
          </w:p>
        </w:tc>
      </w:tr>
      <w:tr w14:paraId="5D13EC89">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69357068">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3F32CF58">
            <w:pPr>
              <w:widowControl/>
              <w:jc w:val="center"/>
              <w:rPr>
                <w:rFonts w:ascii="黑体" w:hAnsi="宋体" w:eastAsia="黑体" w:cs="宋体"/>
                <w:kern w:val="0"/>
                <w:sz w:val="22"/>
                <w:szCs w:val="22"/>
              </w:rPr>
            </w:pPr>
            <w:r>
              <w:rPr>
                <w:rFonts w:hint="eastAsia" w:ascii="黑体" w:hAnsi="宋体" w:eastAsia="黑体" w:cs="宋体"/>
                <w:kern w:val="0"/>
                <w:sz w:val="22"/>
                <w:szCs w:val="22"/>
              </w:rPr>
              <w:t>131</w:t>
            </w:r>
          </w:p>
        </w:tc>
        <w:tc>
          <w:tcPr>
            <w:tcW w:w="3337" w:type="dxa"/>
            <w:tcBorders>
              <w:top w:val="nil"/>
              <w:left w:val="nil"/>
              <w:bottom w:val="single" w:color="auto" w:sz="4" w:space="0"/>
              <w:right w:val="single" w:color="auto" w:sz="4" w:space="0"/>
            </w:tcBorders>
            <w:vAlign w:val="center"/>
          </w:tcPr>
          <w:p w14:paraId="3FA8A574">
            <w:pPr>
              <w:widowControl/>
              <w:spacing w:line="0" w:lineRule="atLeast"/>
              <w:rPr>
                <w:rFonts w:ascii="黑体" w:hAnsi="宋体" w:eastAsia="黑体" w:cs="宋体"/>
                <w:kern w:val="0"/>
                <w:sz w:val="22"/>
                <w:szCs w:val="22"/>
              </w:rPr>
            </w:pPr>
            <w:r>
              <w:rPr>
                <w:rFonts w:hint="eastAsia" w:ascii="黑体" w:hAnsi="宋体" w:eastAsia="黑体" w:cs="宋体"/>
                <w:kern w:val="0"/>
                <w:sz w:val="22"/>
                <w:szCs w:val="22"/>
              </w:rPr>
              <w:t>南昌市人民政府办公厅转发市教育局关于开展清理整顿无证幼儿园工作的紧急通知</w:t>
            </w:r>
          </w:p>
        </w:tc>
        <w:tc>
          <w:tcPr>
            <w:tcW w:w="1215" w:type="dxa"/>
            <w:tcBorders>
              <w:top w:val="nil"/>
              <w:left w:val="nil"/>
              <w:bottom w:val="single" w:color="auto" w:sz="4" w:space="0"/>
              <w:right w:val="single" w:color="auto" w:sz="4" w:space="0"/>
            </w:tcBorders>
            <w:vAlign w:val="center"/>
          </w:tcPr>
          <w:p w14:paraId="4FC2A058">
            <w:pPr>
              <w:widowControl/>
              <w:spacing w:line="0" w:lineRule="atLeast"/>
              <w:rPr>
                <w:rFonts w:ascii="黑体" w:hAnsi="宋体" w:eastAsia="黑体" w:cs="宋体"/>
                <w:kern w:val="0"/>
                <w:sz w:val="22"/>
                <w:szCs w:val="22"/>
              </w:rPr>
            </w:pPr>
            <w:r>
              <w:rPr>
                <w:rFonts w:hint="eastAsia" w:ascii="黑体" w:hAnsi="宋体" w:eastAsia="黑体" w:cs="宋体"/>
                <w:kern w:val="0"/>
                <w:sz w:val="22"/>
                <w:szCs w:val="22"/>
              </w:rPr>
              <w:t>洪府厅发[2012]171号</w:t>
            </w:r>
          </w:p>
        </w:tc>
        <w:tc>
          <w:tcPr>
            <w:tcW w:w="1110" w:type="dxa"/>
            <w:tcBorders>
              <w:top w:val="nil"/>
              <w:left w:val="nil"/>
              <w:bottom w:val="single" w:color="auto" w:sz="4" w:space="0"/>
              <w:right w:val="single" w:color="auto" w:sz="4" w:space="0"/>
            </w:tcBorders>
            <w:vAlign w:val="center"/>
          </w:tcPr>
          <w:p w14:paraId="278789C7">
            <w:pPr>
              <w:widowControl/>
              <w:spacing w:line="240" w:lineRule="exact"/>
              <w:rPr>
                <w:rFonts w:ascii="黑体" w:hAnsi="宋体" w:eastAsia="黑体" w:cs="宋体"/>
                <w:kern w:val="0"/>
                <w:sz w:val="22"/>
                <w:szCs w:val="22"/>
              </w:rPr>
            </w:pPr>
            <w:r>
              <w:rPr>
                <w:rFonts w:hint="eastAsia" w:ascii="黑体" w:hAnsi="宋体" w:eastAsia="黑体" w:cs="宋体"/>
                <w:kern w:val="0"/>
                <w:sz w:val="22"/>
                <w:szCs w:val="22"/>
              </w:rPr>
              <w:t>2012.12.30</w:t>
            </w:r>
          </w:p>
        </w:tc>
        <w:tc>
          <w:tcPr>
            <w:tcW w:w="1988" w:type="dxa"/>
            <w:tcBorders>
              <w:top w:val="nil"/>
              <w:left w:val="nil"/>
              <w:bottom w:val="single" w:color="auto" w:sz="4" w:space="0"/>
              <w:right w:val="single" w:color="auto" w:sz="4" w:space="0"/>
            </w:tcBorders>
            <w:vAlign w:val="center"/>
          </w:tcPr>
          <w:p w14:paraId="0A71C729">
            <w:pPr>
              <w:widowControl/>
              <w:spacing w:line="240" w:lineRule="exact"/>
              <w:rPr>
                <w:rFonts w:ascii="黑体" w:hAnsi="宋体" w:eastAsia="黑体" w:cs="宋体"/>
                <w:kern w:val="0"/>
                <w:sz w:val="22"/>
                <w:szCs w:val="22"/>
              </w:rPr>
            </w:pPr>
            <w:r>
              <w:rPr>
                <w:rFonts w:hint="eastAsia" w:ascii="黑体" w:hAnsi="宋体" w:eastAsia="黑体" w:cs="宋体"/>
                <w:kern w:val="0"/>
                <w:sz w:val="22"/>
                <w:szCs w:val="22"/>
              </w:rPr>
              <w:t>文件适用期已过</w:t>
            </w:r>
          </w:p>
        </w:tc>
      </w:tr>
      <w:tr w14:paraId="184B90E9">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3298C877">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4C0406F4">
            <w:pPr>
              <w:widowControl/>
              <w:jc w:val="center"/>
              <w:rPr>
                <w:rFonts w:ascii="黑体" w:hAnsi="宋体" w:eastAsia="黑体" w:cs="宋体"/>
                <w:kern w:val="0"/>
                <w:sz w:val="22"/>
                <w:szCs w:val="22"/>
              </w:rPr>
            </w:pPr>
            <w:r>
              <w:rPr>
                <w:rFonts w:hint="eastAsia" w:ascii="黑体" w:hAnsi="宋体" w:eastAsia="黑体" w:cs="宋体"/>
                <w:kern w:val="0"/>
                <w:sz w:val="22"/>
                <w:szCs w:val="22"/>
              </w:rPr>
              <w:t>129</w:t>
            </w:r>
          </w:p>
        </w:tc>
        <w:tc>
          <w:tcPr>
            <w:tcW w:w="3337" w:type="dxa"/>
            <w:tcBorders>
              <w:top w:val="nil"/>
              <w:left w:val="nil"/>
              <w:bottom w:val="single" w:color="auto" w:sz="4" w:space="0"/>
              <w:right w:val="single" w:color="auto" w:sz="4" w:space="0"/>
            </w:tcBorders>
            <w:vAlign w:val="center"/>
          </w:tcPr>
          <w:p w14:paraId="3A866804">
            <w:pPr>
              <w:widowControl/>
              <w:spacing w:line="0" w:lineRule="atLeast"/>
              <w:rPr>
                <w:rFonts w:ascii="黑体" w:hAnsi="宋体" w:eastAsia="黑体" w:cs="宋体"/>
                <w:kern w:val="0"/>
                <w:sz w:val="22"/>
                <w:szCs w:val="22"/>
              </w:rPr>
            </w:pPr>
            <w:r>
              <w:rPr>
                <w:rFonts w:hint="eastAsia" w:ascii="黑体" w:hAnsi="宋体" w:eastAsia="黑体" w:cs="宋体"/>
                <w:kern w:val="0"/>
                <w:sz w:val="22"/>
                <w:szCs w:val="22"/>
              </w:rPr>
              <w:t>南昌市人民政府办公厅印发关于大力推进我市义务均衡发展实施意见的通知</w:t>
            </w:r>
          </w:p>
        </w:tc>
        <w:tc>
          <w:tcPr>
            <w:tcW w:w="1215" w:type="dxa"/>
            <w:tcBorders>
              <w:top w:val="nil"/>
              <w:left w:val="nil"/>
              <w:bottom w:val="single" w:color="auto" w:sz="4" w:space="0"/>
              <w:right w:val="single" w:color="auto" w:sz="4" w:space="0"/>
            </w:tcBorders>
            <w:vAlign w:val="center"/>
          </w:tcPr>
          <w:p w14:paraId="5FFAAAAB">
            <w:pPr>
              <w:widowControl/>
              <w:spacing w:line="0" w:lineRule="atLeast"/>
              <w:rPr>
                <w:rFonts w:ascii="黑体" w:hAnsi="宋体" w:eastAsia="黑体" w:cs="宋体"/>
                <w:kern w:val="0"/>
                <w:sz w:val="22"/>
                <w:szCs w:val="22"/>
              </w:rPr>
            </w:pPr>
            <w:r>
              <w:rPr>
                <w:rFonts w:hint="eastAsia" w:ascii="黑体" w:hAnsi="宋体" w:eastAsia="黑体" w:cs="宋体"/>
                <w:kern w:val="0"/>
                <w:sz w:val="22"/>
                <w:szCs w:val="22"/>
              </w:rPr>
              <w:t>洪府厅发[2007]44号</w:t>
            </w:r>
          </w:p>
        </w:tc>
        <w:tc>
          <w:tcPr>
            <w:tcW w:w="1110" w:type="dxa"/>
            <w:tcBorders>
              <w:top w:val="nil"/>
              <w:left w:val="nil"/>
              <w:bottom w:val="single" w:color="auto" w:sz="4" w:space="0"/>
              <w:right w:val="single" w:color="auto" w:sz="4" w:space="0"/>
            </w:tcBorders>
            <w:vAlign w:val="center"/>
          </w:tcPr>
          <w:p w14:paraId="7BDB021F">
            <w:pPr>
              <w:widowControl/>
              <w:spacing w:line="240" w:lineRule="exact"/>
              <w:rPr>
                <w:rFonts w:ascii="黑体" w:hAnsi="宋体" w:eastAsia="黑体" w:cs="宋体"/>
                <w:kern w:val="0"/>
                <w:sz w:val="22"/>
                <w:szCs w:val="22"/>
              </w:rPr>
            </w:pPr>
            <w:r>
              <w:rPr>
                <w:rFonts w:ascii="黑体" w:hAnsi="宋体" w:eastAsia="黑体" w:cs="宋体"/>
                <w:kern w:val="0"/>
                <w:sz w:val="22"/>
                <w:szCs w:val="22"/>
              </w:rPr>
              <w:t>2007.4.23</w:t>
            </w:r>
          </w:p>
        </w:tc>
        <w:tc>
          <w:tcPr>
            <w:tcW w:w="1988" w:type="dxa"/>
            <w:tcBorders>
              <w:top w:val="nil"/>
              <w:left w:val="nil"/>
              <w:bottom w:val="single" w:color="auto" w:sz="4" w:space="0"/>
              <w:right w:val="single" w:color="auto" w:sz="4" w:space="0"/>
            </w:tcBorders>
            <w:vAlign w:val="center"/>
          </w:tcPr>
          <w:p w14:paraId="716D6D60">
            <w:pPr>
              <w:widowControl/>
              <w:spacing w:line="240" w:lineRule="exact"/>
              <w:rPr>
                <w:rFonts w:ascii="黑体" w:hAnsi="宋体" w:eastAsia="黑体" w:cs="宋体"/>
                <w:kern w:val="0"/>
                <w:sz w:val="22"/>
                <w:szCs w:val="22"/>
              </w:rPr>
            </w:pPr>
            <w:r>
              <w:rPr>
                <w:rFonts w:hint="eastAsia" w:ascii="黑体" w:hAnsi="宋体" w:eastAsia="黑体" w:cs="宋体"/>
                <w:kern w:val="0"/>
                <w:sz w:val="22"/>
                <w:szCs w:val="22"/>
              </w:rPr>
              <w:t>未找到该文件</w:t>
            </w:r>
          </w:p>
        </w:tc>
      </w:tr>
      <w:tr w14:paraId="10989B5D">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7E76670B">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0C798652">
            <w:pPr>
              <w:widowControl/>
              <w:jc w:val="center"/>
              <w:rPr>
                <w:rFonts w:ascii="黑体" w:hAnsi="宋体" w:eastAsia="黑体" w:cs="宋体"/>
                <w:kern w:val="0"/>
                <w:sz w:val="22"/>
                <w:szCs w:val="22"/>
              </w:rPr>
            </w:pPr>
            <w:r>
              <w:rPr>
                <w:rFonts w:hint="eastAsia" w:ascii="黑体" w:hAnsi="宋体" w:eastAsia="黑体" w:cs="宋体"/>
                <w:kern w:val="0"/>
                <w:sz w:val="22"/>
                <w:szCs w:val="22"/>
              </w:rPr>
              <w:t>124</w:t>
            </w:r>
          </w:p>
        </w:tc>
        <w:tc>
          <w:tcPr>
            <w:tcW w:w="3337" w:type="dxa"/>
            <w:tcBorders>
              <w:top w:val="nil"/>
              <w:left w:val="nil"/>
              <w:bottom w:val="single" w:color="auto" w:sz="4" w:space="0"/>
              <w:right w:val="single" w:color="auto" w:sz="4" w:space="0"/>
            </w:tcBorders>
            <w:vAlign w:val="center"/>
          </w:tcPr>
          <w:p w14:paraId="51F413F3">
            <w:pPr>
              <w:widowControl/>
              <w:spacing w:line="0" w:lineRule="atLeast"/>
              <w:jc w:val="left"/>
              <w:rPr>
                <w:rFonts w:ascii="黑体" w:hAnsi="宋体" w:eastAsia="黑体" w:cs="宋体"/>
                <w:kern w:val="0"/>
                <w:sz w:val="22"/>
                <w:szCs w:val="22"/>
              </w:rPr>
            </w:pPr>
            <w:r>
              <w:rPr>
                <w:rFonts w:hint="eastAsia" w:ascii="黑体" w:hAnsi="宋体" w:eastAsia="黑体" w:cs="宋体"/>
                <w:kern w:val="0"/>
                <w:sz w:val="22"/>
                <w:szCs w:val="22"/>
              </w:rPr>
              <w:t>南昌市人民政府办公厅印发南昌市教育局关于实施三名工程意见的通知</w:t>
            </w:r>
          </w:p>
        </w:tc>
        <w:tc>
          <w:tcPr>
            <w:tcW w:w="1215" w:type="dxa"/>
            <w:tcBorders>
              <w:top w:val="nil"/>
              <w:left w:val="nil"/>
              <w:bottom w:val="single" w:color="auto" w:sz="4" w:space="0"/>
              <w:right w:val="single" w:color="auto" w:sz="4" w:space="0"/>
            </w:tcBorders>
            <w:vAlign w:val="center"/>
          </w:tcPr>
          <w:p w14:paraId="22851630">
            <w:pPr>
              <w:widowControl/>
              <w:spacing w:line="0" w:lineRule="atLeast"/>
              <w:jc w:val="left"/>
              <w:rPr>
                <w:rFonts w:ascii="黑体" w:hAnsi="宋体" w:eastAsia="黑体" w:cs="宋体"/>
                <w:kern w:val="0"/>
                <w:sz w:val="22"/>
                <w:szCs w:val="22"/>
              </w:rPr>
            </w:pPr>
            <w:r>
              <w:rPr>
                <w:rFonts w:hint="eastAsia" w:ascii="黑体" w:hAnsi="宋体" w:eastAsia="黑体" w:cs="宋体"/>
                <w:kern w:val="0"/>
                <w:sz w:val="22"/>
                <w:szCs w:val="22"/>
              </w:rPr>
              <w:t>洪府厅发[2002]131号</w:t>
            </w:r>
          </w:p>
        </w:tc>
        <w:tc>
          <w:tcPr>
            <w:tcW w:w="1110" w:type="dxa"/>
            <w:tcBorders>
              <w:top w:val="nil"/>
              <w:left w:val="nil"/>
              <w:bottom w:val="single" w:color="auto" w:sz="4" w:space="0"/>
              <w:right w:val="single" w:color="auto" w:sz="4" w:space="0"/>
            </w:tcBorders>
            <w:vAlign w:val="center"/>
          </w:tcPr>
          <w:p w14:paraId="7BC886A1">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2002.12.9</w:t>
            </w:r>
          </w:p>
        </w:tc>
        <w:tc>
          <w:tcPr>
            <w:tcW w:w="1988" w:type="dxa"/>
            <w:tcBorders>
              <w:top w:val="nil"/>
              <w:left w:val="nil"/>
              <w:bottom w:val="single" w:color="auto" w:sz="4" w:space="0"/>
              <w:right w:val="single" w:color="auto" w:sz="4" w:space="0"/>
            </w:tcBorders>
            <w:vAlign w:val="center"/>
          </w:tcPr>
          <w:p w14:paraId="0D15CFF7">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调整对象已消失</w:t>
            </w:r>
          </w:p>
        </w:tc>
      </w:tr>
      <w:tr w14:paraId="3510B2EF">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53FF7986">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783A0952">
            <w:pPr>
              <w:widowControl/>
              <w:jc w:val="center"/>
              <w:rPr>
                <w:rFonts w:ascii="黑体" w:hAnsi="宋体" w:eastAsia="黑体" w:cs="宋体"/>
                <w:kern w:val="0"/>
                <w:sz w:val="22"/>
                <w:szCs w:val="22"/>
              </w:rPr>
            </w:pPr>
          </w:p>
        </w:tc>
        <w:tc>
          <w:tcPr>
            <w:tcW w:w="3337" w:type="dxa"/>
            <w:tcBorders>
              <w:top w:val="nil"/>
              <w:left w:val="nil"/>
              <w:bottom w:val="single" w:color="auto" w:sz="4" w:space="0"/>
              <w:right w:val="single" w:color="auto" w:sz="4" w:space="0"/>
            </w:tcBorders>
            <w:vAlign w:val="center"/>
          </w:tcPr>
          <w:p w14:paraId="589BB160">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关于印发南昌市贯彻加快中西部教育发展指导意见的实施方案的通知</w:t>
            </w:r>
          </w:p>
        </w:tc>
        <w:tc>
          <w:tcPr>
            <w:tcW w:w="1215" w:type="dxa"/>
            <w:tcBorders>
              <w:top w:val="nil"/>
              <w:left w:val="nil"/>
              <w:bottom w:val="single" w:color="auto" w:sz="4" w:space="0"/>
              <w:right w:val="single" w:color="auto" w:sz="4" w:space="0"/>
            </w:tcBorders>
            <w:vAlign w:val="center"/>
          </w:tcPr>
          <w:p w14:paraId="56173FBB">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洪府厅发〔2017〕74号</w:t>
            </w:r>
          </w:p>
        </w:tc>
        <w:tc>
          <w:tcPr>
            <w:tcW w:w="1110" w:type="dxa"/>
            <w:tcBorders>
              <w:top w:val="nil"/>
              <w:left w:val="nil"/>
              <w:bottom w:val="single" w:color="auto" w:sz="4" w:space="0"/>
              <w:right w:val="single" w:color="auto" w:sz="4" w:space="0"/>
            </w:tcBorders>
            <w:vAlign w:val="center"/>
          </w:tcPr>
          <w:p w14:paraId="37E0E76F">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2017年6月19日</w:t>
            </w:r>
          </w:p>
        </w:tc>
        <w:tc>
          <w:tcPr>
            <w:tcW w:w="1988" w:type="dxa"/>
            <w:tcBorders>
              <w:top w:val="nil"/>
              <w:left w:val="nil"/>
              <w:bottom w:val="single" w:color="auto" w:sz="4" w:space="0"/>
              <w:right w:val="single" w:color="auto" w:sz="4" w:space="0"/>
            </w:tcBorders>
            <w:vAlign w:val="center"/>
          </w:tcPr>
          <w:p w14:paraId="2BA1D3D2">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文件适用期已过</w:t>
            </w:r>
          </w:p>
        </w:tc>
      </w:tr>
      <w:tr w14:paraId="03200C6B">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23F91F21">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59B09905">
            <w:pPr>
              <w:widowControl/>
              <w:jc w:val="center"/>
              <w:rPr>
                <w:rFonts w:ascii="黑体" w:hAnsi="宋体" w:eastAsia="黑体" w:cs="宋体"/>
                <w:kern w:val="0"/>
                <w:sz w:val="22"/>
                <w:szCs w:val="22"/>
              </w:rPr>
            </w:pPr>
            <w:r>
              <w:rPr>
                <w:rFonts w:ascii="黑体" w:hAnsi="宋体" w:eastAsia="黑体" w:cs="宋体"/>
                <w:kern w:val="0"/>
                <w:sz w:val="22"/>
                <w:szCs w:val="22"/>
              </w:rPr>
              <w:t>34</w:t>
            </w:r>
          </w:p>
        </w:tc>
        <w:tc>
          <w:tcPr>
            <w:tcW w:w="3337" w:type="dxa"/>
            <w:tcBorders>
              <w:top w:val="nil"/>
              <w:left w:val="nil"/>
              <w:bottom w:val="single" w:color="auto" w:sz="4" w:space="0"/>
              <w:right w:val="single" w:color="auto" w:sz="4" w:space="0"/>
            </w:tcBorders>
            <w:vAlign w:val="center"/>
          </w:tcPr>
          <w:p w14:paraId="60DAD687">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南昌市人民政府印发关于推进区域内义务教育均衡发展行动计划实施方案的通知</w:t>
            </w:r>
          </w:p>
        </w:tc>
        <w:tc>
          <w:tcPr>
            <w:tcW w:w="1215" w:type="dxa"/>
            <w:tcBorders>
              <w:top w:val="nil"/>
              <w:left w:val="nil"/>
              <w:bottom w:val="single" w:color="auto" w:sz="4" w:space="0"/>
              <w:right w:val="single" w:color="auto" w:sz="4" w:space="0"/>
            </w:tcBorders>
            <w:vAlign w:val="center"/>
          </w:tcPr>
          <w:p w14:paraId="12829D39">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洪府发〔2010〕29号</w:t>
            </w:r>
          </w:p>
        </w:tc>
        <w:tc>
          <w:tcPr>
            <w:tcW w:w="1110" w:type="dxa"/>
            <w:tcBorders>
              <w:top w:val="nil"/>
              <w:left w:val="nil"/>
              <w:bottom w:val="single" w:color="auto" w:sz="4" w:space="0"/>
              <w:right w:val="single" w:color="auto" w:sz="4" w:space="0"/>
            </w:tcBorders>
            <w:vAlign w:val="center"/>
          </w:tcPr>
          <w:p w14:paraId="41DB9C7D">
            <w:pPr>
              <w:widowControl/>
              <w:spacing w:line="240" w:lineRule="exact"/>
              <w:jc w:val="left"/>
              <w:rPr>
                <w:rFonts w:ascii="黑体" w:hAnsi="宋体" w:eastAsia="黑体" w:cs="宋体"/>
                <w:kern w:val="0"/>
                <w:sz w:val="22"/>
                <w:szCs w:val="22"/>
              </w:rPr>
            </w:pPr>
            <w:r>
              <w:rPr>
                <w:rFonts w:ascii="黑体" w:hAnsi="宋体" w:eastAsia="黑体" w:cs="宋体"/>
                <w:kern w:val="0"/>
                <w:sz w:val="22"/>
                <w:szCs w:val="22"/>
              </w:rPr>
              <w:t>2010.11.16</w:t>
            </w:r>
          </w:p>
        </w:tc>
        <w:tc>
          <w:tcPr>
            <w:tcW w:w="1988" w:type="dxa"/>
            <w:tcBorders>
              <w:top w:val="nil"/>
              <w:left w:val="nil"/>
              <w:bottom w:val="single" w:color="auto" w:sz="4" w:space="0"/>
              <w:right w:val="single" w:color="auto" w:sz="4" w:space="0"/>
            </w:tcBorders>
            <w:vAlign w:val="center"/>
          </w:tcPr>
          <w:p w14:paraId="081F037B">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文件中目标任务时限为2020年</w:t>
            </w:r>
          </w:p>
        </w:tc>
      </w:tr>
      <w:tr w14:paraId="61B63CDC">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2437DB30">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0FD51660">
            <w:pPr>
              <w:widowControl/>
              <w:jc w:val="center"/>
              <w:rPr>
                <w:rFonts w:ascii="黑体" w:hAnsi="宋体" w:eastAsia="黑体" w:cs="宋体"/>
                <w:kern w:val="0"/>
                <w:sz w:val="22"/>
                <w:szCs w:val="22"/>
              </w:rPr>
            </w:pPr>
            <w:bookmarkStart w:id="0" w:name="_GoBack"/>
            <w:bookmarkEnd w:id="0"/>
            <w:r>
              <w:rPr>
                <w:rFonts w:ascii="黑体" w:hAnsi="宋体" w:eastAsia="黑体" w:cs="宋体"/>
                <w:kern w:val="0"/>
                <w:sz w:val="22"/>
                <w:szCs w:val="22"/>
              </w:rPr>
              <w:t>43</w:t>
            </w:r>
          </w:p>
        </w:tc>
        <w:tc>
          <w:tcPr>
            <w:tcW w:w="3337" w:type="dxa"/>
            <w:tcBorders>
              <w:top w:val="nil"/>
              <w:left w:val="nil"/>
              <w:bottom w:val="single" w:color="auto" w:sz="4" w:space="0"/>
              <w:right w:val="single" w:color="auto" w:sz="4" w:space="0"/>
            </w:tcBorders>
            <w:vAlign w:val="center"/>
          </w:tcPr>
          <w:p w14:paraId="281193E4">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南昌市人民政府办公厅《关于印发南昌市城镇居住区配套教育设施建设及产权移交暂行办法的通知》</w:t>
            </w:r>
          </w:p>
        </w:tc>
        <w:tc>
          <w:tcPr>
            <w:tcW w:w="1215" w:type="dxa"/>
            <w:tcBorders>
              <w:top w:val="nil"/>
              <w:left w:val="nil"/>
              <w:bottom w:val="single" w:color="auto" w:sz="4" w:space="0"/>
              <w:right w:val="single" w:color="auto" w:sz="4" w:space="0"/>
            </w:tcBorders>
            <w:vAlign w:val="center"/>
          </w:tcPr>
          <w:p w14:paraId="5A0DDAB4">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洪府厅发〔2018〕140号</w:t>
            </w:r>
          </w:p>
        </w:tc>
        <w:tc>
          <w:tcPr>
            <w:tcW w:w="1110" w:type="dxa"/>
            <w:tcBorders>
              <w:top w:val="nil"/>
              <w:left w:val="nil"/>
              <w:bottom w:val="single" w:color="auto" w:sz="4" w:space="0"/>
              <w:right w:val="single" w:color="auto" w:sz="4" w:space="0"/>
            </w:tcBorders>
            <w:vAlign w:val="center"/>
          </w:tcPr>
          <w:p w14:paraId="2F3F6A21">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2018.10.11</w:t>
            </w:r>
          </w:p>
        </w:tc>
        <w:tc>
          <w:tcPr>
            <w:tcW w:w="1988" w:type="dxa"/>
            <w:tcBorders>
              <w:top w:val="nil"/>
              <w:left w:val="nil"/>
              <w:bottom w:val="single" w:color="auto" w:sz="4" w:space="0"/>
              <w:right w:val="single" w:color="auto" w:sz="4" w:space="0"/>
            </w:tcBorders>
            <w:vAlign w:val="center"/>
          </w:tcPr>
          <w:p w14:paraId="5B77F8B3">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文件中第十九条明确“</w:t>
            </w:r>
            <w:r>
              <w:rPr>
                <w:rFonts w:ascii="黑体" w:hAnsi="宋体" w:eastAsia="黑体" w:cs="宋体"/>
                <w:kern w:val="0"/>
                <w:sz w:val="22"/>
                <w:szCs w:val="22"/>
              </w:rPr>
              <w:t>本暂行办法自2018年</w:t>
            </w:r>
            <w:r>
              <w:rPr>
                <w:rFonts w:hint="eastAsia" w:ascii="黑体" w:hAnsi="宋体" w:eastAsia="黑体" w:cs="宋体"/>
                <w:kern w:val="0"/>
                <w:sz w:val="22"/>
                <w:szCs w:val="22"/>
              </w:rPr>
              <w:t>11</w:t>
            </w:r>
            <w:r>
              <w:rPr>
                <w:rFonts w:ascii="黑体" w:hAnsi="宋体" w:eastAsia="黑体" w:cs="宋体"/>
                <w:kern w:val="0"/>
                <w:sz w:val="22"/>
                <w:szCs w:val="22"/>
              </w:rPr>
              <w:t>月</w:t>
            </w:r>
            <w:r>
              <w:rPr>
                <w:rFonts w:hint="eastAsia" w:ascii="黑体" w:hAnsi="宋体" w:eastAsia="黑体" w:cs="宋体"/>
                <w:kern w:val="0"/>
                <w:sz w:val="22"/>
                <w:szCs w:val="22"/>
              </w:rPr>
              <w:t>15</w:t>
            </w:r>
            <w:r>
              <w:rPr>
                <w:rFonts w:ascii="黑体" w:hAnsi="宋体" w:eastAsia="黑体" w:cs="宋体"/>
                <w:kern w:val="0"/>
                <w:sz w:val="22"/>
                <w:szCs w:val="22"/>
              </w:rPr>
              <w:t>日起施行，有效期两年。</w:t>
            </w:r>
            <w:r>
              <w:rPr>
                <w:rFonts w:hint="eastAsia" w:ascii="黑体" w:hAnsi="宋体" w:eastAsia="黑体" w:cs="宋体"/>
                <w:kern w:val="0"/>
                <w:sz w:val="22"/>
                <w:szCs w:val="22"/>
              </w:rPr>
              <w:t>”</w:t>
            </w:r>
          </w:p>
        </w:tc>
      </w:tr>
      <w:tr w14:paraId="685855F7">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right w:val="single" w:color="auto" w:sz="4" w:space="0"/>
            </w:tcBorders>
            <w:vAlign w:val="center"/>
          </w:tcPr>
          <w:p w14:paraId="07353F71">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69F16ECF">
            <w:pPr>
              <w:widowControl/>
              <w:jc w:val="center"/>
              <w:rPr>
                <w:rFonts w:ascii="黑体" w:hAnsi="宋体" w:eastAsia="黑体" w:cs="宋体"/>
                <w:kern w:val="0"/>
                <w:sz w:val="22"/>
                <w:szCs w:val="22"/>
              </w:rPr>
            </w:pPr>
            <w:r>
              <w:rPr>
                <w:rFonts w:hint="eastAsia" w:ascii="黑体" w:hAnsi="宋体" w:eastAsia="黑体" w:cs="宋体"/>
                <w:kern w:val="0"/>
                <w:sz w:val="22"/>
                <w:szCs w:val="22"/>
              </w:rPr>
              <w:t>4</w:t>
            </w:r>
            <w:r>
              <w:rPr>
                <w:rFonts w:ascii="黑体" w:hAnsi="宋体" w:eastAsia="黑体" w:cs="宋体"/>
                <w:kern w:val="0"/>
                <w:sz w:val="22"/>
                <w:szCs w:val="22"/>
              </w:rPr>
              <w:t>2</w:t>
            </w:r>
          </w:p>
        </w:tc>
        <w:tc>
          <w:tcPr>
            <w:tcW w:w="3337" w:type="dxa"/>
            <w:tcBorders>
              <w:top w:val="nil"/>
              <w:left w:val="nil"/>
              <w:bottom w:val="single" w:color="auto" w:sz="4" w:space="0"/>
              <w:right w:val="single" w:color="auto" w:sz="4" w:space="0"/>
            </w:tcBorders>
            <w:vAlign w:val="center"/>
          </w:tcPr>
          <w:p w14:paraId="20803BEB">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南昌市人民政府办公厅关于进一步加快推进教育信息化工作的实施意见</w:t>
            </w:r>
          </w:p>
        </w:tc>
        <w:tc>
          <w:tcPr>
            <w:tcW w:w="1215" w:type="dxa"/>
            <w:tcBorders>
              <w:top w:val="nil"/>
              <w:left w:val="nil"/>
              <w:bottom w:val="single" w:color="auto" w:sz="4" w:space="0"/>
              <w:right w:val="single" w:color="auto" w:sz="4" w:space="0"/>
            </w:tcBorders>
            <w:vAlign w:val="center"/>
          </w:tcPr>
          <w:p w14:paraId="16103A2D">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洪府厅发〔2018〕5号</w:t>
            </w:r>
          </w:p>
        </w:tc>
        <w:tc>
          <w:tcPr>
            <w:tcW w:w="1110" w:type="dxa"/>
            <w:tcBorders>
              <w:top w:val="nil"/>
              <w:left w:val="nil"/>
              <w:bottom w:val="single" w:color="auto" w:sz="4" w:space="0"/>
              <w:right w:val="single" w:color="auto" w:sz="4" w:space="0"/>
            </w:tcBorders>
            <w:vAlign w:val="center"/>
          </w:tcPr>
          <w:p w14:paraId="06768938">
            <w:pPr>
              <w:widowControl/>
              <w:spacing w:line="240" w:lineRule="exact"/>
              <w:jc w:val="left"/>
              <w:rPr>
                <w:rFonts w:ascii="黑体" w:hAnsi="宋体" w:eastAsia="黑体" w:cs="宋体"/>
                <w:kern w:val="0"/>
                <w:sz w:val="22"/>
                <w:szCs w:val="22"/>
              </w:rPr>
            </w:pPr>
            <w:r>
              <w:rPr>
                <w:rFonts w:ascii="黑体" w:hAnsi="宋体" w:eastAsia="黑体" w:cs="宋体"/>
                <w:kern w:val="0"/>
                <w:sz w:val="22"/>
                <w:szCs w:val="22"/>
              </w:rPr>
              <w:t>2018.1.11</w:t>
            </w:r>
          </w:p>
        </w:tc>
        <w:tc>
          <w:tcPr>
            <w:tcW w:w="1988" w:type="dxa"/>
            <w:tcBorders>
              <w:top w:val="nil"/>
              <w:left w:val="nil"/>
              <w:bottom w:val="single" w:color="auto" w:sz="4" w:space="0"/>
              <w:right w:val="single" w:color="auto" w:sz="4" w:space="0"/>
            </w:tcBorders>
            <w:vAlign w:val="center"/>
          </w:tcPr>
          <w:p w14:paraId="6668767C">
            <w:pPr>
              <w:widowControl/>
              <w:spacing w:line="240" w:lineRule="exact"/>
              <w:jc w:val="left"/>
              <w:rPr>
                <w:rFonts w:ascii="黑体" w:hAnsi="宋体" w:eastAsia="黑体" w:cs="宋体"/>
                <w:kern w:val="0"/>
                <w:sz w:val="22"/>
                <w:szCs w:val="22"/>
              </w:rPr>
            </w:pPr>
            <w:r>
              <w:rPr>
                <w:rFonts w:hint="eastAsia" w:ascii="黑体" w:hAnsi="宋体" w:eastAsia="黑体" w:cs="宋体"/>
                <w:kern w:val="0"/>
                <w:sz w:val="22"/>
                <w:szCs w:val="22"/>
              </w:rPr>
              <w:t>此文配合的是教育部教育信息化</w:t>
            </w:r>
            <w:r>
              <w:rPr>
                <w:rFonts w:hint="eastAsia" w:ascii="黑体" w:hAnsi="宋体" w:eastAsia="黑体" w:cs="宋体"/>
                <w:kern w:val="0"/>
                <w:sz w:val="22"/>
                <w:szCs w:val="22"/>
                <w:lang w:eastAsia="zh-CN"/>
              </w:rPr>
              <w:t>“十三五”规划</w:t>
            </w:r>
            <w:r>
              <w:rPr>
                <w:rFonts w:hint="eastAsia" w:ascii="黑体" w:hAnsi="宋体" w:eastAsia="黑体" w:cs="宋体"/>
                <w:kern w:val="0"/>
                <w:sz w:val="22"/>
                <w:szCs w:val="22"/>
              </w:rPr>
              <w:t>，时效期至</w:t>
            </w:r>
            <w:r>
              <w:rPr>
                <w:rFonts w:ascii="黑体" w:hAnsi="宋体" w:eastAsia="黑体" w:cs="宋体"/>
                <w:kern w:val="0"/>
                <w:sz w:val="22"/>
                <w:szCs w:val="22"/>
              </w:rPr>
              <w:t>2020</w:t>
            </w:r>
            <w:r>
              <w:rPr>
                <w:rFonts w:hint="eastAsia" w:ascii="黑体" w:hAnsi="宋体" w:eastAsia="黑体" w:cs="宋体"/>
                <w:kern w:val="0"/>
                <w:sz w:val="22"/>
                <w:szCs w:val="22"/>
              </w:rPr>
              <w:t>年，因此该文件已过期失效。</w:t>
            </w:r>
          </w:p>
        </w:tc>
      </w:tr>
      <w:tr w14:paraId="50F491FA">
        <w:tblPrEx>
          <w:tblCellMar>
            <w:top w:w="0" w:type="dxa"/>
            <w:left w:w="108" w:type="dxa"/>
            <w:bottom w:w="0" w:type="dxa"/>
            <w:right w:w="108" w:type="dxa"/>
          </w:tblCellMar>
        </w:tblPrEx>
        <w:trPr>
          <w:trHeight w:val="728" w:hRule="atLeast"/>
          <w:jc w:val="center"/>
        </w:trPr>
        <w:tc>
          <w:tcPr>
            <w:tcW w:w="1833" w:type="dxa"/>
            <w:vMerge w:val="continue"/>
            <w:tcBorders>
              <w:left w:val="single" w:color="auto" w:sz="4" w:space="0"/>
              <w:bottom w:val="single" w:color="000000" w:sz="4" w:space="0"/>
              <w:right w:val="single" w:color="auto" w:sz="4" w:space="0"/>
            </w:tcBorders>
            <w:vAlign w:val="center"/>
          </w:tcPr>
          <w:p w14:paraId="500AC6B5">
            <w:pPr>
              <w:widowControl/>
              <w:jc w:val="left"/>
              <w:rPr>
                <w:rFonts w:ascii="黑体" w:hAnsi="宋体" w:eastAsia="黑体" w:cs="宋体"/>
                <w:kern w:val="0"/>
                <w:sz w:val="22"/>
                <w:szCs w:val="22"/>
              </w:rPr>
            </w:pPr>
          </w:p>
        </w:tc>
        <w:tc>
          <w:tcPr>
            <w:tcW w:w="840" w:type="dxa"/>
            <w:tcBorders>
              <w:top w:val="nil"/>
              <w:left w:val="nil"/>
              <w:bottom w:val="single" w:color="auto" w:sz="4" w:space="0"/>
              <w:right w:val="single" w:color="auto" w:sz="4" w:space="0"/>
            </w:tcBorders>
            <w:vAlign w:val="center"/>
          </w:tcPr>
          <w:p w14:paraId="2E1BD084">
            <w:pPr>
              <w:widowControl/>
              <w:jc w:val="center"/>
              <w:rPr>
                <w:rFonts w:ascii="黑体" w:hAnsi="宋体" w:eastAsia="黑体" w:cs="宋体"/>
                <w:kern w:val="0"/>
                <w:sz w:val="22"/>
                <w:szCs w:val="22"/>
              </w:rPr>
            </w:pPr>
            <w:r>
              <w:rPr>
                <w:rFonts w:ascii="黑体" w:hAnsi="宋体" w:eastAsia="黑体" w:cs="宋体"/>
                <w:kern w:val="0"/>
                <w:sz w:val="22"/>
                <w:szCs w:val="22"/>
              </w:rPr>
              <w:t>40</w:t>
            </w:r>
          </w:p>
        </w:tc>
        <w:tc>
          <w:tcPr>
            <w:tcW w:w="3337" w:type="dxa"/>
            <w:tcBorders>
              <w:top w:val="nil"/>
              <w:left w:val="nil"/>
              <w:bottom w:val="single" w:color="auto" w:sz="4" w:space="0"/>
              <w:right w:val="single" w:color="auto" w:sz="4" w:space="0"/>
            </w:tcBorders>
            <w:vAlign w:val="center"/>
          </w:tcPr>
          <w:p w14:paraId="00B38F9E">
            <w:pPr>
              <w:widowControl/>
              <w:spacing w:line="240" w:lineRule="exact"/>
              <w:jc w:val="left"/>
              <w:rPr>
                <w:rFonts w:ascii="黑体" w:hAnsi="宋体" w:eastAsia="黑体" w:cs="宋体"/>
                <w:kern w:val="0"/>
                <w:sz w:val="22"/>
                <w:szCs w:val="22"/>
              </w:rPr>
            </w:pPr>
            <w:r>
              <w:rPr>
                <w:rFonts w:ascii="黑体" w:hAnsi="宋体" w:eastAsia="黑体" w:cs="宋体"/>
                <w:kern w:val="0"/>
                <w:sz w:val="22"/>
                <w:szCs w:val="22"/>
              </w:rPr>
              <w:t>南昌市人民政府办公室关于转发南昌市教育系统年度办学绩效评估工作方案的通知</w:t>
            </w:r>
          </w:p>
        </w:tc>
        <w:tc>
          <w:tcPr>
            <w:tcW w:w="1215" w:type="dxa"/>
            <w:tcBorders>
              <w:top w:val="nil"/>
              <w:left w:val="nil"/>
              <w:bottom w:val="single" w:color="auto" w:sz="4" w:space="0"/>
              <w:right w:val="single" w:color="auto" w:sz="4" w:space="0"/>
            </w:tcBorders>
            <w:vAlign w:val="center"/>
          </w:tcPr>
          <w:p w14:paraId="53F1B535">
            <w:pPr>
              <w:widowControl/>
              <w:spacing w:line="240" w:lineRule="exact"/>
              <w:jc w:val="left"/>
              <w:rPr>
                <w:rFonts w:ascii="黑体" w:hAnsi="宋体" w:eastAsia="黑体" w:cs="宋体"/>
                <w:kern w:val="0"/>
                <w:sz w:val="22"/>
                <w:szCs w:val="22"/>
              </w:rPr>
            </w:pPr>
            <w:r>
              <w:rPr>
                <w:rFonts w:ascii="黑体" w:hAnsi="宋体" w:eastAsia="黑体" w:cs="宋体"/>
                <w:kern w:val="0"/>
                <w:sz w:val="22"/>
                <w:szCs w:val="22"/>
              </w:rPr>
              <w:t>洪府办发〔2022〕5号</w:t>
            </w:r>
          </w:p>
        </w:tc>
        <w:tc>
          <w:tcPr>
            <w:tcW w:w="1110" w:type="dxa"/>
            <w:tcBorders>
              <w:top w:val="nil"/>
              <w:left w:val="nil"/>
              <w:bottom w:val="single" w:color="auto" w:sz="4" w:space="0"/>
              <w:right w:val="single" w:color="auto" w:sz="4" w:space="0"/>
            </w:tcBorders>
            <w:vAlign w:val="center"/>
          </w:tcPr>
          <w:p w14:paraId="58DC7A41">
            <w:pPr>
              <w:widowControl/>
              <w:spacing w:line="240" w:lineRule="exact"/>
              <w:jc w:val="left"/>
              <w:rPr>
                <w:rFonts w:ascii="黑体" w:hAnsi="宋体" w:eastAsia="黑体" w:cs="宋体"/>
                <w:kern w:val="0"/>
                <w:sz w:val="22"/>
                <w:szCs w:val="22"/>
              </w:rPr>
            </w:pPr>
            <w:r>
              <w:rPr>
                <w:rFonts w:ascii="黑体" w:hAnsi="宋体" w:eastAsia="黑体" w:cs="宋体"/>
                <w:kern w:val="0"/>
                <w:sz w:val="22"/>
                <w:szCs w:val="22"/>
              </w:rPr>
              <w:t>2022.1.7</w:t>
            </w:r>
          </w:p>
        </w:tc>
        <w:tc>
          <w:tcPr>
            <w:tcW w:w="1988" w:type="dxa"/>
            <w:tcBorders>
              <w:top w:val="nil"/>
              <w:left w:val="nil"/>
              <w:bottom w:val="single" w:color="auto" w:sz="4" w:space="0"/>
              <w:right w:val="single" w:color="auto" w:sz="4" w:space="0"/>
            </w:tcBorders>
            <w:vAlign w:val="center"/>
          </w:tcPr>
          <w:p w14:paraId="449C5891">
            <w:pPr>
              <w:widowControl/>
              <w:spacing w:line="240" w:lineRule="exact"/>
              <w:jc w:val="left"/>
              <w:rPr>
                <w:rFonts w:ascii="黑体" w:hAnsi="宋体" w:eastAsia="黑体" w:cs="宋体"/>
                <w:kern w:val="0"/>
                <w:sz w:val="22"/>
                <w:szCs w:val="22"/>
              </w:rPr>
            </w:pPr>
            <w:r>
              <w:rPr>
                <w:rFonts w:ascii="黑体" w:hAnsi="宋体" w:eastAsia="黑体" w:cs="宋体"/>
                <w:kern w:val="0"/>
                <w:sz w:val="22"/>
                <w:szCs w:val="22"/>
              </w:rPr>
              <w:t>时效期已过</w:t>
            </w:r>
          </w:p>
        </w:tc>
      </w:tr>
      <w:tr w14:paraId="7A55B764">
        <w:tblPrEx>
          <w:tblCellMar>
            <w:top w:w="0" w:type="dxa"/>
            <w:left w:w="108" w:type="dxa"/>
            <w:bottom w:w="0" w:type="dxa"/>
            <w:right w:w="108" w:type="dxa"/>
          </w:tblCellMar>
        </w:tblPrEx>
        <w:trPr>
          <w:trHeight w:val="1123" w:hRule="atLeast"/>
          <w:jc w:val="center"/>
        </w:trPr>
        <w:tc>
          <w:tcPr>
            <w:tcW w:w="10323" w:type="dxa"/>
            <w:gridSpan w:val="6"/>
            <w:tcBorders>
              <w:top w:val="single" w:color="auto" w:sz="4" w:space="0"/>
              <w:left w:val="single" w:color="auto" w:sz="4" w:space="0"/>
              <w:bottom w:val="single" w:color="auto" w:sz="4" w:space="0"/>
              <w:right w:val="single" w:color="000000" w:sz="4" w:space="0"/>
            </w:tcBorders>
            <w:vAlign w:val="center"/>
          </w:tcPr>
          <w:p w14:paraId="6ACD1E35">
            <w:pPr>
              <w:widowControl/>
              <w:jc w:val="left"/>
              <w:rPr>
                <w:rFonts w:ascii="黑体" w:hAnsi="宋体" w:eastAsia="黑体" w:cs="宋体"/>
                <w:b/>
                <w:bCs/>
                <w:kern w:val="0"/>
                <w:sz w:val="22"/>
                <w:szCs w:val="22"/>
              </w:rPr>
            </w:pPr>
            <w:r>
              <w:rPr>
                <w:rFonts w:hint="eastAsia" w:ascii="黑体" w:hAnsi="宋体" w:eastAsia="黑体" w:cs="宋体"/>
                <w:kern w:val="0"/>
                <w:sz w:val="22"/>
                <w:szCs w:val="22"/>
              </w:rPr>
              <w:t>其他需要说明的情况（已被其它文件废止情况）</w:t>
            </w:r>
          </w:p>
        </w:tc>
      </w:tr>
    </w:tbl>
    <w:p w14:paraId="1B326E9B">
      <w:pPr>
        <w:rPr>
          <w:sz w:val="20"/>
          <w:szCs w:val="22"/>
        </w:rPr>
      </w:pP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51D9E">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F7DF1D">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2CF7DF1D">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VhNzk0ZmEwMGRmOWY4YjM0YzgzM2VmMjFlMzhjYTMifQ=="/>
  </w:docVars>
  <w:rsids>
    <w:rsidRoot w:val="7FFC58DA"/>
    <w:rsid w:val="00245790"/>
    <w:rsid w:val="002621F0"/>
    <w:rsid w:val="003035EC"/>
    <w:rsid w:val="003416AC"/>
    <w:rsid w:val="005F1FD8"/>
    <w:rsid w:val="00806FCF"/>
    <w:rsid w:val="00845E32"/>
    <w:rsid w:val="0094378A"/>
    <w:rsid w:val="00AA451C"/>
    <w:rsid w:val="00AC44BF"/>
    <w:rsid w:val="00C63C69"/>
    <w:rsid w:val="00D179BA"/>
    <w:rsid w:val="08990778"/>
    <w:rsid w:val="1BBF1D6E"/>
    <w:rsid w:val="1BF79BC1"/>
    <w:rsid w:val="1EF387B0"/>
    <w:rsid w:val="36BA3599"/>
    <w:rsid w:val="379F3881"/>
    <w:rsid w:val="37BB7DDC"/>
    <w:rsid w:val="37F1BF5A"/>
    <w:rsid w:val="3BCF2FAF"/>
    <w:rsid w:val="3EDF6FD3"/>
    <w:rsid w:val="3EF58BD8"/>
    <w:rsid w:val="3FBAAB67"/>
    <w:rsid w:val="3FDFA992"/>
    <w:rsid w:val="3FEDD2C7"/>
    <w:rsid w:val="4B3B0AA1"/>
    <w:rsid w:val="4B3ED7A2"/>
    <w:rsid w:val="4FFCEA02"/>
    <w:rsid w:val="57484386"/>
    <w:rsid w:val="59CDA147"/>
    <w:rsid w:val="66393D97"/>
    <w:rsid w:val="66FB142D"/>
    <w:rsid w:val="67FF37B8"/>
    <w:rsid w:val="6AAFB3F8"/>
    <w:rsid w:val="6ABF6CFF"/>
    <w:rsid w:val="6ECFAEB5"/>
    <w:rsid w:val="6FD72932"/>
    <w:rsid w:val="6FF9E41B"/>
    <w:rsid w:val="6FFA45AC"/>
    <w:rsid w:val="6FFE4BEB"/>
    <w:rsid w:val="75FAE25C"/>
    <w:rsid w:val="76FFF7BD"/>
    <w:rsid w:val="77C61AEA"/>
    <w:rsid w:val="77FD1ACD"/>
    <w:rsid w:val="78FDD2FD"/>
    <w:rsid w:val="7B3FABAD"/>
    <w:rsid w:val="7B7E0CF5"/>
    <w:rsid w:val="7BFD9F43"/>
    <w:rsid w:val="7D6FBFB4"/>
    <w:rsid w:val="7DDFC8E0"/>
    <w:rsid w:val="7E7AE30A"/>
    <w:rsid w:val="7EDCBA6E"/>
    <w:rsid w:val="7EE77D21"/>
    <w:rsid w:val="7F7F3491"/>
    <w:rsid w:val="7FCF5420"/>
    <w:rsid w:val="7FDDB885"/>
    <w:rsid w:val="7FF978B3"/>
    <w:rsid w:val="7FFBCDEF"/>
    <w:rsid w:val="7FFC58DA"/>
    <w:rsid w:val="9BDCF602"/>
    <w:rsid w:val="9F7B32D4"/>
    <w:rsid w:val="A5CFEE07"/>
    <w:rsid w:val="AEF925C1"/>
    <w:rsid w:val="B6F80DD3"/>
    <w:rsid w:val="BBE329BC"/>
    <w:rsid w:val="BCDE019B"/>
    <w:rsid w:val="BEDF2352"/>
    <w:rsid w:val="BFBD3C91"/>
    <w:rsid w:val="BFBE4751"/>
    <w:rsid w:val="CB6A9833"/>
    <w:rsid w:val="CBD717F4"/>
    <w:rsid w:val="CBFFA96D"/>
    <w:rsid w:val="CFFECA00"/>
    <w:rsid w:val="D5A57E1A"/>
    <w:rsid w:val="D6FF0092"/>
    <w:rsid w:val="D7BD6C67"/>
    <w:rsid w:val="D7F7481D"/>
    <w:rsid w:val="DBDEC416"/>
    <w:rsid w:val="DDEF8D0F"/>
    <w:rsid w:val="DF7308C4"/>
    <w:rsid w:val="DFA39C68"/>
    <w:rsid w:val="E5E5E96E"/>
    <w:rsid w:val="E9FDC41D"/>
    <w:rsid w:val="EB6F6308"/>
    <w:rsid w:val="EDFE5B4C"/>
    <w:rsid w:val="EFFFCE70"/>
    <w:rsid w:val="F0EC033C"/>
    <w:rsid w:val="F3FFAEAD"/>
    <w:rsid w:val="F75540B6"/>
    <w:rsid w:val="F7DEF64A"/>
    <w:rsid w:val="F7FFCA5F"/>
    <w:rsid w:val="F9E9B139"/>
    <w:rsid w:val="FA7510B4"/>
    <w:rsid w:val="FAF71F15"/>
    <w:rsid w:val="FB7C0104"/>
    <w:rsid w:val="FBA73E19"/>
    <w:rsid w:val="FD2D502C"/>
    <w:rsid w:val="FDF6E36A"/>
    <w:rsid w:val="FE7E1487"/>
    <w:rsid w:val="FFCE5D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qFormat/>
    <w:uiPriority w:val="0"/>
    <w:pPr>
      <w:spacing w:after="120" w:line="480" w:lineRule="auto"/>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2646</Words>
  <Characters>3199</Characters>
  <Lines>24</Lines>
  <Paragraphs>6</Paragraphs>
  <TotalTime>20</TotalTime>
  <ScaleCrop>false</ScaleCrop>
  <LinksUpToDate>false</LinksUpToDate>
  <CharactersWithSpaces>3212</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2023-08-15T01:23:00Z</dcterms:created>
  <dc:creator>kylin</dc:creator>
  <cp:lastModifiedBy>RT～</cp:lastModifiedBy>
  <cp:lastPrinted>2023-10-20T11:47:00Z</cp:lastPrinted>
  <dcterms:modified xsi:type="dcterms:W3CDTF">2024-11-07T07:46:36Z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2CC7DC7982B345FEA2E1752506EE7ADD_12</vt:lpwstr>
  </property>
</Properties>
</file>