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9E5C3">
      <w:pPr>
        <w:adjustRightInd w:val="0"/>
        <w:snapToGrid w:val="0"/>
        <w:jc w:val="center"/>
        <w:rPr>
          <w:rFonts w:ascii="楷体_GB2312" w:hAnsi="Times New Roman" w:eastAsia="楷体_GB2312"/>
          <w:sz w:val="32"/>
          <w:szCs w:val="32"/>
        </w:rPr>
      </w:pPr>
      <w:bookmarkStart w:id="0" w:name="_Hlk77334390"/>
      <w:bookmarkStart w:id="1" w:name="_Hlk143596013"/>
      <w:r>
        <w:rPr>
          <w:rFonts w:hint="eastAsia" w:ascii="方正小标宋简体" w:hAnsi="Times New Roman" w:eastAsia="方正小标宋简体"/>
          <w:sz w:val="44"/>
          <w:szCs w:val="44"/>
        </w:rPr>
        <w:t>江西省高层次人才产业园人才公寓</w:t>
      </w:r>
      <w:r>
        <w:rPr>
          <w:rFonts w:ascii="方正小标宋简体" w:hAnsi="Times New Roman" w:eastAsia="方正小标宋简体"/>
          <w:sz w:val="44"/>
          <w:szCs w:val="44"/>
        </w:rPr>
        <w:br w:type="textWrapping"/>
      </w:r>
      <w:r>
        <w:rPr>
          <w:rFonts w:hint="eastAsia" w:ascii="方正小标宋简体" w:hAnsi="Times New Roman" w:eastAsia="方正小标宋简体"/>
          <w:sz w:val="44"/>
          <w:szCs w:val="44"/>
        </w:rPr>
        <w:t>管理实施细则</w:t>
      </w:r>
      <w:bookmarkEnd w:id="0"/>
    </w:p>
    <w:bookmarkEnd w:id="1"/>
    <w:p w14:paraId="0F895BD9">
      <w:pPr>
        <w:adjustRightInd w:val="0"/>
        <w:snapToGrid w:val="0"/>
        <w:jc w:val="center"/>
        <w:rPr>
          <w:rFonts w:ascii="方正小标宋简体" w:hAnsi="Times New Roman" w:eastAsia="方正小标宋简体"/>
          <w:sz w:val="44"/>
          <w:szCs w:val="44"/>
        </w:rPr>
      </w:pPr>
    </w:p>
    <w:p w14:paraId="551FC098">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为规范江西省高层次人才产业园人才公寓（以下简称产业园人才公寓）的运营、房源分配与使用管理</w:t>
      </w:r>
      <w:r>
        <w:rPr>
          <w:rFonts w:ascii="仿宋_GB2312" w:hAnsi="仿宋" w:eastAsia="仿宋_GB2312"/>
          <w:sz w:val="32"/>
          <w:szCs w:val="32"/>
        </w:rPr>
        <w:t>，</w:t>
      </w:r>
      <w:r>
        <w:rPr>
          <w:rFonts w:hint="eastAsia" w:ascii="仿宋_GB2312" w:hAnsi="仿宋" w:eastAsia="仿宋_GB2312"/>
          <w:sz w:val="32"/>
          <w:szCs w:val="32"/>
        </w:rPr>
        <w:t>结合实际，特制定本实施细则。</w:t>
      </w:r>
    </w:p>
    <w:p w14:paraId="3E2C6D7F">
      <w:pPr>
        <w:tabs>
          <w:tab w:val="left" w:pos="4781"/>
        </w:tabs>
        <w:adjustRightInd w:val="0"/>
        <w:snapToGrid w:val="0"/>
        <w:spacing w:line="336" w:lineRule="auto"/>
        <w:ind w:firstLine="640" w:firstLineChars="200"/>
        <w:rPr>
          <w:rFonts w:ascii="黑体" w:hAnsi="黑体" w:eastAsia="黑体"/>
          <w:sz w:val="32"/>
          <w:szCs w:val="32"/>
        </w:rPr>
      </w:pPr>
      <w:r>
        <w:rPr>
          <w:rFonts w:hint="eastAsia" w:ascii="黑体" w:hAnsi="黑体" w:eastAsia="黑体"/>
          <w:sz w:val="32"/>
          <w:szCs w:val="32"/>
        </w:rPr>
        <w:t>一、管理原则</w:t>
      </w:r>
    </w:p>
    <w:p w14:paraId="497178A7">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（一）产业园人才公寓按照“政府主导，只租不售，周转使用、动态管理”的原则，主要用于入驻江西省高层次人才产业园核心园区的企事业单位人才的政策性租赁周转用房。</w:t>
      </w:r>
    </w:p>
    <w:p w14:paraId="212E7E81">
      <w:pPr>
        <w:tabs>
          <w:tab w:val="left" w:pos="4781"/>
        </w:tabs>
        <w:adjustRightInd w:val="0"/>
        <w:snapToGrid w:val="0"/>
        <w:spacing w:line="336" w:lineRule="auto"/>
        <w:ind w:firstLine="672" w:firstLineChars="210"/>
        <w:rPr>
          <w:rFonts w:ascii="仿宋_GB2312" w:hAnsi="仿宋" w:eastAsia="仿宋_GB2312"/>
          <w:sz w:val="32"/>
          <w:szCs w:val="32"/>
        </w:rPr>
      </w:pPr>
      <w:r>
        <w:rPr>
          <w:rFonts w:hint="eastAsia" w:ascii="仿宋_GB2312" w:hAnsi="仿宋" w:eastAsia="仿宋_GB2312"/>
          <w:sz w:val="32"/>
          <w:szCs w:val="32"/>
        </w:rPr>
        <w:t>（二）产业园人才公寓由区党工委组织与人力资源部统筹协调，</w:t>
      </w:r>
      <w:r>
        <w:rPr>
          <w:rFonts w:hint="eastAsia" w:ascii="仿宋_GB2312" w:hAnsi="仿宋" w:eastAsia="仿宋_GB2312" w:cs="宋体"/>
          <w:kern w:val="0"/>
          <w:sz w:val="32"/>
          <w:szCs w:val="32"/>
        </w:rPr>
        <w:t>会同申报企业的主管部门对所申报的企业与人才资质进行审核。</w:t>
      </w:r>
    </w:p>
    <w:p w14:paraId="0FB7DA8E">
      <w:pPr>
        <w:tabs>
          <w:tab w:val="left" w:pos="4781"/>
        </w:tabs>
        <w:adjustRightInd w:val="0"/>
        <w:snapToGrid w:val="0"/>
        <w:spacing w:line="336" w:lineRule="auto"/>
        <w:ind w:firstLine="672" w:firstLineChars="210"/>
        <w:rPr>
          <w:rFonts w:ascii="仿宋_GB2312" w:hAnsi="仿宋" w:eastAsia="仿宋_GB2312"/>
          <w:sz w:val="32"/>
          <w:szCs w:val="32"/>
        </w:rPr>
      </w:pPr>
      <w:r>
        <w:rPr>
          <w:rFonts w:hint="eastAsia" w:ascii="仿宋_GB2312" w:hAnsi="仿宋" w:eastAsia="仿宋_GB2312"/>
          <w:sz w:val="32"/>
          <w:szCs w:val="32"/>
        </w:rPr>
        <w:t>（三）南昌招商物业管理有限公司（简称物业公司）负责人才公寓的运营管理及物业费收取；南昌高新置业投资有限公司（简称置业公司）负责房屋运维及租金收取。</w:t>
      </w:r>
    </w:p>
    <w:p w14:paraId="1B483C33">
      <w:pPr>
        <w:tabs>
          <w:tab w:val="left" w:pos="4781"/>
        </w:tabs>
        <w:adjustRightInd w:val="0"/>
        <w:snapToGrid w:val="0"/>
        <w:spacing w:line="336" w:lineRule="auto"/>
        <w:ind w:firstLine="672" w:firstLineChars="210"/>
        <w:rPr>
          <w:rFonts w:ascii="黑体" w:hAnsi="黑体" w:eastAsia="黑体"/>
          <w:sz w:val="32"/>
          <w:szCs w:val="32"/>
        </w:rPr>
      </w:pPr>
      <w:r>
        <w:rPr>
          <w:rFonts w:hint="eastAsia" w:ascii="黑体" w:hAnsi="黑体" w:eastAsia="黑体"/>
          <w:sz w:val="32"/>
          <w:szCs w:val="32"/>
        </w:rPr>
        <w:t>二、申请对象</w:t>
      </w:r>
    </w:p>
    <w:p w14:paraId="3D3A365C">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（一）产业园人才公寓主要以入驻江西省高层次人才产业园（含留创园）核心区内企事业单位为申请主体，申请人才在南昌市无自有住房。</w:t>
      </w:r>
    </w:p>
    <w:p w14:paraId="0B7CCD1B">
      <w:pPr>
        <w:adjustRightInd w:val="0"/>
        <w:snapToGrid w:val="0"/>
        <w:spacing w:line="360" w:lineRule="auto"/>
        <w:ind w:firstLine="640" w:firstLineChars="200"/>
        <w:rPr>
          <w:rStyle w:val="11"/>
          <w:rFonts w:ascii="Times New Roman" w:hAnsi="Times New Roman" w:eastAsia="仿宋_GB2312"/>
        </w:rPr>
      </w:pPr>
      <w:r>
        <w:rPr>
          <w:rFonts w:hint="eastAsia" w:ascii="仿宋_GB2312" w:hAnsi="仿宋" w:eastAsia="仿宋_GB2312"/>
          <w:sz w:val="32"/>
          <w:szCs w:val="32"/>
        </w:rPr>
        <w:t>（二）产业园人才公寓申请对象为</w:t>
      </w:r>
      <w:r>
        <w:rPr>
          <w:rFonts w:ascii="仿宋_GB2312" w:hAnsi="仿宋" w:eastAsia="仿宋_GB2312"/>
          <w:sz w:val="32"/>
          <w:szCs w:val="32"/>
        </w:rPr>
        <w:t>A、B、C、D、E五类人才</w:t>
      </w:r>
    </w:p>
    <w:p w14:paraId="4DD54AB7">
      <w:pPr>
        <w:adjustRightInd w:val="0"/>
        <w:snapToGrid w:val="0"/>
        <w:spacing w:line="360" w:lineRule="auto"/>
        <w:ind w:firstLine="640" w:firstLineChars="200"/>
        <w:rPr>
          <w:rFonts w:ascii="仿宋_GB2312" w:hAnsi="仿宋" w:eastAsia="仿宋_GB2312" w:cs="仿宋"/>
          <w:color w:val="000000"/>
          <w:sz w:val="32"/>
          <w:szCs w:val="32"/>
        </w:rPr>
      </w:pPr>
      <w:r>
        <w:rPr>
          <w:rFonts w:ascii="仿宋_GB2312" w:hAnsi="仿宋" w:eastAsia="仿宋_GB2312" w:cs="宋体"/>
          <w:kern w:val="0"/>
          <w:sz w:val="32"/>
          <w:szCs w:val="32"/>
        </w:rPr>
        <w:t>A类（</w:t>
      </w:r>
      <w:r>
        <w:rPr>
          <w:rFonts w:hint="eastAsia" w:ascii="仿宋_GB2312" w:hAnsi="仿宋" w:eastAsia="仿宋_GB2312" w:cs="仿宋"/>
          <w:color w:val="000000"/>
          <w:sz w:val="32"/>
          <w:szCs w:val="32"/>
        </w:rPr>
        <w:t>国内外顶尖人才）</w:t>
      </w:r>
      <w:r>
        <w:rPr>
          <w:rFonts w:hint="eastAsia" w:ascii="仿宋_GB2312" w:hAnsi="仿宋" w:eastAsia="仿宋_GB2312" w:cs="宋体"/>
          <w:kern w:val="0"/>
          <w:sz w:val="32"/>
          <w:szCs w:val="32"/>
        </w:rPr>
        <w:t>、</w:t>
      </w:r>
      <w:r>
        <w:rPr>
          <w:rFonts w:ascii="仿宋_GB2312" w:hAnsi="仿宋" w:eastAsia="仿宋_GB2312" w:cs="宋体"/>
          <w:kern w:val="0"/>
          <w:sz w:val="32"/>
          <w:szCs w:val="32"/>
        </w:rPr>
        <w:t>B类（</w:t>
      </w:r>
      <w:r>
        <w:rPr>
          <w:rFonts w:hint="eastAsia" w:ascii="仿宋_GB2312" w:hAnsi="仿宋" w:eastAsia="仿宋_GB2312" w:cs="仿宋"/>
          <w:color w:val="000000"/>
          <w:sz w:val="32"/>
          <w:szCs w:val="32"/>
        </w:rPr>
        <w:t>国家级领军人才）、</w:t>
      </w:r>
      <w:r>
        <w:rPr>
          <w:rFonts w:ascii="仿宋_GB2312" w:hAnsi="仿宋" w:eastAsia="仿宋_GB2312" w:cs="仿宋"/>
          <w:color w:val="000000"/>
          <w:sz w:val="32"/>
          <w:szCs w:val="32"/>
        </w:rPr>
        <w:t>C类（省级领军人才）、D类（市级领军人才）</w:t>
      </w:r>
      <w:r>
        <w:rPr>
          <w:rFonts w:hint="eastAsia" w:ascii="仿宋_GB2312" w:hAnsi="仿宋" w:eastAsia="仿宋_GB2312" w:cs="宋体"/>
          <w:kern w:val="0"/>
          <w:sz w:val="32"/>
          <w:szCs w:val="32"/>
        </w:rPr>
        <w:t>人才标准参照《南昌市高层次人才分类认定目录》</w:t>
      </w:r>
      <w:r>
        <w:rPr>
          <w:rFonts w:hint="eastAsia" w:ascii="仿宋_GB2312" w:hAnsi="仿宋" w:eastAsia="仿宋_GB2312" w:cs="仿宋"/>
          <w:color w:val="000000"/>
          <w:sz w:val="32"/>
          <w:szCs w:val="32"/>
        </w:rPr>
        <w:t>中</w:t>
      </w:r>
      <w:r>
        <w:rPr>
          <w:rFonts w:ascii="仿宋_GB2312" w:hAnsi="仿宋" w:eastAsia="仿宋_GB2312" w:cs="仿宋"/>
          <w:color w:val="000000"/>
          <w:sz w:val="32"/>
          <w:szCs w:val="32"/>
        </w:rPr>
        <w:t>A、B、C、D类人才标准。</w:t>
      </w:r>
    </w:p>
    <w:p w14:paraId="0AA03A61">
      <w:pPr>
        <w:adjustRightInd w:val="0"/>
        <w:snapToGrid w:val="0"/>
        <w:spacing w:line="360" w:lineRule="auto"/>
        <w:ind w:firstLine="640" w:firstLineChars="200"/>
        <w:rPr>
          <w:rFonts w:ascii="仿宋_GB2312" w:hAnsi="仿宋" w:eastAsia="仿宋_GB2312" w:cs="仿宋"/>
          <w:color w:val="000000"/>
          <w:sz w:val="32"/>
          <w:szCs w:val="32"/>
        </w:rPr>
      </w:pPr>
      <w:r>
        <w:rPr>
          <w:rFonts w:ascii="仿宋_GB2312" w:hAnsi="仿宋" w:eastAsia="仿宋_GB2312" w:cs="仿宋"/>
          <w:color w:val="000000"/>
          <w:sz w:val="32"/>
          <w:szCs w:val="32"/>
        </w:rPr>
        <w:t>E类：其他类人才</w:t>
      </w:r>
    </w:p>
    <w:p w14:paraId="7D444C59">
      <w:pPr>
        <w:adjustRightInd w:val="0"/>
        <w:snapToGrid w:val="0"/>
        <w:spacing w:line="360" w:lineRule="auto"/>
        <w:ind w:firstLine="640" w:firstLineChars="200"/>
        <w:rPr>
          <w:rFonts w:ascii="Times New Roman" w:hAnsi="Times New Roman" w:eastAsia="仿宋_GB2312"/>
          <w:szCs w:val="21"/>
        </w:rPr>
      </w:pPr>
      <w:r>
        <w:rPr>
          <w:rFonts w:hint="eastAsia" w:ascii="仿宋_GB2312" w:hAnsi="仿宋" w:eastAsia="仿宋_GB2312" w:cs="仿宋"/>
          <w:color w:val="000000"/>
          <w:sz w:val="32"/>
          <w:szCs w:val="32"/>
        </w:rPr>
        <w:t>具有副高级及以上专业技术职务任职资格、技师及以上职业资格的人才；大学本科及以上学历人员；急需、紧缺的优秀创新创业人才及重点企业高管，经认定后，也可以享受相应的政策。</w:t>
      </w:r>
    </w:p>
    <w:p w14:paraId="554C7972">
      <w:pPr>
        <w:tabs>
          <w:tab w:val="left" w:pos="4781"/>
        </w:tabs>
        <w:adjustRightInd w:val="0"/>
        <w:snapToGrid w:val="0"/>
        <w:spacing w:line="336" w:lineRule="auto"/>
        <w:ind w:firstLine="672" w:firstLineChars="210"/>
        <w:rPr>
          <w:rFonts w:ascii="黑体" w:hAnsi="黑体" w:eastAsia="黑体"/>
          <w:sz w:val="32"/>
          <w:szCs w:val="32"/>
        </w:rPr>
      </w:pPr>
      <w:r>
        <w:rPr>
          <w:rFonts w:hint="eastAsia" w:ascii="黑体" w:hAnsi="黑体" w:eastAsia="黑体"/>
          <w:sz w:val="32"/>
          <w:szCs w:val="32"/>
        </w:rPr>
        <w:t>三、配租原则</w:t>
      </w:r>
    </w:p>
    <w:p w14:paraId="71DBF7A8">
      <w:pPr>
        <w:tabs>
          <w:tab w:val="left" w:pos="4781"/>
        </w:tabs>
        <w:adjustRightInd w:val="0"/>
        <w:snapToGrid w:val="0"/>
        <w:spacing w:line="336" w:lineRule="auto"/>
        <w:ind w:firstLine="515" w:firstLineChars="161"/>
        <w:rPr>
          <w:rFonts w:ascii="仿宋_GB2312" w:hAnsi="仿宋" w:eastAsia="仿宋_GB2312"/>
          <w:sz w:val="32"/>
          <w:szCs w:val="32"/>
        </w:rPr>
      </w:pPr>
      <w:r>
        <w:rPr>
          <w:rFonts w:hint="eastAsia" w:ascii="仿宋_GB2312" w:hAnsi="仿宋" w:eastAsia="仿宋_GB2312"/>
          <w:sz w:val="32"/>
          <w:szCs w:val="32"/>
        </w:rPr>
        <w:t>（一）</w:t>
      </w:r>
      <w:r>
        <w:rPr>
          <w:rFonts w:hint="eastAsia" w:ascii="仿宋_GB2312" w:hAnsi="仿宋" w:eastAsia="仿宋_GB2312" w:cs="仿宋"/>
          <w:snapToGrid w:val="0"/>
          <w:spacing w:val="-6"/>
          <w:sz w:val="32"/>
          <w:szCs w:val="32"/>
        </w:rPr>
        <w:t>由区人才办商企业主管部门根据企业人才类别提出配租意见，在有房源的情况下，根据申请人实际需求予以配租。如申请的房源紧缺，则由区人才办、企业主管部门商企业更换房型。</w:t>
      </w:r>
    </w:p>
    <w:p w14:paraId="1EB8E1CB">
      <w:pPr>
        <w:tabs>
          <w:tab w:val="left" w:pos="4781"/>
        </w:tabs>
        <w:adjustRightInd w:val="0"/>
        <w:snapToGrid w:val="0"/>
        <w:spacing w:line="336" w:lineRule="auto"/>
        <w:ind w:firstLine="515" w:firstLineChars="161"/>
        <w:rPr>
          <w:rFonts w:ascii="仿宋_GB2312" w:hAnsi="仿宋" w:eastAsia="仿宋_GB2312"/>
          <w:sz w:val="32"/>
          <w:szCs w:val="32"/>
        </w:rPr>
      </w:pPr>
      <w:r>
        <w:rPr>
          <w:rFonts w:hint="eastAsia" w:ascii="仿宋_GB2312" w:hAnsi="仿宋" w:eastAsia="仿宋_GB2312"/>
          <w:sz w:val="32"/>
          <w:szCs w:val="32"/>
        </w:rPr>
        <w:t>（二）已在南昌高新区范围内享受人才住房或人才公寓政策的人员，不再重复配租产业园人才公寓。</w:t>
      </w:r>
    </w:p>
    <w:p w14:paraId="7ED8658A">
      <w:pPr>
        <w:tabs>
          <w:tab w:val="left" w:pos="4781"/>
        </w:tabs>
        <w:adjustRightInd w:val="0"/>
        <w:snapToGrid w:val="0"/>
        <w:spacing w:line="336" w:lineRule="auto"/>
        <w:ind w:firstLine="515" w:firstLineChars="161"/>
        <w:rPr>
          <w:rFonts w:ascii="仿宋_GB2312" w:hAnsi="仿宋" w:eastAsia="仿宋_GB2312"/>
          <w:sz w:val="32"/>
          <w:szCs w:val="32"/>
        </w:rPr>
      </w:pPr>
      <w:r>
        <w:rPr>
          <w:rFonts w:hint="eastAsia" w:ascii="仿宋_GB2312" w:hAnsi="仿宋" w:eastAsia="仿宋_GB2312"/>
          <w:sz w:val="32"/>
          <w:szCs w:val="32"/>
        </w:rPr>
        <w:t>（三）</w:t>
      </w:r>
      <w:r>
        <w:rPr>
          <w:rFonts w:hint="eastAsia" w:ascii="仿宋_GB2312" w:hAnsi="仿宋" w:eastAsia="仿宋_GB2312" w:cs="仿宋"/>
          <w:sz w:val="32"/>
          <w:szCs w:val="32"/>
        </w:rPr>
        <w:t>审批通过的申请人由</w:t>
      </w:r>
      <w:r>
        <w:rPr>
          <w:rFonts w:hint="eastAsia" w:ascii="仿宋_GB2312" w:hAnsi="仿宋" w:eastAsia="仿宋_GB2312" w:cs="仿宋"/>
          <w:kern w:val="0"/>
          <w:sz w:val="32"/>
          <w:szCs w:val="32"/>
        </w:rPr>
        <w:t>物业公司</w:t>
      </w:r>
      <w:r>
        <w:rPr>
          <w:rFonts w:hint="eastAsia" w:ascii="仿宋_GB2312" w:hAnsi="仿宋" w:eastAsia="仿宋_GB2312" w:cs="仿宋"/>
          <w:sz w:val="32"/>
          <w:szCs w:val="32"/>
        </w:rPr>
        <w:t>组织房屋配租、物业管理及入住人员台账登记工作。</w:t>
      </w:r>
    </w:p>
    <w:p w14:paraId="5D967D41">
      <w:pPr>
        <w:tabs>
          <w:tab w:val="left" w:pos="4781"/>
        </w:tabs>
        <w:adjustRightInd w:val="0"/>
        <w:snapToGrid w:val="0"/>
        <w:spacing w:line="336" w:lineRule="auto"/>
        <w:ind w:firstLine="640" w:firstLineChars="200"/>
        <w:rPr>
          <w:rFonts w:ascii="仿宋_GB2312" w:hAnsi="仿宋" w:eastAsia="仿宋_GB2312" w:cs="仿宋"/>
          <w:b/>
          <w:bCs/>
          <w:sz w:val="32"/>
          <w:szCs w:val="32"/>
        </w:rPr>
      </w:pPr>
      <w:r>
        <w:rPr>
          <w:rFonts w:hint="eastAsia" w:ascii="黑体" w:hAnsi="黑体" w:eastAsia="黑体"/>
          <w:sz w:val="32"/>
          <w:szCs w:val="32"/>
        </w:rPr>
        <w:t>四、申请流程</w:t>
      </w:r>
    </w:p>
    <w:p w14:paraId="71501D39">
      <w:pPr>
        <w:tabs>
          <w:tab w:val="left" w:pos="4781"/>
        </w:tabs>
        <w:adjustRightInd w:val="0"/>
        <w:snapToGrid w:val="0"/>
        <w:spacing w:line="336" w:lineRule="auto"/>
        <w:ind w:firstLine="640" w:firstLineChars="200"/>
        <w:rPr>
          <w:rFonts w:ascii="仿宋_GB2312" w:hAnsi="仿宋" w:eastAsia="仿宋_GB2312"/>
          <w:sz w:val="32"/>
          <w:szCs w:val="32"/>
        </w:rPr>
      </w:pPr>
      <w:bookmarkStart w:id="2" w:name="_Hlk144395301"/>
      <w:r>
        <w:rPr>
          <w:rFonts w:hint="eastAsia" w:ascii="仿宋_GB2312" w:hAnsi="仿宋" w:eastAsia="仿宋_GB2312"/>
          <w:sz w:val="32"/>
          <w:szCs w:val="32"/>
        </w:rPr>
        <w:t>符合人才公寓租住条件的人才，按下列程序办理：</w:t>
      </w:r>
    </w:p>
    <w:p w14:paraId="297E0227">
      <w:pPr>
        <w:tabs>
          <w:tab w:val="left" w:pos="4781"/>
        </w:tabs>
        <w:adjustRightInd w:val="0"/>
        <w:snapToGrid w:val="0"/>
        <w:spacing w:line="336" w:lineRule="auto"/>
        <w:ind w:firstLine="480" w:firstLineChars="150"/>
        <w:rPr>
          <w:rFonts w:ascii="仿宋_GB2312" w:hAnsi="仿宋" w:eastAsia="仿宋_GB2312"/>
          <w:sz w:val="32"/>
          <w:szCs w:val="32"/>
        </w:rPr>
      </w:pPr>
      <w:r>
        <w:rPr>
          <w:rFonts w:hint="eastAsia" w:ascii="仿宋_GB2312" w:hAnsi="仿宋" w:eastAsia="仿宋_GB2312"/>
          <w:sz w:val="32"/>
          <w:szCs w:val="32"/>
        </w:rPr>
        <w:t>（一）单位申请。个人提交材料至单位，单位经办人</w:t>
      </w:r>
      <w:r>
        <w:rPr>
          <w:rFonts w:hint="eastAsia" w:ascii="仿宋_GB2312" w:hAnsi="仿宋" w:eastAsia="仿宋_GB2312"/>
          <w:sz w:val="32"/>
          <w:szCs w:val="32"/>
          <w:lang w:val="en-US" w:eastAsia="zh-CN"/>
        </w:rPr>
        <w:t>登录</w:t>
      </w:r>
      <w:bookmarkStart w:id="4" w:name="_GoBack"/>
      <w:bookmarkEnd w:id="4"/>
      <w:r>
        <w:rPr>
          <w:rFonts w:hint="eastAsia" w:ascii="仿宋_GB2312" w:hAnsi="仿宋" w:eastAsia="仿宋_GB2312"/>
          <w:sz w:val="32"/>
          <w:szCs w:val="32"/>
        </w:rPr>
        <w:t>“南昌高新区人才码”微信小程序</w:t>
      </w:r>
      <w:r>
        <w:rPr>
          <w:rFonts w:ascii="仿宋_GB2312" w:hAnsi="仿宋" w:eastAsia="仿宋_GB2312"/>
          <w:sz w:val="32"/>
          <w:szCs w:val="32"/>
        </w:rPr>
        <w:t>进行线上提交。</w:t>
      </w:r>
      <w:r>
        <w:rPr>
          <w:rFonts w:hint="eastAsia" w:ascii="仿宋_GB2312" w:hAnsi="仿宋" w:eastAsia="仿宋_GB2312"/>
          <w:sz w:val="32"/>
          <w:szCs w:val="32"/>
        </w:rPr>
        <w:t>主要包括：用人单位的营业执照复印件、申请对象的本人学历证书、身份证、聘用合同或劳动合同（合同封面、劳动期限及签字页）、个人在用人单位缴纳社保的证明（或银行出具的用人单位发放个人工资的凭证）、房管部门出具的南昌无房证明、人才认定材料及其他相关证明材料。</w:t>
      </w:r>
    </w:p>
    <w:p w14:paraId="6225621D">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（二）资格审查。区组织与人力资源部会同申报企业的主管部门对申请企业及个人进行资格审查，提出初审意见。</w:t>
      </w:r>
    </w:p>
    <w:p w14:paraId="4F31EB78">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（三）</w:t>
      </w:r>
      <w:r>
        <w:rPr>
          <w:rFonts w:hint="eastAsia" w:ascii="仿宋_GB2312" w:hAnsi="仿宋" w:eastAsia="仿宋_GB2312"/>
          <w:w w:val="96"/>
          <w:sz w:val="32"/>
          <w:szCs w:val="32"/>
        </w:rPr>
        <w:t>会议审定。呈报开放型经济工作领导小组会议进行审议。</w:t>
      </w:r>
    </w:p>
    <w:p w14:paraId="49233AE0">
      <w:pPr>
        <w:tabs>
          <w:tab w:val="left" w:pos="4781"/>
        </w:tabs>
        <w:adjustRightInd w:val="0"/>
        <w:snapToGrid w:val="0"/>
        <w:spacing w:line="336" w:lineRule="auto"/>
        <w:ind w:firstLine="640" w:firstLineChars="200"/>
        <w:rPr>
          <w:rFonts w:ascii="仿宋_GB2312" w:hAnsi="仿宋" w:eastAsia="仿宋_GB2312"/>
          <w:sz w:val="32"/>
          <w:szCs w:val="32"/>
        </w:rPr>
      </w:pPr>
      <w:r>
        <w:rPr>
          <w:rFonts w:hint="eastAsia" w:ascii="仿宋_GB2312" w:hAnsi="仿宋" w:eastAsia="仿宋_GB2312"/>
          <w:sz w:val="32"/>
          <w:szCs w:val="32"/>
        </w:rPr>
        <w:t>（四）签订合同。企业根据区</w:t>
      </w:r>
      <w:r>
        <w:rPr>
          <w:rFonts w:hint="eastAsia" w:ascii="仿宋_GB2312" w:hAnsi="仿宋" w:eastAsia="仿宋_GB2312" w:cs="仿宋"/>
          <w:sz w:val="32"/>
          <w:szCs w:val="32"/>
        </w:rPr>
        <w:t>组织与人力资源部出具的工作函</w:t>
      </w:r>
      <w:r>
        <w:rPr>
          <w:rFonts w:hint="eastAsia" w:ascii="仿宋_GB2312" w:hAnsi="仿宋" w:eastAsia="仿宋_GB2312"/>
          <w:sz w:val="32"/>
          <w:szCs w:val="32"/>
        </w:rPr>
        <w:t>，分别与置业公司及物业公司签订《租赁合同》及《物业合同》，办理入住手续。</w:t>
      </w:r>
    </w:p>
    <w:bookmarkEnd w:id="2"/>
    <w:p w14:paraId="67968CDF">
      <w:pPr>
        <w:pStyle w:val="12"/>
        <w:tabs>
          <w:tab w:val="left" w:pos="4781"/>
        </w:tabs>
        <w:adjustRightInd w:val="0"/>
        <w:snapToGrid w:val="0"/>
        <w:spacing w:line="336" w:lineRule="auto"/>
        <w:ind w:firstLine="640"/>
        <w:rPr>
          <w:rFonts w:ascii="黑体" w:hAnsi="黑体" w:eastAsia="黑体"/>
          <w:sz w:val="32"/>
          <w:szCs w:val="32"/>
        </w:rPr>
      </w:pPr>
      <w:r>
        <w:rPr>
          <w:rFonts w:hint="eastAsia" w:ascii="黑体" w:hAnsi="黑体" w:eastAsia="黑体"/>
          <w:sz w:val="32"/>
          <w:szCs w:val="32"/>
        </w:rPr>
        <w:t>五、收费标准</w:t>
      </w:r>
    </w:p>
    <w:p w14:paraId="6793200D">
      <w:pPr>
        <w:pStyle w:val="12"/>
        <w:tabs>
          <w:tab w:val="left" w:pos="4781"/>
        </w:tabs>
        <w:adjustRightInd w:val="0"/>
        <w:snapToGrid w:val="0"/>
        <w:spacing w:line="336" w:lineRule="auto"/>
        <w:ind w:firstLine="64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房屋租金：</w:t>
      </w:r>
      <w:r>
        <w:rPr>
          <w:rFonts w:ascii="仿宋_GB2312" w:hAnsi="仿宋" w:eastAsia="仿宋_GB2312"/>
          <w:sz w:val="32"/>
          <w:szCs w:val="32"/>
        </w:rPr>
        <w:t>600</w:t>
      </w:r>
      <w:r>
        <w:rPr>
          <w:rFonts w:hint="eastAsia" w:ascii="仿宋_GB2312" w:hAnsi="仿宋" w:eastAsia="仿宋_GB2312"/>
          <w:sz w:val="32"/>
          <w:szCs w:val="32"/>
        </w:rPr>
        <w:t>元</w:t>
      </w:r>
      <w:r>
        <w:rPr>
          <w:rFonts w:ascii="仿宋_GB2312" w:hAnsi="仿宋" w:eastAsia="仿宋_GB2312"/>
          <w:sz w:val="32"/>
          <w:szCs w:val="32"/>
        </w:rPr>
        <w:t>/</w:t>
      </w:r>
      <w:r>
        <w:rPr>
          <w:rFonts w:hint="eastAsia" w:ascii="仿宋_GB2312" w:hAnsi="仿宋" w:eastAsia="仿宋_GB2312"/>
          <w:sz w:val="32"/>
          <w:szCs w:val="32"/>
        </w:rPr>
        <w:t>间·</w:t>
      </w:r>
      <w:r>
        <w:rPr>
          <w:rFonts w:ascii="仿宋_GB2312" w:hAnsi="仿宋" w:eastAsia="仿宋_GB2312"/>
          <w:sz w:val="32"/>
          <w:szCs w:val="32"/>
        </w:rPr>
        <w:t>月</w:t>
      </w:r>
      <w:r>
        <w:rPr>
          <w:rFonts w:hint="eastAsia" w:ascii="仿宋_GB2312" w:hAnsi="仿宋" w:eastAsia="仿宋_GB2312"/>
          <w:sz w:val="32"/>
          <w:szCs w:val="32"/>
        </w:rPr>
        <w:t>。根据市场行情，人才公寓租赁价格可每三年调整一次。</w:t>
      </w:r>
    </w:p>
    <w:p w14:paraId="12417DB9">
      <w:pPr>
        <w:pStyle w:val="12"/>
        <w:tabs>
          <w:tab w:val="left" w:pos="4781"/>
        </w:tabs>
        <w:adjustRightInd w:val="0"/>
        <w:snapToGrid w:val="0"/>
        <w:spacing w:line="336" w:lineRule="auto"/>
        <w:ind w:firstLine="64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企业按年签订产业园人才公寓《租赁合同》及《物业合同》后，依据合同约定，分别向置业公司和物业公司按时缴纳房屋租金及物业费。</w:t>
      </w:r>
    </w:p>
    <w:p w14:paraId="7580E45E">
      <w:pPr>
        <w:pStyle w:val="12"/>
        <w:tabs>
          <w:tab w:val="left" w:pos="4781"/>
        </w:tabs>
        <w:adjustRightInd w:val="0"/>
        <w:snapToGrid w:val="0"/>
        <w:spacing w:line="336" w:lineRule="auto"/>
        <w:ind w:firstLine="64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物业管理费以物业合同书为准。</w:t>
      </w:r>
    </w:p>
    <w:p w14:paraId="4990C39E">
      <w:pPr>
        <w:pStyle w:val="12"/>
        <w:tabs>
          <w:tab w:val="left" w:pos="4781"/>
        </w:tabs>
        <w:adjustRightInd w:val="0"/>
        <w:snapToGrid w:val="0"/>
        <w:spacing w:line="336" w:lineRule="auto"/>
        <w:ind w:firstLine="640"/>
        <w:rPr>
          <w:rFonts w:ascii="仿宋_GB2312" w:hAnsi="仿宋" w:eastAsia="仿宋_GB2312"/>
          <w:sz w:val="32"/>
          <w:szCs w:val="32"/>
        </w:rPr>
      </w:pPr>
      <w:r>
        <w:rPr>
          <w:rFonts w:ascii="仿宋_GB2312" w:hAnsi="仿宋" w:eastAsia="仿宋_GB2312"/>
          <w:sz w:val="32"/>
          <w:szCs w:val="32"/>
        </w:rPr>
        <w:t>4.</w:t>
      </w:r>
      <w:r>
        <w:rPr>
          <w:rFonts w:ascii="仿宋_GB2312" w:eastAsia="仿宋_GB2312"/>
          <w:sz w:val="32"/>
          <w:szCs w:val="32"/>
        </w:rPr>
        <w:t>入住产业园人才公寓的</w:t>
      </w:r>
      <w:r>
        <w:rPr>
          <w:rFonts w:hint="eastAsia" w:ascii="仿宋_GB2312" w:hAnsi="仿宋" w:eastAsia="仿宋_GB2312"/>
          <w:sz w:val="32"/>
          <w:szCs w:val="32"/>
        </w:rPr>
        <w:t>租赁合同期满后，由用人单位向管委会提交租金补贴申请。</w:t>
      </w:r>
      <w:bookmarkStart w:id="3" w:name="_Hlk70612791"/>
      <w:r>
        <w:rPr>
          <w:rFonts w:hint="eastAsia" w:ascii="仿宋_GB2312" w:hAnsi="仿宋" w:eastAsia="仿宋_GB2312"/>
          <w:sz w:val="32"/>
          <w:szCs w:val="32"/>
        </w:rPr>
        <w:t>已获评</w:t>
      </w:r>
      <w:r>
        <w:rPr>
          <w:rFonts w:ascii="仿宋_GB2312" w:eastAsia="仿宋_GB2312"/>
          <w:sz w:val="32"/>
          <w:szCs w:val="32"/>
        </w:rPr>
        <w:t>南昌市高层次人才</w:t>
      </w:r>
      <w:r>
        <w:rPr>
          <w:rFonts w:hint="eastAsia" w:ascii="仿宋_GB2312" w:eastAsia="仿宋_GB2312"/>
          <w:sz w:val="32"/>
          <w:szCs w:val="32"/>
        </w:rPr>
        <w:t>认定</w:t>
      </w:r>
      <w:r>
        <w:rPr>
          <w:rFonts w:ascii="仿宋_GB2312" w:eastAsia="仿宋_GB2312"/>
          <w:sz w:val="32"/>
          <w:szCs w:val="32"/>
        </w:rPr>
        <w:t>A类（国内外顶尖人才）</w:t>
      </w:r>
      <w:r>
        <w:rPr>
          <w:rFonts w:hint="eastAsia" w:ascii="仿宋_GB2312" w:eastAsia="仿宋_GB2312"/>
          <w:sz w:val="32"/>
          <w:szCs w:val="32"/>
        </w:rPr>
        <w:t>、</w:t>
      </w:r>
      <w:r>
        <w:rPr>
          <w:rFonts w:ascii="仿宋_GB2312" w:eastAsia="仿宋_GB2312"/>
          <w:sz w:val="32"/>
          <w:szCs w:val="32"/>
        </w:rPr>
        <w:t>B类（国家级领军人才）的，按照先交后补的原则，每年租金全额补贴，最长不超过3年。</w:t>
      </w:r>
      <w:bookmarkEnd w:id="3"/>
      <w:r>
        <w:rPr>
          <w:rFonts w:ascii="仿宋_GB2312" w:eastAsia="仿宋_GB2312"/>
          <w:sz w:val="32"/>
          <w:szCs w:val="32"/>
        </w:rPr>
        <w:t>其他入住人才</w:t>
      </w:r>
      <w:r>
        <w:rPr>
          <w:rFonts w:hint="eastAsia" w:ascii="仿宋_GB2312" w:eastAsia="仿宋_GB2312"/>
          <w:sz w:val="32"/>
          <w:szCs w:val="32"/>
        </w:rPr>
        <w:t>不</w:t>
      </w:r>
      <w:r>
        <w:rPr>
          <w:rFonts w:ascii="仿宋_GB2312" w:eastAsia="仿宋_GB2312"/>
          <w:sz w:val="32"/>
          <w:szCs w:val="32"/>
        </w:rPr>
        <w:t>给予租金</w:t>
      </w:r>
      <w:r>
        <w:rPr>
          <w:rFonts w:hint="eastAsia" w:ascii="仿宋_GB2312" w:eastAsia="仿宋_GB2312"/>
          <w:sz w:val="32"/>
          <w:szCs w:val="32"/>
        </w:rPr>
        <w:t>补贴。</w:t>
      </w:r>
    </w:p>
    <w:p w14:paraId="51AD6FD8">
      <w:pPr>
        <w:pStyle w:val="12"/>
        <w:tabs>
          <w:tab w:val="left" w:pos="4781"/>
        </w:tabs>
        <w:adjustRightInd w:val="0"/>
        <w:snapToGrid w:val="0"/>
        <w:spacing w:line="336" w:lineRule="auto"/>
        <w:ind w:firstLine="640"/>
        <w:rPr>
          <w:rFonts w:ascii="黑体" w:hAnsi="黑体" w:eastAsia="黑体"/>
          <w:sz w:val="32"/>
          <w:szCs w:val="32"/>
        </w:rPr>
      </w:pPr>
      <w:r>
        <w:rPr>
          <w:rFonts w:hint="eastAsia" w:ascii="黑体" w:hAnsi="黑体" w:eastAsia="黑体"/>
          <w:sz w:val="32"/>
          <w:szCs w:val="32"/>
        </w:rPr>
        <w:t>六、退出机制</w:t>
      </w:r>
    </w:p>
    <w:p w14:paraId="05A89D72">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hint="eastAsia" w:ascii="仿宋_GB2312" w:hAnsi="仿宋" w:eastAsia="仿宋_GB2312"/>
          <w:sz w:val="32"/>
          <w:szCs w:val="32"/>
        </w:rPr>
        <w:t>（一）</w:t>
      </w:r>
      <w:r>
        <w:rPr>
          <w:rFonts w:hint="eastAsia" w:ascii="仿宋_GB2312" w:hAnsi="仿宋" w:eastAsia="仿宋_GB2312"/>
          <w:w w:val="97"/>
          <w:sz w:val="32"/>
          <w:szCs w:val="32"/>
        </w:rPr>
        <w:t>为减少产业园人才公寓空置率，提高利用率，申请单位在收到配租通知后，原则上应在一个月内办理相关入住手续。逾期未办理入住手续的，取消入住资格，一年内不得再次申请人才公寓。有特殊原因的，应将情况及时反馈给区组织与人力资源部。</w:t>
      </w:r>
    </w:p>
    <w:p w14:paraId="30ACC813">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hint="eastAsia" w:ascii="仿宋_GB2312" w:hAnsi="仿宋" w:eastAsia="仿宋_GB2312"/>
          <w:sz w:val="32"/>
          <w:szCs w:val="32"/>
        </w:rPr>
        <w:t>（二）</w:t>
      </w:r>
      <w:r>
        <w:rPr>
          <w:rFonts w:ascii="仿宋_GB2312" w:hAnsi="仿宋" w:eastAsia="仿宋_GB2312"/>
          <w:sz w:val="32"/>
          <w:szCs w:val="32"/>
        </w:rPr>
        <w:t>租住期间，承租人须</w:t>
      </w:r>
      <w:r>
        <w:rPr>
          <w:rFonts w:hint="eastAsia" w:ascii="仿宋_GB2312" w:hAnsi="仿宋" w:eastAsia="仿宋_GB2312"/>
          <w:sz w:val="32"/>
          <w:szCs w:val="32"/>
        </w:rPr>
        <w:t>严格遵守</w:t>
      </w:r>
      <w:r>
        <w:rPr>
          <w:rFonts w:ascii="仿宋_GB2312" w:hAnsi="仿宋" w:eastAsia="仿宋_GB2312"/>
          <w:sz w:val="32"/>
          <w:szCs w:val="32"/>
        </w:rPr>
        <w:t>《南昌市房屋使用安全管理条例》</w:t>
      </w:r>
      <w:r>
        <w:rPr>
          <w:rFonts w:hint="eastAsia" w:ascii="仿宋_GB2312" w:hAnsi="仿宋" w:eastAsia="仿宋_GB2312"/>
          <w:sz w:val="32"/>
          <w:szCs w:val="32"/>
        </w:rPr>
        <w:t>有关</w:t>
      </w:r>
      <w:r>
        <w:rPr>
          <w:rFonts w:ascii="仿宋_GB2312" w:hAnsi="仿宋" w:eastAsia="仿宋_GB2312"/>
          <w:sz w:val="32"/>
          <w:szCs w:val="32"/>
        </w:rPr>
        <w:t>规定，有下列情形之一的，解除其租住协议，并收回已承租的公寓：</w:t>
      </w:r>
    </w:p>
    <w:p w14:paraId="6F845A70">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1.已购买或取得个人自有住房（新购买的住房可给予6个月装修过渡期）；</w:t>
      </w:r>
    </w:p>
    <w:p w14:paraId="438E7D36">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2.已承租其他公房；</w:t>
      </w:r>
    </w:p>
    <w:p w14:paraId="4C666AA4">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3.因辞职或调动离开</w:t>
      </w:r>
      <w:r>
        <w:rPr>
          <w:rFonts w:hint="eastAsia" w:ascii="仿宋_GB2312" w:hAnsi="仿宋" w:eastAsia="仿宋_GB2312"/>
          <w:sz w:val="32"/>
          <w:szCs w:val="32"/>
        </w:rPr>
        <w:t>产业园核心区</w:t>
      </w:r>
      <w:r>
        <w:rPr>
          <w:rFonts w:ascii="仿宋_GB2312" w:hAnsi="仿宋" w:eastAsia="仿宋_GB2312"/>
          <w:sz w:val="32"/>
          <w:szCs w:val="32"/>
        </w:rPr>
        <w:t>；</w:t>
      </w:r>
    </w:p>
    <w:p w14:paraId="1015F03F">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4.采取隐瞒事实、提供虚假资料、伪造证明材料等手段，租住人才公寓；</w:t>
      </w:r>
    </w:p>
    <w:p w14:paraId="34AE4C1F">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5.擅自转租、转借</w:t>
      </w:r>
      <w:r>
        <w:rPr>
          <w:rFonts w:hint="eastAsia" w:ascii="仿宋_GB2312" w:hAnsi="仿宋" w:eastAsia="仿宋_GB2312"/>
          <w:sz w:val="32"/>
          <w:szCs w:val="32"/>
        </w:rPr>
        <w:t>、改变住房用途</w:t>
      </w:r>
      <w:r>
        <w:rPr>
          <w:rFonts w:ascii="仿宋_GB2312" w:hAnsi="仿宋" w:eastAsia="仿宋_GB2312"/>
          <w:sz w:val="32"/>
          <w:szCs w:val="32"/>
        </w:rPr>
        <w:t>或挪作他用；</w:t>
      </w:r>
    </w:p>
    <w:p w14:paraId="1DAB13AF">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6.连续3个月以上闲置人才公寓，或未按规定缴纳租金</w:t>
      </w:r>
      <w:r>
        <w:rPr>
          <w:rFonts w:hint="eastAsia" w:ascii="仿宋_GB2312" w:hAnsi="仿宋" w:eastAsia="仿宋_GB2312"/>
          <w:sz w:val="32"/>
          <w:szCs w:val="32"/>
        </w:rPr>
        <w:t>或物业费</w:t>
      </w:r>
      <w:r>
        <w:rPr>
          <w:rFonts w:ascii="仿宋_GB2312" w:hAnsi="仿宋" w:eastAsia="仿宋_GB2312"/>
          <w:sz w:val="32"/>
          <w:szCs w:val="32"/>
        </w:rPr>
        <w:t>；</w:t>
      </w:r>
    </w:p>
    <w:p w14:paraId="471EF2EC">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ascii="仿宋_GB2312" w:hAnsi="仿宋" w:eastAsia="仿宋_GB2312"/>
          <w:sz w:val="32"/>
          <w:szCs w:val="32"/>
        </w:rPr>
        <w:t>7.违反租住协议的其他情形。</w:t>
      </w:r>
    </w:p>
    <w:p w14:paraId="095A131E">
      <w:pPr>
        <w:pStyle w:val="12"/>
        <w:tabs>
          <w:tab w:val="left" w:pos="4781"/>
        </w:tabs>
        <w:adjustRightInd w:val="0"/>
        <w:snapToGrid w:val="0"/>
        <w:spacing w:line="336" w:lineRule="auto"/>
        <w:ind w:firstLine="566" w:firstLineChars="177"/>
        <w:rPr>
          <w:rFonts w:ascii="仿宋_GB2312" w:hAnsi="仿宋" w:eastAsia="仿宋_GB2312"/>
          <w:sz w:val="32"/>
          <w:szCs w:val="32"/>
        </w:rPr>
      </w:pPr>
      <w:r>
        <w:rPr>
          <w:rFonts w:hint="eastAsia" w:ascii="仿宋_GB2312" w:hAnsi="仿宋" w:eastAsia="仿宋_GB2312"/>
          <w:sz w:val="32"/>
          <w:szCs w:val="32"/>
        </w:rPr>
        <w:t>承租人如有上述情形的，物业公司须及时向园区管理方及业主单位报告并解除租赁协议。</w:t>
      </w:r>
    </w:p>
    <w:p w14:paraId="5F9C0F08">
      <w:pPr>
        <w:autoSpaceDE w:val="0"/>
        <w:autoSpaceDN w:val="0"/>
        <w:adjustRightInd w:val="0"/>
        <w:snapToGrid w:val="0"/>
        <w:spacing w:line="336" w:lineRule="auto"/>
        <w:ind w:firstLine="566" w:firstLineChars="177"/>
        <w:jc w:val="left"/>
        <w:rPr>
          <w:rFonts w:ascii="仿宋_GB2312" w:hAnsi="仿宋" w:eastAsia="仿宋_GB2312"/>
          <w:sz w:val="32"/>
          <w:szCs w:val="32"/>
        </w:rPr>
      </w:pPr>
      <w:r>
        <w:rPr>
          <w:rFonts w:hint="eastAsia" w:ascii="仿宋_GB2312" w:hAnsi="仿宋" w:eastAsia="仿宋_GB2312"/>
          <w:sz w:val="32"/>
          <w:szCs w:val="32"/>
        </w:rPr>
        <w:t>（三）</w:t>
      </w:r>
      <w:r>
        <w:rPr>
          <w:rFonts w:hint="eastAsia" w:ascii="仿宋_GB2312" w:eastAsia="仿宋_GB2312" w:cs="仿宋_GB2312"/>
          <w:kern w:val="0"/>
          <w:sz w:val="32"/>
          <w:szCs w:val="32"/>
        </w:rPr>
        <w:t>人才公寓租赁合约一年一签，</w:t>
      </w:r>
      <w:r>
        <w:rPr>
          <w:rFonts w:hint="eastAsia" w:ascii="仿宋_GB2312" w:hAnsi="仿宋" w:eastAsia="仿宋_GB2312"/>
          <w:sz w:val="32"/>
          <w:szCs w:val="32"/>
        </w:rPr>
        <w:t>租赁期满后需续租的，须由承租人及所在单位在合同期满前</w:t>
      </w:r>
      <w:r>
        <w:rPr>
          <w:rFonts w:ascii="仿宋_GB2312" w:hAnsi="仿宋" w:eastAsia="仿宋_GB2312"/>
          <w:sz w:val="32"/>
          <w:szCs w:val="32"/>
        </w:rPr>
        <w:t>提出，</w:t>
      </w:r>
      <w:r>
        <w:rPr>
          <w:rFonts w:hint="eastAsia" w:ascii="仿宋_GB2312" w:hAnsi="仿宋" w:eastAsia="仿宋_GB2312"/>
          <w:sz w:val="32"/>
          <w:szCs w:val="32"/>
        </w:rPr>
        <w:t>区组织与人力资源部对申请人进行评估审核。</w:t>
      </w:r>
      <w:r>
        <w:rPr>
          <w:rFonts w:hint="eastAsia" w:ascii="仿宋_GB2312" w:eastAsia="仿宋_GB2312" w:cs="仿宋_GB2312"/>
          <w:kern w:val="0"/>
          <w:sz w:val="32"/>
          <w:szCs w:val="32"/>
        </w:rPr>
        <w:t>同一承租人原则上总租期不超过</w:t>
      </w:r>
      <w:r>
        <w:rPr>
          <w:rFonts w:ascii="仿宋_GB2312" w:eastAsia="仿宋_GB2312" w:cs="仿宋_GB2312"/>
          <w:kern w:val="0"/>
          <w:sz w:val="32"/>
          <w:szCs w:val="32"/>
        </w:rPr>
        <w:t>3</w:t>
      </w:r>
      <w:r>
        <w:rPr>
          <w:rFonts w:hint="eastAsia" w:ascii="仿宋_GB2312" w:eastAsia="仿宋_GB2312" w:cs="仿宋_GB2312"/>
          <w:kern w:val="0"/>
          <w:sz w:val="32"/>
          <w:szCs w:val="32"/>
        </w:rPr>
        <w:t>年。</w:t>
      </w:r>
      <w:r>
        <w:rPr>
          <w:rFonts w:hint="eastAsia" w:ascii="仿宋_GB2312" w:hAnsi="仿宋" w:eastAsia="仿宋_GB2312" w:cs="仿宋"/>
          <w:sz w:val="32"/>
          <w:szCs w:val="32"/>
        </w:rPr>
        <w:t>如有特殊原因需延长租住年限的情况，在有房源的情况下，适当延长租住年限。</w:t>
      </w:r>
    </w:p>
    <w:p w14:paraId="0F8F3A2F">
      <w:pPr>
        <w:pStyle w:val="3"/>
        <w:ind w:firstLine="640" w:firstLineChars="200"/>
        <w:rPr>
          <w:rFonts w:ascii="仿宋_GB2312" w:hAnsi="仿宋_GB2312" w:eastAsia="仿宋_GB2312" w:cs="仿宋_GB2312"/>
          <w:sz w:val="10"/>
          <w:szCs w:val="10"/>
        </w:rPr>
      </w:pPr>
      <w:r>
        <w:rPr>
          <w:rFonts w:hint="eastAsia" w:ascii="黑体" w:hAnsi="黑体" w:eastAsia="黑体"/>
          <w:sz w:val="32"/>
          <w:szCs w:val="32"/>
        </w:rPr>
        <w:t>七、本细则自印发之日起施行，此前发布的政策与本细则不一致的，以本细则为准。本细则由区组织与人力资源部负责解释。</w:t>
      </w:r>
    </w:p>
    <w:p w14:paraId="7C0A6E22">
      <w:pPr>
        <w:widowControl/>
        <w:jc w:val="left"/>
        <w:rPr>
          <w:rFonts w:ascii="黑体" w:hAnsi="黑体" w:eastAsia="黑体"/>
          <w:sz w:val="32"/>
          <w:szCs w:val="32"/>
        </w:rPr>
      </w:pPr>
    </w:p>
    <w:sectPr>
      <w:footerReference r:id="rId4" w:type="first"/>
      <w:footerReference r:id="rId3" w:type="default"/>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07F22">
    <w:pPr>
      <w:pStyle w:val="5"/>
      <w:rPr>
        <w:rFonts w:ascii="宋体" w:hAnsi="宋体" w:eastAsia="宋体"/>
        <w:sz w:val="24"/>
        <w:szCs w:val="24"/>
      </w:rPr>
    </w:pPr>
  </w:p>
  <w:p w14:paraId="6FB4207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4410079"/>
      <w:docPartObj>
        <w:docPartGallery w:val="autotext"/>
      </w:docPartObj>
    </w:sdtPr>
    <w:sdtContent>
      <w:p w14:paraId="2BFC4247">
        <w:pPr>
          <w:pStyle w:val="5"/>
        </w:pPr>
        <w:r>
          <w:fldChar w:fldCharType="begin"/>
        </w:r>
        <w:r>
          <w:instrText xml:space="preserve">PAGE   \* MERGEFORMAT</w:instrText>
        </w:r>
        <w:r>
          <w:fldChar w:fldCharType="separate"/>
        </w:r>
        <w:r>
          <w:rPr>
            <w:lang w:val="zh-CN"/>
          </w:rPr>
          <w:t>2</w:t>
        </w:r>
        <w:r>
          <w:fldChar w:fldCharType="end"/>
        </w:r>
      </w:p>
    </w:sdtContent>
  </w:sdt>
  <w:p w14:paraId="7B20B093">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D66"/>
    <w:rsid w:val="0000036C"/>
    <w:rsid w:val="000102AB"/>
    <w:rsid w:val="000110EF"/>
    <w:rsid w:val="00011F8E"/>
    <w:rsid w:val="000150F0"/>
    <w:rsid w:val="000376E7"/>
    <w:rsid w:val="00043596"/>
    <w:rsid w:val="00045B4F"/>
    <w:rsid w:val="00045B84"/>
    <w:rsid w:val="000465D8"/>
    <w:rsid w:val="00047D39"/>
    <w:rsid w:val="000502C4"/>
    <w:rsid w:val="00050631"/>
    <w:rsid w:val="00052D76"/>
    <w:rsid w:val="00053753"/>
    <w:rsid w:val="00062548"/>
    <w:rsid w:val="0006397A"/>
    <w:rsid w:val="000642E2"/>
    <w:rsid w:val="00073BA4"/>
    <w:rsid w:val="00080C5B"/>
    <w:rsid w:val="0008484A"/>
    <w:rsid w:val="0009050D"/>
    <w:rsid w:val="00093EC9"/>
    <w:rsid w:val="0009466D"/>
    <w:rsid w:val="0009625D"/>
    <w:rsid w:val="000B5BA5"/>
    <w:rsid w:val="000C1EBB"/>
    <w:rsid w:val="000C5F09"/>
    <w:rsid w:val="000D1116"/>
    <w:rsid w:val="000D27B4"/>
    <w:rsid w:val="000D48C6"/>
    <w:rsid w:val="000E232C"/>
    <w:rsid w:val="000F0778"/>
    <w:rsid w:val="000F5E92"/>
    <w:rsid w:val="00100043"/>
    <w:rsid w:val="001012A1"/>
    <w:rsid w:val="00115687"/>
    <w:rsid w:val="0011660B"/>
    <w:rsid w:val="00122BDC"/>
    <w:rsid w:val="00141E53"/>
    <w:rsid w:val="00164AC3"/>
    <w:rsid w:val="00164B06"/>
    <w:rsid w:val="001778DC"/>
    <w:rsid w:val="00184C85"/>
    <w:rsid w:val="00184E37"/>
    <w:rsid w:val="00187CEA"/>
    <w:rsid w:val="001916DB"/>
    <w:rsid w:val="001D316C"/>
    <w:rsid w:val="001E2128"/>
    <w:rsid w:val="001E438C"/>
    <w:rsid w:val="001E652A"/>
    <w:rsid w:val="001E7D17"/>
    <w:rsid w:val="00200093"/>
    <w:rsid w:val="00200832"/>
    <w:rsid w:val="00201863"/>
    <w:rsid w:val="00210498"/>
    <w:rsid w:val="00210D4D"/>
    <w:rsid w:val="00217408"/>
    <w:rsid w:val="00225EA0"/>
    <w:rsid w:val="0023420A"/>
    <w:rsid w:val="00236BF9"/>
    <w:rsid w:val="00257455"/>
    <w:rsid w:val="002576C8"/>
    <w:rsid w:val="00260B41"/>
    <w:rsid w:val="00261163"/>
    <w:rsid w:val="00265229"/>
    <w:rsid w:val="0026528D"/>
    <w:rsid w:val="00266684"/>
    <w:rsid w:val="00272439"/>
    <w:rsid w:val="00273451"/>
    <w:rsid w:val="00283F26"/>
    <w:rsid w:val="00290C01"/>
    <w:rsid w:val="002918A8"/>
    <w:rsid w:val="00291E4A"/>
    <w:rsid w:val="00292F10"/>
    <w:rsid w:val="00293327"/>
    <w:rsid w:val="00294764"/>
    <w:rsid w:val="00297817"/>
    <w:rsid w:val="002A6503"/>
    <w:rsid w:val="002B002B"/>
    <w:rsid w:val="002C53F3"/>
    <w:rsid w:val="002C5D50"/>
    <w:rsid w:val="002D3D0F"/>
    <w:rsid w:val="002D40BF"/>
    <w:rsid w:val="002D67AF"/>
    <w:rsid w:val="002F1CBC"/>
    <w:rsid w:val="002F218E"/>
    <w:rsid w:val="002F2611"/>
    <w:rsid w:val="002F3D87"/>
    <w:rsid w:val="002F623B"/>
    <w:rsid w:val="00307996"/>
    <w:rsid w:val="003100B2"/>
    <w:rsid w:val="00310C38"/>
    <w:rsid w:val="00312495"/>
    <w:rsid w:val="003221ED"/>
    <w:rsid w:val="00323A86"/>
    <w:rsid w:val="00324DFE"/>
    <w:rsid w:val="0032707F"/>
    <w:rsid w:val="00332E18"/>
    <w:rsid w:val="0033359E"/>
    <w:rsid w:val="00334BD5"/>
    <w:rsid w:val="00340CE1"/>
    <w:rsid w:val="003427BD"/>
    <w:rsid w:val="00355F75"/>
    <w:rsid w:val="00372092"/>
    <w:rsid w:val="00374358"/>
    <w:rsid w:val="00375F9B"/>
    <w:rsid w:val="003808F3"/>
    <w:rsid w:val="0038666F"/>
    <w:rsid w:val="00394B08"/>
    <w:rsid w:val="003958A5"/>
    <w:rsid w:val="003B0ADB"/>
    <w:rsid w:val="003B26DB"/>
    <w:rsid w:val="003C1341"/>
    <w:rsid w:val="003C402A"/>
    <w:rsid w:val="003D3BA0"/>
    <w:rsid w:val="003D60E0"/>
    <w:rsid w:val="003E654C"/>
    <w:rsid w:val="003F090B"/>
    <w:rsid w:val="003F4A6A"/>
    <w:rsid w:val="00403235"/>
    <w:rsid w:val="004216F3"/>
    <w:rsid w:val="004318E6"/>
    <w:rsid w:val="00440E68"/>
    <w:rsid w:val="00441C93"/>
    <w:rsid w:val="00447CB8"/>
    <w:rsid w:val="00450083"/>
    <w:rsid w:val="00457F5C"/>
    <w:rsid w:val="00460440"/>
    <w:rsid w:val="004625A2"/>
    <w:rsid w:val="00470AA4"/>
    <w:rsid w:val="00470CE5"/>
    <w:rsid w:val="00473DBC"/>
    <w:rsid w:val="004758A2"/>
    <w:rsid w:val="00490B38"/>
    <w:rsid w:val="0049450F"/>
    <w:rsid w:val="004A7742"/>
    <w:rsid w:val="004A7FDB"/>
    <w:rsid w:val="004B3547"/>
    <w:rsid w:val="004B69CF"/>
    <w:rsid w:val="004C4637"/>
    <w:rsid w:val="004C4A0C"/>
    <w:rsid w:val="004D3F13"/>
    <w:rsid w:val="004D4ECE"/>
    <w:rsid w:val="004F730F"/>
    <w:rsid w:val="00503D30"/>
    <w:rsid w:val="00514038"/>
    <w:rsid w:val="00516C73"/>
    <w:rsid w:val="00521578"/>
    <w:rsid w:val="0052491A"/>
    <w:rsid w:val="00524BC8"/>
    <w:rsid w:val="00526699"/>
    <w:rsid w:val="005267A4"/>
    <w:rsid w:val="00530158"/>
    <w:rsid w:val="00533366"/>
    <w:rsid w:val="00534225"/>
    <w:rsid w:val="0054119F"/>
    <w:rsid w:val="0055308D"/>
    <w:rsid w:val="005572AC"/>
    <w:rsid w:val="00573BB5"/>
    <w:rsid w:val="00585892"/>
    <w:rsid w:val="005860F4"/>
    <w:rsid w:val="005950F3"/>
    <w:rsid w:val="005A6DAF"/>
    <w:rsid w:val="005B06BC"/>
    <w:rsid w:val="005C65BA"/>
    <w:rsid w:val="005D4243"/>
    <w:rsid w:val="005D7C8D"/>
    <w:rsid w:val="005E1F00"/>
    <w:rsid w:val="0060013D"/>
    <w:rsid w:val="00600FF1"/>
    <w:rsid w:val="00602278"/>
    <w:rsid w:val="006073AA"/>
    <w:rsid w:val="00607587"/>
    <w:rsid w:val="00610F44"/>
    <w:rsid w:val="00611948"/>
    <w:rsid w:val="006127E4"/>
    <w:rsid w:val="00633DAB"/>
    <w:rsid w:val="006406FD"/>
    <w:rsid w:val="006428C7"/>
    <w:rsid w:val="006466EF"/>
    <w:rsid w:val="006469D5"/>
    <w:rsid w:val="00663ED8"/>
    <w:rsid w:val="0067159B"/>
    <w:rsid w:val="00674A59"/>
    <w:rsid w:val="0067796F"/>
    <w:rsid w:val="00685D6B"/>
    <w:rsid w:val="00691A28"/>
    <w:rsid w:val="00694BCE"/>
    <w:rsid w:val="00697A83"/>
    <w:rsid w:val="00697D6D"/>
    <w:rsid w:val="006A14E8"/>
    <w:rsid w:val="006B01EA"/>
    <w:rsid w:val="006C123C"/>
    <w:rsid w:val="006C31D5"/>
    <w:rsid w:val="006C7334"/>
    <w:rsid w:val="006D4FFB"/>
    <w:rsid w:val="006E0836"/>
    <w:rsid w:val="006E198F"/>
    <w:rsid w:val="006E6514"/>
    <w:rsid w:val="006E6DFE"/>
    <w:rsid w:val="006F3E24"/>
    <w:rsid w:val="006F5247"/>
    <w:rsid w:val="006F7C42"/>
    <w:rsid w:val="00705E78"/>
    <w:rsid w:val="00707662"/>
    <w:rsid w:val="0071128E"/>
    <w:rsid w:val="0071194E"/>
    <w:rsid w:val="00713107"/>
    <w:rsid w:val="00713518"/>
    <w:rsid w:val="00722132"/>
    <w:rsid w:val="007232FD"/>
    <w:rsid w:val="00727B46"/>
    <w:rsid w:val="00730F45"/>
    <w:rsid w:val="007353E1"/>
    <w:rsid w:val="00735A8E"/>
    <w:rsid w:val="0073654B"/>
    <w:rsid w:val="0074071A"/>
    <w:rsid w:val="00746607"/>
    <w:rsid w:val="00753093"/>
    <w:rsid w:val="00754930"/>
    <w:rsid w:val="0076274A"/>
    <w:rsid w:val="00785466"/>
    <w:rsid w:val="007927F6"/>
    <w:rsid w:val="007B49BE"/>
    <w:rsid w:val="007B5F5A"/>
    <w:rsid w:val="007C4CE2"/>
    <w:rsid w:val="007C7A86"/>
    <w:rsid w:val="007D2F78"/>
    <w:rsid w:val="007D692A"/>
    <w:rsid w:val="007E11BE"/>
    <w:rsid w:val="007E5850"/>
    <w:rsid w:val="007F7706"/>
    <w:rsid w:val="00803A40"/>
    <w:rsid w:val="00815898"/>
    <w:rsid w:val="00816E32"/>
    <w:rsid w:val="00843B97"/>
    <w:rsid w:val="00852A62"/>
    <w:rsid w:val="00852F43"/>
    <w:rsid w:val="00853A49"/>
    <w:rsid w:val="00862D0A"/>
    <w:rsid w:val="00872092"/>
    <w:rsid w:val="00872855"/>
    <w:rsid w:val="008738B2"/>
    <w:rsid w:val="00884299"/>
    <w:rsid w:val="008859F1"/>
    <w:rsid w:val="00886830"/>
    <w:rsid w:val="008868E9"/>
    <w:rsid w:val="00892E39"/>
    <w:rsid w:val="008A3DA7"/>
    <w:rsid w:val="008A73DB"/>
    <w:rsid w:val="008B3F0A"/>
    <w:rsid w:val="008B4389"/>
    <w:rsid w:val="008C05FB"/>
    <w:rsid w:val="008D2708"/>
    <w:rsid w:val="008D620E"/>
    <w:rsid w:val="008D780F"/>
    <w:rsid w:val="008E721A"/>
    <w:rsid w:val="00903296"/>
    <w:rsid w:val="009120B5"/>
    <w:rsid w:val="00912D3F"/>
    <w:rsid w:val="009201DE"/>
    <w:rsid w:val="00925111"/>
    <w:rsid w:val="0094112C"/>
    <w:rsid w:val="00942B70"/>
    <w:rsid w:val="009516D4"/>
    <w:rsid w:val="00952B59"/>
    <w:rsid w:val="00952CA0"/>
    <w:rsid w:val="00957772"/>
    <w:rsid w:val="00971950"/>
    <w:rsid w:val="00972461"/>
    <w:rsid w:val="00975020"/>
    <w:rsid w:val="009768EC"/>
    <w:rsid w:val="00984116"/>
    <w:rsid w:val="00985389"/>
    <w:rsid w:val="009876BD"/>
    <w:rsid w:val="0099396E"/>
    <w:rsid w:val="00994A86"/>
    <w:rsid w:val="00994D36"/>
    <w:rsid w:val="009A1EED"/>
    <w:rsid w:val="009A26EC"/>
    <w:rsid w:val="009A34F0"/>
    <w:rsid w:val="009A47CD"/>
    <w:rsid w:val="009B5FD0"/>
    <w:rsid w:val="009D296C"/>
    <w:rsid w:val="009D2CCF"/>
    <w:rsid w:val="009D323F"/>
    <w:rsid w:val="009E2B38"/>
    <w:rsid w:val="00A03992"/>
    <w:rsid w:val="00A14553"/>
    <w:rsid w:val="00A14F72"/>
    <w:rsid w:val="00A22D9C"/>
    <w:rsid w:val="00A25237"/>
    <w:rsid w:val="00A25C2C"/>
    <w:rsid w:val="00A37457"/>
    <w:rsid w:val="00A404D6"/>
    <w:rsid w:val="00A51B0D"/>
    <w:rsid w:val="00A51F5B"/>
    <w:rsid w:val="00A62615"/>
    <w:rsid w:val="00A62EEF"/>
    <w:rsid w:val="00A66C4A"/>
    <w:rsid w:val="00A705DD"/>
    <w:rsid w:val="00A73BD5"/>
    <w:rsid w:val="00A903F9"/>
    <w:rsid w:val="00AC03AF"/>
    <w:rsid w:val="00AC44D6"/>
    <w:rsid w:val="00AD0B5B"/>
    <w:rsid w:val="00AD17C8"/>
    <w:rsid w:val="00AD3826"/>
    <w:rsid w:val="00AE04B0"/>
    <w:rsid w:val="00AF03F3"/>
    <w:rsid w:val="00AF29A7"/>
    <w:rsid w:val="00B00097"/>
    <w:rsid w:val="00B03C12"/>
    <w:rsid w:val="00B06AE5"/>
    <w:rsid w:val="00B1276F"/>
    <w:rsid w:val="00B14CAB"/>
    <w:rsid w:val="00B15221"/>
    <w:rsid w:val="00B15D0D"/>
    <w:rsid w:val="00B356F8"/>
    <w:rsid w:val="00B50187"/>
    <w:rsid w:val="00B53D71"/>
    <w:rsid w:val="00B60956"/>
    <w:rsid w:val="00B71D66"/>
    <w:rsid w:val="00B73296"/>
    <w:rsid w:val="00B76DF1"/>
    <w:rsid w:val="00B803F2"/>
    <w:rsid w:val="00B875DA"/>
    <w:rsid w:val="00B93C2B"/>
    <w:rsid w:val="00BA4ECC"/>
    <w:rsid w:val="00BA5BEC"/>
    <w:rsid w:val="00BB6087"/>
    <w:rsid w:val="00BD335A"/>
    <w:rsid w:val="00BD484A"/>
    <w:rsid w:val="00BF1C7F"/>
    <w:rsid w:val="00BF42AE"/>
    <w:rsid w:val="00C045E9"/>
    <w:rsid w:val="00C07948"/>
    <w:rsid w:val="00C10DC2"/>
    <w:rsid w:val="00C13EE9"/>
    <w:rsid w:val="00C30EDC"/>
    <w:rsid w:val="00C323BB"/>
    <w:rsid w:val="00C36EE0"/>
    <w:rsid w:val="00C36F5F"/>
    <w:rsid w:val="00C429DF"/>
    <w:rsid w:val="00C46A3D"/>
    <w:rsid w:val="00C46FDD"/>
    <w:rsid w:val="00C56B9A"/>
    <w:rsid w:val="00C64885"/>
    <w:rsid w:val="00C66DF4"/>
    <w:rsid w:val="00C67F8E"/>
    <w:rsid w:val="00C77462"/>
    <w:rsid w:val="00C874E1"/>
    <w:rsid w:val="00C902F5"/>
    <w:rsid w:val="00C903F3"/>
    <w:rsid w:val="00CA277F"/>
    <w:rsid w:val="00CA5F15"/>
    <w:rsid w:val="00CB3DB5"/>
    <w:rsid w:val="00CB6B92"/>
    <w:rsid w:val="00CC41E2"/>
    <w:rsid w:val="00CD0EA7"/>
    <w:rsid w:val="00CD7953"/>
    <w:rsid w:val="00CE271A"/>
    <w:rsid w:val="00CE5536"/>
    <w:rsid w:val="00CE59EA"/>
    <w:rsid w:val="00CF32F5"/>
    <w:rsid w:val="00CF687C"/>
    <w:rsid w:val="00D01587"/>
    <w:rsid w:val="00D078E2"/>
    <w:rsid w:val="00D12A7B"/>
    <w:rsid w:val="00D16F73"/>
    <w:rsid w:val="00D323B2"/>
    <w:rsid w:val="00D32CF0"/>
    <w:rsid w:val="00D33309"/>
    <w:rsid w:val="00D344E6"/>
    <w:rsid w:val="00D371D1"/>
    <w:rsid w:val="00D51580"/>
    <w:rsid w:val="00D5343E"/>
    <w:rsid w:val="00D55385"/>
    <w:rsid w:val="00D62F9C"/>
    <w:rsid w:val="00D64FB3"/>
    <w:rsid w:val="00D7302E"/>
    <w:rsid w:val="00D76270"/>
    <w:rsid w:val="00D77EF6"/>
    <w:rsid w:val="00D823C5"/>
    <w:rsid w:val="00D95FC9"/>
    <w:rsid w:val="00DA3DA3"/>
    <w:rsid w:val="00DA487F"/>
    <w:rsid w:val="00DA573A"/>
    <w:rsid w:val="00DC2529"/>
    <w:rsid w:val="00DC6600"/>
    <w:rsid w:val="00DD0630"/>
    <w:rsid w:val="00DD176F"/>
    <w:rsid w:val="00DD2573"/>
    <w:rsid w:val="00DD3B03"/>
    <w:rsid w:val="00DE0590"/>
    <w:rsid w:val="00DE69E5"/>
    <w:rsid w:val="00DF08C6"/>
    <w:rsid w:val="00DF5117"/>
    <w:rsid w:val="00DF61C2"/>
    <w:rsid w:val="00DF7AEF"/>
    <w:rsid w:val="00E02E98"/>
    <w:rsid w:val="00E05EB6"/>
    <w:rsid w:val="00E0609A"/>
    <w:rsid w:val="00E062C5"/>
    <w:rsid w:val="00E06DC4"/>
    <w:rsid w:val="00E10154"/>
    <w:rsid w:val="00E13C09"/>
    <w:rsid w:val="00E15D85"/>
    <w:rsid w:val="00E16C09"/>
    <w:rsid w:val="00E32291"/>
    <w:rsid w:val="00E34995"/>
    <w:rsid w:val="00E4741E"/>
    <w:rsid w:val="00E702FE"/>
    <w:rsid w:val="00E753C9"/>
    <w:rsid w:val="00E76415"/>
    <w:rsid w:val="00E80204"/>
    <w:rsid w:val="00E80D99"/>
    <w:rsid w:val="00E91A88"/>
    <w:rsid w:val="00EA1692"/>
    <w:rsid w:val="00EA1710"/>
    <w:rsid w:val="00EA178E"/>
    <w:rsid w:val="00EA3B61"/>
    <w:rsid w:val="00EA5D02"/>
    <w:rsid w:val="00EA738A"/>
    <w:rsid w:val="00EA749B"/>
    <w:rsid w:val="00EB107A"/>
    <w:rsid w:val="00EB1DBF"/>
    <w:rsid w:val="00EB421E"/>
    <w:rsid w:val="00EB79BB"/>
    <w:rsid w:val="00EC34C4"/>
    <w:rsid w:val="00ED2EA2"/>
    <w:rsid w:val="00EE004E"/>
    <w:rsid w:val="00EE0B53"/>
    <w:rsid w:val="00EE6BAF"/>
    <w:rsid w:val="00EF04F7"/>
    <w:rsid w:val="00EF54C7"/>
    <w:rsid w:val="00EF5852"/>
    <w:rsid w:val="00F01491"/>
    <w:rsid w:val="00F056FF"/>
    <w:rsid w:val="00F11C41"/>
    <w:rsid w:val="00F125DC"/>
    <w:rsid w:val="00F21706"/>
    <w:rsid w:val="00F35AD4"/>
    <w:rsid w:val="00F4740B"/>
    <w:rsid w:val="00F54676"/>
    <w:rsid w:val="00F55B51"/>
    <w:rsid w:val="00F65266"/>
    <w:rsid w:val="00F74CF5"/>
    <w:rsid w:val="00F77F4B"/>
    <w:rsid w:val="00FA07D9"/>
    <w:rsid w:val="00FB5C50"/>
    <w:rsid w:val="00FD02E5"/>
    <w:rsid w:val="00FD060C"/>
    <w:rsid w:val="00FD0C75"/>
    <w:rsid w:val="00FD6C0E"/>
    <w:rsid w:val="00FE0FB8"/>
    <w:rsid w:val="00FE74FD"/>
    <w:rsid w:val="00FF4CF9"/>
    <w:rsid w:val="087E6262"/>
    <w:rsid w:val="1DFB4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ody Text"/>
    <w:basedOn w:val="1"/>
    <w:link w:val="19"/>
    <w:qFormat/>
    <w:uiPriority w:val="0"/>
    <w:pPr>
      <w:spacing w:after="120"/>
    </w:pPr>
    <w:rPr>
      <w:rFonts w:ascii="Calibri" w:hAnsi="Calibri" w:eastAsia="宋体" w:cs="Times New Roman"/>
    </w:r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2"/>
    <w:next w:val="2"/>
    <w:link w:val="16"/>
    <w:semiHidden/>
    <w:unhideWhenUsed/>
    <w:qFormat/>
    <w:uiPriority w:val="99"/>
    <w:rPr>
      <w:b/>
      <w:bCs/>
    </w:rPr>
  </w:style>
  <w:style w:type="character" w:styleId="11">
    <w:name w:val="annotation reference"/>
    <w:basedOn w:val="10"/>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文字 字符"/>
    <w:basedOn w:val="10"/>
    <w:link w:val="2"/>
    <w:semiHidden/>
    <w:qFormat/>
    <w:uiPriority w:val="99"/>
  </w:style>
  <w:style w:type="character" w:customStyle="1" w:styleId="16">
    <w:name w:val="批注主题 字符"/>
    <w:basedOn w:val="15"/>
    <w:link w:val="8"/>
    <w:semiHidden/>
    <w:qFormat/>
    <w:uiPriority w:val="99"/>
    <w:rPr>
      <w:b/>
      <w:bCs/>
    </w:rPr>
  </w:style>
  <w:style w:type="character" w:customStyle="1" w:styleId="17">
    <w:name w:val="批注框文本 字符"/>
    <w:basedOn w:val="10"/>
    <w:link w:val="4"/>
    <w:semiHidden/>
    <w:qFormat/>
    <w:uiPriority w:val="99"/>
    <w:rPr>
      <w:sz w:val="18"/>
      <w:szCs w:val="18"/>
    </w:rPr>
  </w:style>
  <w:style w:type="paragraph" w:customStyle="1" w:styleId="18">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正文文本 字符"/>
    <w:basedOn w:val="10"/>
    <w:link w:val="3"/>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2B951-AD55-4F4E-88A4-7A3A75790044}">
  <ds:schemaRefs/>
</ds:datastoreItem>
</file>

<file path=docProps/app.xml><?xml version="1.0" encoding="utf-8"?>
<Properties xmlns="http://schemas.openxmlformats.org/officeDocument/2006/extended-properties" xmlns:vt="http://schemas.openxmlformats.org/officeDocument/2006/docPropsVTypes">
  <Template>Normal</Template>
  <Pages>5</Pages>
  <Words>1851</Words>
  <Characters>1864</Characters>
  <Lines>18</Lines>
  <Paragraphs>5</Paragraphs>
  <TotalTime>532</TotalTime>
  <ScaleCrop>false</ScaleCrop>
  <LinksUpToDate>false</LinksUpToDate>
  <CharactersWithSpaces>1864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2021-07-16T06:32:00Z</dcterms:created>
  <dc:creator>万方</dc:creator>
  <cp:lastModifiedBy>安静的美少女壮士</cp:lastModifiedBy>
  <cp:lastPrinted>2023-09-25T02:13:00Z</cp:lastPrinted>
  <dcterms:modified xsi:type="dcterms:W3CDTF">2026-03-04T02:10:45Z</dcterms:modified>
  <cp:revision>174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eyJoZGlkIjoiOTcwNjQ0MTA2NDhhNzRiMGRhMzdlOWU5ZTFjZWUwNGQiLCJ1c2VySWQiOiIyMjk2MzgxMzIifQ==</vt:lpwstr>
  </property>
  <property fmtid="{D5CDD505-2E9C-101B-9397-08002B2CF9AE}" pid="3" name="KSOProductBuildVer">
    <vt:lpwstr>2052-12.1.0.24657</vt:lpwstr>
  </property>
  <property fmtid="{D5CDD505-2E9C-101B-9397-08002B2CF9AE}" pid="4" name="ICV">
    <vt:lpwstr>1191402CE09D4C10BE56152CC75F8424_13</vt:lpwstr>
  </property>
</Properties>
</file>