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rPr>
          <w:rFonts w:ascii="等线" w:hAnsi="等线" w:eastAsia="仿宋_GB2312"/>
          <w:sz w:val="32"/>
          <w:szCs w:val="32"/>
        </w:rPr>
      </w:pPr>
      <w:bookmarkStart w:id="0" w:name="_Hlk49879791"/>
      <w:bookmarkEnd w:id="0"/>
    </w:p>
    <w:p>
      <w:pPr>
        <w:adjustRightInd w:val="0"/>
        <w:snapToGrid w:val="0"/>
        <w:spacing w:line="360" w:lineRule="auto"/>
        <w:rPr>
          <w:rFonts w:ascii="仿宋_GB2312" w:eastAsia="仿宋_GB2312"/>
          <w:sz w:val="32"/>
          <w:szCs w:val="32"/>
        </w:rPr>
      </w:pPr>
    </w:p>
    <w:p>
      <w:pPr>
        <w:adjustRightInd w:val="0"/>
        <w:snapToGrid w:val="0"/>
        <w:spacing w:line="360" w:lineRule="auto"/>
        <w:rPr>
          <w:rFonts w:ascii="仿宋_GB2312" w:eastAsia="仿宋_GB2312"/>
          <w:sz w:val="32"/>
          <w:szCs w:val="32"/>
        </w:rPr>
      </w:pPr>
    </w:p>
    <w:p>
      <w:pPr>
        <w:adjustRightInd w:val="0"/>
        <w:snapToGrid w:val="0"/>
        <w:spacing w:line="360" w:lineRule="auto"/>
        <w:rPr>
          <w:rFonts w:ascii="仿宋_GB2312" w:eastAsia="仿宋_GB2312"/>
          <w:sz w:val="32"/>
          <w:szCs w:val="32"/>
        </w:rPr>
      </w:pPr>
      <w:r>
        <w:rPr>
          <w:rFonts w:ascii="仿宋_GB2312" w:eastAsia="仿宋_GB2312"/>
          <w:sz w:val="32"/>
          <w:szCs w:val="32"/>
        </w:rPr>
        <w:pict>
          <v:shape id="_x0000_s1026" o:spid="_x0000_s1026" o:spt="136" type="#_x0000_t136" style="position:absolute;left:0pt;margin-left:1.35pt;margin-top:2.15pt;height:54.6pt;width:441.75pt;z-index:251659264;mso-width-relative:page;mso-height-relative:page;" fillcolor="#FF0000" filled="t" coordsize="21600,21600">
            <v:path/>
            <v:fill on="t" focussize="0,0"/>
            <v:stroke color="#FF0000"/>
            <v:imagedata o:title=""/>
            <o:lock v:ext="edit"/>
            <v:textpath on="t" fitshape="t" fitpath="t" trim="t" xscale="f" string="南昌高新技术产业开发区管委会办公室" style="font-family:方正小标宋简体;font-size:36pt;v-text-align:center;"/>
          </v:shape>
        </w:pict>
      </w:r>
    </w:p>
    <w:p>
      <w:pPr>
        <w:adjustRightInd w:val="0"/>
        <w:snapToGrid w:val="0"/>
        <w:spacing w:line="360" w:lineRule="auto"/>
        <w:rPr>
          <w:rFonts w:ascii="仿宋_GB2312" w:eastAsia="仿宋_GB2312"/>
          <w:sz w:val="32"/>
          <w:szCs w:val="32"/>
        </w:rPr>
      </w:pPr>
    </w:p>
    <w:p>
      <w:pPr>
        <w:adjustRightInd w:val="0"/>
        <w:snapToGrid w:val="0"/>
        <w:spacing w:line="360" w:lineRule="auto"/>
        <w:jc w:val="center"/>
        <w:rPr>
          <w:rFonts w:ascii="仿宋_GB2312" w:eastAsia="仿宋_GB2312"/>
          <w:sz w:val="32"/>
          <w:szCs w:val="32"/>
        </w:rPr>
      </w:pPr>
    </w:p>
    <w:p>
      <w:pPr>
        <w:adjustRightInd w:val="0"/>
        <w:snapToGrid w:val="0"/>
        <w:spacing w:line="360" w:lineRule="auto"/>
        <w:jc w:val="center"/>
        <w:rPr>
          <w:rFonts w:ascii="仿宋_GB2312" w:eastAsia="仿宋_GB2312"/>
          <w:sz w:val="32"/>
          <w:szCs w:val="32"/>
        </w:rPr>
      </w:pPr>
    </w:p>
    <w:p>
      <w:pPr>
        <w:pBdr>
          <w:bottom w:val="single" w:color="FF0000" w:sz="12" w:space="1"/>
        </w:pBdr>
        <w:adjustRightInd w:val="0"/>
        <w:snapToGrid w:val="0"/>
        <w:spacing w:line="360" w:lineRule="auto"/>
        <w:jc w:val="center"/>
        <w:rPr>
          <w:rFonts w:ascii="仿宋_GB2312" w:eastAsia="仿宋_GB2312"/>
          <w:sz w:val="32"/>
          <w:szCs w:val="32"/>
        </w:rPr>
      </w:pPr>
      <w:r>
        <w:rPr>
          <w:rFonts w:hint="eastAsia" w:ascii="仿宋_GB2312" w:eastAsia="仿宋_GB2312"/>
          <w:sz w:val="32"/>
          <w:szCs w:val="32"/>
        </w:rPr>
        <w:t>洪高新管办字〔</w:t>
      </w:r>
      <w:r>
        <w:rPr>
          <w:rFonts w:ascii="仿宋_GB2312" w:eastAsia="仿宋_GB2312"/>
          <w:sz w:val="32"/>
          <w:szCs w:val="32"/>
        </w:rPr>
        <w:t>202</w:t>
      </w:r>
      <w:r>
        <w:rPr>
          <w:rFonts w:hint="eastAsia" w:ascii="仿宋_GB2312" w:eastAsia="仿宋_GB2312"/>
          <w:sz w:val="32"/>
          <w:szCs w:val="32"/>
          <w:lang w:val="en-US" w:eastAsia="zh-CN"/>
        </w:rPr>
        <w:t>3</w:t>
      </w:r>
      <w:r>
        <w:rPr>
          <w:rFonts w:hint="eastAsia" w:ascii="仿宋_GB2312" w:eastAsia="仿宋_GB2312"/>
          <w:sz w:val="32"/>
          <w:szCs w:val="32"/>
        </w:rPr>
        <w:t>〕</w:t>
      </w:r>
      <w:r>
        <w:rPr>
          <w:rFonts w:hint="eastAsia" w:ascii="仿宋_GB2312" w:eastAsia="仿宋_GB2312"/>
          <w:sz w:val="32"/>
          <w:szCs w:val="32"/>
          <w:lang w:val="en-US" w:eastAsia="zh-CN"/>
        </w:rPr>
        <w:t>124</w:t>
      </w:r>
      <w:r>
        <w:rPr>
          <w:rFonts w:hint="eastAsia" w:ascii="仿宋_GB2312" w:eastAsia="仿宋_GB2312"/>
          <w:sz w:val="32"/>
          <w:szCs w:val="32"/>
        </w:rPr>
        <w:t>号</w:t>
      </w:r>
    </w:p>
    <w:p>
      <w:pPr>
        <w:adjustRightInd w:val="0"/>
        <w:snapToGrid w:val="0"/>
        <w:spacing w:line="360" w:lineRule="auto"/>
        <w:jc w:val="center"/>
        <w:rPr>
          <w:rFonts w:ascii="仿宋_GB2312" w:eastAsia="仿宋_GB2312"/>
          <w:sz w:val="32"/>
          <w:szCs w:val="32"/>
        </w:rPr>
      </w:pPr>
    </w:p>
    <w:p>
      <w:pPr>
        <w:pStyle w:val="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lang w:val="en-US" w:eastAsia="zh-CN"/>
        </w:rPr>
      </w:pPr>
      <w:r>
        <w:rPr>
          <w:rFonts w:hint="eastAsia" w:ascii="方正小标宋简体" w:hAnsi="方正小标宋简体" w:eastAsia="方正小标宋简体" w:cs="方正小标宋简体"/>
          <w:b w:val="0"/>
          <w:bCs/>
          <w:snapToGrid w:val="0"/>
          <w:w w:val="100"/>
          <w:kern w:val="0"/>
          <w:sz w:val="44"/>
          <w:szCs w:val="44"/>
          <w:lang w:val="en-US" w:eastAsia="zh-CN"/>
        </w:rPr>
        <w:t>南昌高新区管委会办公室</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关于印发《南昌高新区人才公寓管理实施细则》的通知</w:t>
      </w:r>
    </w:p>
    <w:p>
      <w:pPr>
        <w:pStyle w:val="3"/>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仿宋_GB2312" w:hAnsi="仿宋_GB2312" w:eastAsia="仿宋_GB2312" w:cs="仿宋_GB2312"/>
          <w:sz w:val="32"/>
          <w:szCs w:val="32"/>
        </w:rPr>
      </w:pPr>
    </w:p>
    <w:p>
      <w:pPr>
        <w:pStyle w:val="3"/>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机关各部门、各镇政府、各管理处，区属各相关单位：</w:t>
      </w:r>
    </w:p>
    <w:p>
      <w:pPr>
        <w:pStyle w:val="3"/>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《南昌高新区人才公寓管理实施细则》经管委会同意，现印发给你们，请照此执行。</w:t>
      </w:r>
    </w:p>
    <w:p>
      <w:pPr>
        <w:pStyle w:val="3"/>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仿宋_GB2312" w:hAnsi="仿宋_GB2312" w:eastAsia="仿宋_GB2312" w:cs="仿宋_GB2312"/>
          <w:sz w:val="32"/>
          <w:szCs w:val="32"/>
          <w:lang w:val="en-US" w:eastAsia="zh-CN"/>
        </w:rPr>
      </w:pPr>
    </w:p>
    <w:p>
      <w:pPr>
        <w:pStyle w:val="3"/>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仿宋_GB2312" w:hAnsi="仿宋_GB2312" w:eastAsia="仿宋_GB2312" w:cs="仿宋_GB2312"/>
          <w:b w:val="0"/>
          <w:bCs w:val="0"/>
          <w:sz w:val="32"/>
          <w:szCs w:val="32"/>
          <w:lang w:val="en-US" w:eastAsia="zh-CN"/>
        </w:rPr>
      </w:pPr>
    </w:p>
    <w:p>
      <w:pPr>
        <w:pStyle w:val="3"/>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南昌高新区管</w:t>
      </w:r>
      <w:bookmarkStart w:id="1" w:name="_GoBack"/>
      <w:bookmarkEnd w:id="1"/>
      <w:r>
        <w:rPr>
          <w:rFonts w:hint="eastAsia" w:ascii="仿宋_GB2312" w:hAnsi="仿宋_GB2312" w:eastAsia="仿宋_GB2312" w:cs="仿宋_GB2312"/>
          <w:b w:val="0"/>
          <w:bCs w:val="0"/>
          <w:sz w:val="32"/>
          <w:szCs w:val="32"/>
          <w:lang w:val="en-US" w:eastAsia="zh-CN"/>
        </w:rPr>
        <w:t>委会办公室</w:t>
      </w:r>
    </w:p>
    <w:p>
      <w:pPr>
        <w:keepNext w:val="0"/>
        <w:keepLines w:val="0"/>
        <w:pageBreakBefore w:val="0"/>
        <w:widowControl w:val="0"/>
        <w:kinsoku/>
        <w:wordWrap w:val="0"/>
        <w:overflowPunct/>
        <w:topLinePunct w:val="0"/>
        <w:autoSpaceDE/>
        <w:autoSpaceDN/>
        <w:bidi w:val="0"/>
        <w:adjustRightInd w:val="0"/>
        <w:snapToGrid w:val="0"/>
        <w:spacing w:line="360" w:lineRule="auto"/>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2023年11月7日 </w:t>
      </w:r>
    </w:p>
    <w:p>
      <w:pPr>
        <w:tabs>
          <w:tab w:val="left" w:pos="1449"/>
        </w:tabs>
        <w:bidi w:val="0"/>
        <w:jc w:val="left"/>
        <w:rPr>
          <w:rFonts w:hint="eastAsia"/>
          <w:lang w:val="en-US" w:eastAsia="zh-CN"/>
        </w:rPr>
        <w:sectPr>
          <w:footerReference r:id="rId3" w:type="default"/>
          <w:pgSz w:w="11906" w:h="16838"/>
          <w:pgMar w:top="2098" w:right="1474" w:bottom="1984" w:left="1587" w:header="851" w:footer="992" w:gutter="0"/>
          <w:pgNumType w:fmt="numberInDash"/>
          <w:cols w:space="425" w:num="1"/>
          <w:docGrid w:type="lines" w:linePitch="312" w:charSpace="0"/>
        </w:sectPr>
      </w:pPr>
    </w:p>
    <w:p>
      <w:pPr>
        <w:adjustRightInd w:val="0"/>
        <w:snapToGrid w:val="0"/>
        <w:jc w:val="center"/>
        <w:rPr>
          <w:rFonts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t>南昌高新区人才公寓管理实施细则</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center"/>
        <w:textAlignment w:val="auto"/>
        <w:rPr>
          <w:rFonts w:ascii="楷体_GB2312" w:hAnsi="黑体" w:eastAsia="楷体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line="580" w:lineRule="exact"/>
        <w:ind w:firstLine="664" w:firstLineChars="200"/>
        <w:textAlignment w:val="auto"/>
        <w:rPr>
          <w:rFonts w:ascii="仿宋_GB2312" w:hAnsi="仿宋" w:eastAsia="仿宋_GB2312" w:cs="宋体"/>
          <w:snapToGrid w:val="0"/>
          <w:spacing w:val="6"/>
          <w:kern w:val="0"/>
          <w:sz w:val="32"/>
          <w:szCs w:val="32"/>
        </w:rPr>
      </w:pPr>
      <w:r>
        <w:rPr>
          <w:rFonts w:hint="eastAsia" w:ascii="仿宋_GB2312" w:hAnsi="仿宋" w:eastAsia="仿宋_GB2312" w:cs="宋体"/>
          <w:snapToGrid w:val="0"/>
          <w:spacing w:val="6"/>
          <w:kern w:val="0"/>
          <w:sz w:val="32"/>
          <w:szCs w:val="32"/>
        </w:rPr>
        <w:t>为规范南昌高新区人才公寓的运营和管理，营造有利于人才安居乐业的环境，结合我区实际，特修订《人才公寓管理实施细则》。</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黑体" w:hAnsi="黑体" w:eastAsia="黑体" w:cs="宋体"/>
          <w:kern w:val="0"/>
          <w:sz w:val="32"/>
          <w:szCs w:val="32"/>
        </w:rPr>
      </w:pPr>
      <w:r>
        <w:rPr>
          <w:rFonts w:hint="eastAsia" w:ascii="黑体" w:hAnsi="黑体" w:eastAsia="黑体" w:cs="宋体"/>
          <w:kern w:val="0"/>
          <w:sz w:val="32"/>
          <w:szCs w:val="32"/>
        </w:rPr>
        <w:t>一、管理原则</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_GB2312" w:hAnsi="仿宋" w:eastAsia="仿宋_GB2312" w:cs="宋体"/>
          <w:kern w:val="0"/>
          <w:sz w:val="32"/>
          <w:szCs w:val="32"/>
        </w:rPr>
      </w:pPr>
      <w:r>
        <w:rPr>
          <w:rFonts w:hint="eastAsia" w:ascii="仿宋_GB2312" w:hAnsi="仿宋" w:eastAsia="仿宋_GB2312" w:cs="宋体"/>
          <w:kern w:val="0"/>
          <w:sz w:val="32"/>
          <w:szCs w:val="32"/>
        </w:rPr>
        <w:t>（一）人才公寓按照“政府主导，周转使用，动态管理”的原则，主要用于在南昌高新区创业就业的人才的政策性租赁周转用房。</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_GB2312" w:hAnsi="仿宋" w:eastAsia="仿宋_GB2312" w:cs="宋体"/>
          <w:kern w:val="0"/>
          <w:sz w:val="32"/>
          <w:szCs w:val="32"/>
        </w:rPr>
      </w:pPr>
      <w:r>
        <w:rPr>
          <w:rFonts w:hint="eastAsia" w:ascii="仿宋_GB2312" w:hAnsi="仿宋" w:eastAsia="仿宋_GB2312" w:cs="宋体"/>
          <w:kern w:val="0"/>
          <w:sz w:val="32"/>
          <w:szCs w:val="32"/>
        </w:rPr>
        <w:t>（二）区组织与人力资源部会同申报企业的主管部门对所申报的企业与人才资质进行审核。</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_GB2312" w:hAnsi="仿宋" w:eastAsia="仿宋_GB2312" w:cs="宋体"/>
          <w:kern w:val="0"/>
          <w:sz w:val="32"/>
          <w:szCs w:val="32"/>
        </w:rPr>
      </w:pPr>
      <w:r>
        <w:rPr>
          <w:rFonts w:hint="eastAsia" w:ascii="仿宋_GB2312" w:hAnsi="仿宋" w:eastAsia="仿宋_GB2312" w:cs="宋体"/>
          <w:kern w:val="0"/>
          <w:sz w:val="32"/>
          <w:szCs w:val="32"/>
        </w:rPr>
        <w:t>（三）南昌招商物业管理有限公司（简称物业公司）负责人才公寓的物业管理与运营以及物业费的收取；</w:t>
      </w:r>
      <w:r>
        <w:rPr>
          <w:rFonts w:hint="eastAsia" w:ascii="仿宋_GB2312" w:hAnsi="仿宋" w:eastAsia="仿宋_GB2312" w:cs="Times New Roman"/>
          <w:sz w:val="32"/>
          <w:szCs w:val="32"/>
        </w:rPr>
        <w:t>南昌高新置业投资有限公司（简称置业公司）负责房屋运维及租金收取</w:t>
      </w:r>
      <w:r>
        <w:rPr>
          <w:rFonts w:hint="eastAsia" w:ascii="仿宋_GB2312" w:hAnsi="仿宋" w:eastAsia="仿宋_GB2312" w:cs="宋体"/>
          <w:kern w:val="0"/>
          <w:sz w:val="32"/>
          <w:szCs w:val="32"/>
        </w:rPr>
        <w:t>。</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黑体" w:hAnsi="黑体" w:eastAsia="黑体" w:cs="宋体"/>
          <w:kern w:val="0"/>
          <w:sz w:val="32"/>
          <w:szCs w:val="32"/>
        </w:rPr>
      </w:pPr>
      <w:r>
        <w:rPr>
          <w:rFonts w:hint="eastAsia" w:ascii="黑体" w:hAnsi="黑体" w:eastAsia="黑体" w:cs="宋体"/>
          <w:kern w:val="0"/>
          <w:sz w:val="32"/>
          <w:szCs w:val="32"/>
        </w:rPr>
        <w:t>二、申请对象</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_GB2312" w:hAnsi="楷体" w:eastAsia="仿宋_GB2312" w:cs="Times New Roman"/>
          <w:b/>
          <w:bCs/>
          <w:sz w:val="32"/>
          <w:szCs w:val="32"/>
        </w:rPr>
      </w:pPr>
      <w:r>
        <w:rPr>
          <w:rFonts w:hint="eastAsia" w:ascii="仿宋_GB2312" w:hAnsi="仿宋" w:eastAsia="仿宋_GB2312" w:cs="Times New Roman"/>
          <w:sz w:val="32"/>
          <w:szCs w:val="32"/>
        </w:rPr>
        <w:t>（一）人才公寓主要面向</w:t>
      </w:r>
      <w:r>
        <w:rPr>
          <w:rFonts w:hint="eastAsia" w:ascii="仿宋_GB2312" w:hAnsi="仿宋" w:eastAsia="仿宋_GB2312" w:cs="Times New Roman"/>
          <w:kern w:val="0"/>
          <w:sz w:val="32"/>
          <w:szCs w:val="32"/>
        </w:rPr>
        <w:t>经管委会认定的重点企业及研发机构引进的人才（含政府引进的特殊人才）</w:t>
      </w:r>
      <w:r>
        <w:rPr>
          <w:rFonts w:hint="eastAsia" w:ascii="仿宋_GB2312" w:hAnsi="仿宋" w:eastAsia="仿宋_GB2312" w:cs="Times New Roman"/>
          <w:sz w:val="32"/>
          <w:szCs w:val="32"/>
        </w:rPr>
        <w:t>，且申请人才在南昌市无自有住房。</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cs="Times New Roman"/>
          <w:sz w:val="32"/>
          <w:szCs w:val="22"/>
        </w:rPr>
      </w:pPr>
      <w:r>
        <w:rPr>
          <w:rFonts w:hint="eastAsia" w:ascii="仿宋_GB2312" w:hAnsi="仿宋" w:eastAsia="仿宋_GB2312" w:cs="宋体"/>
          <w:kern w:val="0"/>
          <w:sz w:val="32"/>
          <w:szCs w:val="32"/>
        </w:rPr>
        <w:t>（二）</w:t>
      </w:r>
      <w:r>
        <w:rPr>
          <w:rFonts w:hint="eastAsia" w:ascii="仿宋_GB2312" w:hAnsi="仿宋" w:eastAsia="仿宋_GB2312" w:cs="宋体"/>
          <w:sz w:val="32"/>
          <w:szCs w:val="32"/>
        </w:rPr>
        <w:t>人才公寓入住对象为</w:t>
      </w:r>
      <w:r>
        <w:rPr>
          <w:rFonts w:hint="eastAsia" w:ascii="仿宋_GB2312" w:hAnsi="仿宋" w:eastAsia="仿宋_GB2312" w:cs="宋体"/>
          <w:kern w:val="0"/>
          <w:sz w:val="32"/>
          <w:szCs w:val="32"/>
        </w:rPr>
        <w:t>A、B、C、D、E五类人才。</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_GB2312" w:hAnsi="仿宋" w:eastAsia="仿宋_GB2312" w:cs="仿宋"/>
          <w:color w:val="000000"/>
          <w:sz w:val="32"/>
          <w:szCs w:val="32"/>
        </w:rPr>
      </w:pPr>
      <w:r>
        <w:rPr>
          <w:rFonts w:hint="eastAsia" w:ascii="仿宋_GB2312" w:hAnsi="仿宋" w:eastAsia="仿宋_GB2312" w:cs="宋体"/>
          <w:kern w:val="0"/>
          <w:sz w:val="32"/>
          <w:szCs w:val="32"/>
        </w:rPr>
        <w:t>A类（</w:t>
      </w:r>
      <w:r>
        <w:rPr>
          <w:rFonts w:hint="eastAsia" w:ascii="仿宋_GB2312" w:hAnsi="仿宋" w:eastAsia="仿宋_GB2312" w:cs="仿宋"/>
          <w:color w:val="000000"/>
          <w:sz w:val="32"/>
          <w:szCs w:val="32"/>
        </w:rPr>
        <w:t>国内外顶尖人才）</w:t>
      </w:r>
      <w:r>
        <w:rPr>
          <w:rFonts w:hint="eastAsia" w:ascii="仿宋_GB2312" w:hAnsi="仿宋" w:eastAsia="仿宋_GB2312" w:cs="宋体"/>
          <w:kern w:val="0"/>
          <w:sz w:val="32"/>
          <w:szCs w:val="32"/>
        </w:rPr>
        <w:t>、B类（</w:t>
      </w:r>
      <w:r>
        <w:rPr>
          <w:rFonts w:hint="eastAsia" w:ascii="仿宋_GB2312" w:hAnsi="仿宋" w:eastAsia="仿宋_GB2312" w:cs="仿宋"/>
          <w:color w:val="000000"/>
          <w:sz w:val="32"/>
          <w:szCs w:val="32"/>
        </w:rPr>
        <w:t>国家级领军人才）、C类（省级领军人才）、D类（市级领军人才）</w:t>
      </w:r>
      <w:r>
        <w:rPr>
          <w:rFonts w:hint="eastAsia" w:ascii="仿宋_GB2312" w:hAnsi="仿宋" w:eastAsia="仿宋_GB2312" w:cs="宋体"/>
          <w:kern w:val="0"/>
          <w:sz w:val="32"/>
          <w:szCs w:val="32"/>
        </w:rPr>
        <w:t>人才标准参照《南昌市高层次人才分类认定目录》</w:t>
      </w:r>
      <w:r>
        <w:rPr>
          <w:rFonts w:hint="eastAsia" w:ascii="仿宋_GB2312" w:hAnsi="仿宋" w:eastAsia="仿宋_GB2312" w:cs="仿宋"/>
          <w:color w:val="000000"/>
          <w:sz w:val="32"/>
          <w:szCs w:val="32"/>
        </w:rPr>
        <w:t>中A、B、C、D类人才标准。</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_GB2312" w:hAnsi="仿宋" w:eastAsia="仿宋_GB2312" w:cs="仿宋"/>
          <w:color w:val="000000"/>
          <w:sz w:val="32"/>
          <w:szCs w:val="32"/>
        </w:rPr>
      </w:pPr>
      <w:r>
        <w:rPr>
          <w:rFonts w:hint="eastAsia" w:ascii="仿宋_GB2312" w:hAnsi="仿宋" w:eastAsia="仿宋_GB2312" w:cs="仿宋"/>
          <w:color w:val="000000"/>
          <w:sz w:val="32"/>
          <w:szCs w:val="32"/>
        </w:rPr>
        <w:t>E类：其他类人才</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cs="Times New Roman"/>
          <w:sz w:val="32"/>
          <w:szCs w:val="22"/>
        </w:rPr>
      </w:pPr>
      <w:r>
        <w:rPr>
          <w:rFonts w:hint="eastAsia" w:ascii="仿宋_GB2312" w:hAnsi="仿宋" w:eastAsia="仿宋_GB2312" w:cs="仿宋"/>
          <w:color w:val="000000"/>
          <w:sz w:val="32"/>
          <w:szCs w:val="32"/>
        </w:rPr>
        <w:t>具有副高级及以上专业技术职务任职资格、技师及以上职业资格的人才；大学本科及以上学历人员；急需、紧缺的优秀创新创业人才及重点企业高管，经认定后，也可以享受相应的政策。</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黑体" w:hAnsi="黑体" w:eastAsia="黑体" w:cs="宋体"/>
          <w:kern w:val="0"/>
          <w:sz w:val="32"/>
          <w:szCs w:val="32"/>
        </w:rPr>
      </w:pPr>
      <w:r>
        <w:rPr>
          <w:rFonts w:hint="eastAsia" w:ascii="黑体" w:hAnsi="黑体" w:eastAsia="黑体" w:cs="宋体"/>
          <w:kern w:val="0"/>
          <w:sz w:val="32"/>
          <w:szCs w:val="32"/>
        </w:rPr>
        <w:t>三、分配原则</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_GB2312" w:hAnsi="仿宋" w:eastAsia="仿宋_GB2312" w:cs="仿宋"/>
          <w:sz w:val="32"/>
          <w:szCs w:val="32"/>
        </w:rPr>
      </w:pPr>
      <w:r>
        <w:rPr>
          <w:rFonts w:hint="eastAsia" w:ascii="仿宋_GB2312" w:hAnsi="仿宋" w:eastAsia="仿宋_GB2312" w:cs="仿宋"/>
          <w:sz w:val="32"/>
          <w:szCs w:val="32"/>
        </w:rPr>
        <w:t>（一）</w:t>
      </w:r>
      <w:r>
        <w:rPr>
          <w:rFonts w:hint="eastAsia" w:ascii="仿宋_GB2312" w:hAnsi="仿宋" w:eastAsia="仿宋_GB2312" w:cs="仿宋"/>
          <w:snapToGrid w:val="0"/>
          <w:spacing w:val="-6"/>
          <w:sz w:val="32"/>
          <w:szCs w:val="32"/>
        </w:rPr>
        <w:t>由区人才办商企业主管部门根据企业人才类别提出配租意见，在有房源的情况下，根据申请人实际需求予以配租。如申请的房源紧缺，则由区人才办、企业主管部门商企业更换户型。</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_GB2312" w:hAnsi="仿宋" w:eastAsia="仿宋_GB2312" w:cs="仿宋"/>
          <w:kern w:val="0"/>
          <w:sz w:val="32"/>
          <w:szCs w:val="32"/>
        </w:rPr>
      </w:pPr>
      <w:r>
        <w:rPr>
          <w:rFonts w:hint="eastAsia" w:ascii="仿宋_GB2312" w:hAnsi="仿宋" w:eastAsia="仿宋_GB2312" w:cs="仿宋"/>
          <w:sz w:val="32"/>
          <w:szCs w:val="32"/>
        </w:rPr>
        <w:t>（二）审批通过的申请人由</w:t>
      </w:r>
      <w:r>
        <w:rPr>
          <w:rFonts w:hint="eastAsia" w:ascii="仿宋_GB2312" w:hAnsi="仿宋" w:eastAsia="仿宋_GB2312" w:cs="仿宋"/>
          <w:kern w:val="0"/>
          <w:sz w:val="32"/>
          <w:szCs w:val="32"/>
        </w:rPr>
        <w:t>物业公司</w:t>
      </w:r>
      <w:r>
        <w:rPr>
          <w:rFonts w:hint="eastAsia" w:ascii="仿宋_GB2312" w:hAnsi="仿宋" w:eastAsia="仿宋_GB2312" w:cs="仿宋"/>
          <w:sz w:val="32"/>
          <w:szCs w:val="32"/>
        </w:rPr>
        <w:t>组织房屋配租、物业管理及入住人员台账登记工作。</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黑体" w:hAnsi="黑体" w:eastAsia="黑体" w:cs="宋体"/>
          <w:kern w:val="0"/>
          <w:sz w:val="32"/>
          <w:szCs w:val="32"/>
        </w:rPr>
      </w:pPr>
      <w:r>
        <w:rPr>
          <w:rFonts w:hint="eastAsia" w:ascii="黑体" w:hAnsi="黑体" w:eastAsia="黑体" w:cs="宋体"/>
          <w:kern w:val="0"/>
          <w:sz w:val="32"/>
          <w:szCs w:val="32"/>
        </w:rPr>
        <w:t>四、申请流程</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_GB2312" w:hAnsi="仿宋" w:eastAsia="仿宋_GB2312" w:cs="仿宋"/>
          <w:kern w:val="0"/>
          <w:sz w:val="32"/>
          <w:szCs w:val="32"/>
        </w:rPr>
      </w:pPr>
      <w:r>
        <w:rPr>
          <w:rFonts w:hint="eastAsia" w:ascii="仿宋_GB2312" w:hAnsi="仿宋" w:eastAsia="仿宋_GB2312" w:cs="仿宋"/>
          <w:kern w:val="0"/>
          <w:sz w:val="32"/>
          <w:szCs w:val="32"/>
        </w:rPr>
        <w:t>符合人才公寓租住条件的人才，按下列程序办理：</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_GB2312" w:hAnsi="仿宋" w:eastAsia="仿宋_GB2312" w:cs="仿宋"/>
          <w:sz w:val="32"/>
          <w:szCs w:val="32"/>
        </w:rPr>
      </w:pPr>
      <w:r>
        <w:rPr>
          <w:rFonts w:hint="eastAsia" w:ascii="仿宋_GB2312" w:hAnsi="仿宋" w:eastAsia="仿宋_GB2312" w:cs="仿宋"/>
          <w:b w:val="0"/>
          <w:bCs/>
          <w:sz w:val="32"/>
          <w:szCs w:val="32"/>
          <w:lang w:eastAsia="zh-CN"/>
        </w:rPr>
        <w:t>（</w:t>
      </w:r>
      <w:r>
        <w:rPr>
          <w:rFonts w:hint="eastAsia" w:ascii="仿宋_GB2312" w:hAnsi="仿宋" w:eastAsia="仿宋_GB2312" w:cs="仿宋"/>
          <w:b w:val="0"/>
          <w:bCs/>
          <w:sz w:val="32"/>
          <w:szCs w:val="32"/>
          <w:lang w:val="en-US" w:eastAsia="zh-CN"/>
        </w:rPr>
        <w:t>一</w:t>
      </w:r>
      <w:r>
        <w:rPr>
          <w:rFonts w:hint="eastAsia" w:ascii="仿宋_GB2312" w:hAnsi="仿宋" w:eastAsia="仿宋_GB2312" w:cs="仿宋"/>
          <w:b w:val="0"/>
          <w:bCs/>
          <w:sz w:val="32"/>
          <w:szCs w:val="32"/>
          <w:lang w:eastAsia="zh-CN"/>
        </w:rPr>
        <w:t>）</w:t>
      </w:r>
      <w:r>
        <w:rPr>
          <w:rFonts w:hint="eastAsia" w:ascii="仿宋_GB2312" w:hAnsi="仿宋" w:eastAsia="仿宋_GB2312" w:cs="仿宋"/>
          <w:b w:val="0"/>
          <w:bCs/>
          <w:sz w:val="32"/>
          <w:szCs w:val="32"/>
        </w:rPr>
        <w:t>企业</w:t>
      </w:r>
      <w:r>
        <w:rPr>
          <w:rFonts w:hint="eastAsia" w:ascii="仿宋_GB2312" w:hAnsi="仿宋" w:eastAsia="仿宋_GB2312" w:cs="仿宋"/>
          <w:b w:val="0"/>
          <w:bCs/>
          <w:kern w:val="0"/>
          <w:sz w:val="32"/>
          <w:szCs w:val="32"/>
        </w:rPr>
        <w:t>申请。</w:t>
      </w:r>
      <w:r>
        <w:rPr>
          <w:rFonts w:hint="eastAsia" w:ascii="仿宋_GB2312" w:hAnsi="仿宋" w:eastAsia="仿宋_GB2312" w:cs="仿宋"/>
          <w:kern w:val="0"/>
          <w:sz w:val="32"/>
          <w:szCs w:val="32"/>
        </w:rPr>
        <w:t>个人提交以下材料至企业，由用人单位汇总登录</w:t>
      </w:r>
      <w:r>
        <w:rPr>
          <w:rFonts w:hint="eastAsia" w:ascii="仿宋_GB2312" w:hAnsi="仿宋" w:eastAsia="仿宋_GB2312" w:cs="Times New Roman"/>
          <w:sz w:val="32"/>
          <w:szCs w:val="32"/>
        </w:rPr>
        <w:t>“南昌高新区人才码”微信小程序</w:t>
      </w:r>
      <w:r>
        <w:rPr>
          <w:rFonts w:hint="eastAsia" w:ascii="仿宋_GB2312" w:hAnsi="仿宋" w:eastAsia="仿宋_GB2312" w:cs="仿宋"/>
          <w:kern w:val="0"/>
          <w:sz w:val="32"/>
          <w:szCs w:val="32"/>
        </w:rPr>
        <w:t>进行线上提交。</w:t>
      </w:r>
      <w:r>
        <w:rPr>
          <w:rFonts w:hint="eastAsia" w:ascii="仿宋_GB2312" w:hAnsi="仿宋" w:eastAsia="仿宋_GB2312" w:cs="仿宋"/>
          <w:sz w:val="32"/>
          <w:szCs w:val="32"/>
        </w:rPr>
        <w:t>主要包括：承租人所在单位的营业执照复印件、承租人本人学历证书、身份证、劳动合同或聘用合同、</w:t>
      </w:r>
      <w:r>
        <w:rPr>
          <w:rFonts w:hint="eastAsia" w:ascii="仿宋_GB2312" w:hAnsi="仿宋" w:eastAsia="仿宋_GB2312" w:cs="仿宋"/>
          <w:snapToGrid w:val="0"/>
          <w:spacing w:val="11"/>
          <w:sz w:val="32"/>
          <w:szCs w:val="32"/>
        </w:rPr>
        <w:t>社保或银行流水、房管部门出具的无房证明及其他相关证明材料。</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_GB2312" w:hAnsi="仿宋" w:eastAsia="仿宋_GB2312" w:cs="仿宋"/>
          <w:sz w:val="32"/>
          <w:szCs w:val="32"/>
        </w:rPr>
      </w:pPr>
      <w:r>
        <w:rPr>
          <w:rFonts w:hint="eastAsia" w:ascii="仿宋_GB2312" w:hAnsi="仿宋" w:eastAsia="仿宋_GB2312" w:cs="仿宋"/>
          <w:b w:val="0"/>
          <w:bCs/>
          <w:sz w:val="32"/>
          <w:szCs w:val="32"/>
          <w:lang w:eastAsia="zh-CN"/>
        </w:rPr>
        <w:t>（</w:t>
      </w:r>
      <w:r>
        <w:rPr>
          <w:rFonts w:hint="eastAsia" w:ascii="仿宋_GB2312" w:hAnsi="仿宋" w:eastAsia="仿宋_GB2312" w:cs="仿宋"/>
          <w:b w:val="0"/>
          <w:bCs/>
          <w:sz w:val="32"/>
          <w:szCs w:val="32"/>
          <w:lang w:val="en-US" w:eastAsia="zh-CN"/>
        </w:rPr>
        <w:t>二</w:t>
      </w:r>
      <w:r>
        <w:rPr>
          <w:rFonts w:hint="eastAsia" w:ascii="仿宋_GB2312" w:hAnsi="仿宋" w:eastAsia="仿宋_GB2312" w:cs="仿宋"/>
          <w:b w:val="0"/>
          <w:bCs/>
          <w:sz w:val="32"/>
          <w:szCs w:val="32"/>
          <w:lang w:eastAsia="zh-CN"/>
        </w:rPr>
        <w:t>）</w:t>
      </w:r>
      <w:r>
        <w:rPr>
          <w:rFonts w:hint="eastAsia" w:ascii="仿宋_GB2312" w:hAnsi="仿宋" w:eastAsia="仿宋_GB2312" w:cs="仿宋"/>
          <w:b w:val="0"/>
          <w:bCs/>
          <w:sz w:val="32"/>
          <w:szCs w:val="32"/>
        </w:rPr>
        <w:t>资格审查。</w:t>
      </w:r>
      <w:r>
        <w:rPr>
          <w:rFonts w:hint="eastAsia" w:ascii="仿宋_GB2312" w:hAnsi="仿宋" w:eastAsia="仿宋_GB2312" w:cs="仿宋"/>
          <w:bCs/>
          <w:sz w:val="32"/>
          <w:szCs w:val="32"/>
        </w:rPr>
        <w:t>区</w:t>
      </w:r>
      <w:r>
        <w:rPr>
          <w:rFonts w:hint="eastAsia" w:ascii="仿宋_GB2312" w:hAnsi="仿宋" w:eastAsia="仿宋_GB2312" w:cs="仿宋"/>
          <w:sz w:val="32"/>
          <w:szCs w:val="32"/>
        </w:rPr>
        <w:t>组织与人力资源部会同</w:t>
      </w:r>
      <w:r>
        <w:rPr>
          <w:rFonts w:hint="eastAsia" w:ascii="仿宋_GB2312" w:hAnsi="仿宋" w:eastAsia="仿宋_GB2312" w:cs="Times New Roman"/>
          <w:kern w:val="0"/>
          <w:sz w:val="32"/>
          <w:szCs w:val="32"/>
        </w:rPr>
        <w:t>申报企业的主管部门</w:t>
      </w:r>
      <w:r>
        <w:rPr>
          <w:rFonts w:hint="eastAsia" w:ascii="仿宋_GB2312" w:hAnsi="仿宋" w:eastAsia="仿宋_GB2312" w:cs="仿宋"/>
          <w:sz w:val="32"/>
          <w:szCs w:val="32"/>
        </w:rPr>
        <w:t>对申请企业及个人进行资格审查，提出初审意见，呈报管委会会议审议。</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_GB2312" w:hAnsi="仿宋" w:eastAsia="仿宋_GB2312" w:cs="仿宋"/>
          <w:sz w:val="32"/>
          <w:szCs w:val="32"/>
        </w:rPr>
      </w:pPr>
      <w:r>
        <w:rPr>
          <w:rFonts w:hint="eastAsia" w:ascii="仿宋_GB2312" w:hAnsi="仿宋" w:eastAsia="仿宋_GB2312" w:cs="仿宋"/>
          <w:b w:val="0"/>
          <w:bCs/>
          <w:sz w:val="32"/>
          <w:szCs w:val="32"/>
          <w:lang w:eastAsia="zh-CN"/>
        </w:rPr>
        <w:t>（</w:t>
      </w:r>
      <w:r>
        <w:rPr>
          <w:rFonts w:hint="eastAsia" w:ascii="仿宋_GB2312" w:hAnsi="仿宋" w:eastAsia="仿宋_GB2312" w:cs="仿宋"/>
          <w:b w:val="0"/>
          <w:bCs/>
          <w:sz w:val="32"/>
          <w:szCs w:val="32"/>
          <w:lang w:val="en-US" w:eastAsia="zh-CN"/>
        </w:rPr>
        <w:t>三</w:t>
      </w:r>
      <w:r>
        <w:rPr>
          <w:rFonts w:hint="eastAsia" w:ascii="仿宋_GB2312" w:hAnsi="仿宋" w:eastAsia="仿宋_GB2312" w:cs="仿宋"/>
          <w:b w:val="0"/>
          <w:bCs/>
          <w:sz w:val="32"/>
          <w:szCs w:val="32"/>
          <w:lang w:eastAsia="zh-CN"/>
        </w:rPr>
        <w:t>）</w:t>
      </w:r>
      <w:r>
        <w:rPr>
          <w:rFonts w:hint="eastAsia" w:ascii="仿宋_GB2312" w:hAnsi="仿宋" w:eastAsia="仿宋_GB2312" w:cs="仿宋"/>
          <w:b w:val="0"/>
          <w:bCs/>
          <w:sz w:val="32"/>
          <w:szCs w:val="32"/>
        </w:rPr>
        <w:t>会议审定。</w:t>
      </w:r>
      <w:r>
        <w:rPr>
          <w:rFonts w:hint="eastAsia" w:ascii="仿宋_GB2312" w:hAnsi="仿宋" w:eastAsia="仿宋_GB2312" w:cs="仿宋"/>
          <w:kern w:val="0"/>
          <w:sz w:val="32"/>
          <w:szCs w:val="32"/>
        </w:rPr>
        <w:t>区开放型经济工作领导小组会</w:t>
      </w:r>
      <w:r>
        <w:rPr>
          <w:rFonts w:hint="eastAsia" w:ascii="仿宋_GB2312" w:hAnsi="仿宋" w:eastAsia="仿宋_GB2312" w:cs="仿宋"/>
          <w:sz w:val="32"/>
          <w:szCs w:val="32"/>
        </w:rPr>
        <w:t>对申请人的入住资格进行审核，确定配租方案，区组织与人力资源部</w:t>
      </w:r>
      <w:r>
        <w:rPr>
          <w:rFonts w:hint="eastAsia" w:ascii="仿宋_GB2312" w:hAnsi="仿宋" w:eastAsia="仿宋_GB2312" w:cs="仿宋"/>
          <w:kern w:val="0"/>
          <w:sz w:val="32"/>
          <w:szCs w:val="32"/>
        </w:rPr>
        <w:t>根据会议精神</w:t>
      </w:r>
      <w:r>
        <w:rPr>
          <w:rFonts w:hint="eastAsia" w:ascii="仿宋_GB2312" w:hAnsi="仿宋" w:eastAsia="仿宋_GB2312" w:cs="仿宋"/>
          <w:sz w:val="32"/>
          <w:szCs w:val="32"/>
        </w:rPr>
        <w:t>出具工作函。</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ascii="Calibri" w:hAnsi="Calibri" w:eastAsia="仿宋_GB2312" w:cs="Times New Roman"/>
          <w:bCs/>
          <w:kern w:val="2"/>
          <w:sz w:val="32"/>
          <w:szCs w:val="22"/>
          <w:lang w:val="en-US" w:eastAsia="zh-CN" w:bidi="ar-SA"/>
        </w:rPr>
      </w:pPr>
      <w:r>
        <w:rPr>
          <w:rFonts w:hint="eastAsia" w:ascii="仿宋_GB2312" w:hAnsi="仿宋" w:eastAsia="仿宋_GB2312" w:cs="仿宋"/>
          <w:b w:val="0"/>
          <w:bCs/>
          <w:kern w:val="2"/>
          <w:sz w:val="32"/>
          <w:szCs w:val="32"/>
          <w:lang w:val="en-US" w:eastAsia="zh-CN" w:bidi="ar-SA"/>
        </w:rPr>
        <w:t>（四）签订合同。</w:t>
      </w:r>
      <w:r>
        <w:rPr>
          <w:rFonts w:hint="eastAsia" w:ascii="仿宋_GB2312" w:hAnsi="仿宋" w:eastAsia="仿宋_GB2312" w:cs="Times New Roman"/>
          <w:bCs/>
          <w:kern w:val="2"/>
          <w:sz w:val="32"/>
          <w:szCs w:val="32"/>
          <w:lang w:val="en-US" w:eastAsia="zh-CN" w:bidi="ar-SA"/>
        </w:rPr>
        <w:t>企业根据区</w:t>
      </w:r>
      <w:r>
        <w:rPr>
          <w:rFonts w:hint="eastAsia" w:ascii="仿宋_GB2312" w:hAnsi="仿宋" w:eastAsia="仿宋_GB2312" w:cs="仿宋"/>
          <w:bCs/>
          <w:kern w:val="2"/>
          <w:sz w:val="32"/>
          <w:szCs w:val="32"/>
          <w:lang w:val="en-US" w:eastAsia="zh-CN" w:bidi="ar-SA"/>
        </w:rPr>
        <w:t>组织与人力资源部出具的工作函</w:t>
      </w:r>
      <w:r>
        <w:rPr>
          <w:rFonts w:hint="eastAsia" w:ascii="仿宋_GB2312" w:hAnsi="仿宋" w:eastAsia="仿宋_GB2312" w:cs="Times New Roman"/>
          <w:bCs/>
          <w:kern w:val="2"/>
          <w:sz w:val="32"/>
          <w:szCs w:val="32"/>
          <w:lang w:val="en-US" w:eastAsia="zh-CN" w:bidi="ar-SA"/>
        </w:rPr>
        <w:t>，分别与置业公司及物业公司签订《租赁合同》及《物业合同》，办理入住手续。</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黑体" w:hAnsi="黑体" w:eastAsia="黑体" w:cs="宋体"/>
          <w:kern w:val="0"/>
          <w:sz w:val="32"/>
          <w:szCs w:val="32"/>
        </w:rPr>
      </w:pPr>
      <w:r>
        <w:rPr>
          <w:rFonts w:hint="eastAsia" w:ascii="黑体" w:hAnsi="黑体" w:eastAsia="黑体" w:cs="宋体"/>
          <w:kern w:val="0"/>
          <w:sz w:val="32"/>
          <w:szCs w:val="32"/>
        </w:rPr>
        <w:t>五、租金标准</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_GB2312" w:hAnsi="仿宋" w:eastAsia="仿宋_GB2312" w:cs="仿宋"/>
          <w:sz w:val="32"/>
          <w:szCs w:val="32"/>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一</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租金价格：A户型（59</w:t>
      </w:r>
      <w:r>
        <w:rPr>
          <w:rFonts w:hint="eastAsia" w:ascii="仿宋_GB2312" w:hAnsi="仿宋" w:eastAsia="仿宋" w:cs="宋体"/>
          <w:sz w:val="32"/>
          <w:szCs w:val="32"/>
        </w:rPr>
        <w:t>㎡</w:t>
      </w:r>
      <w:r>
        <w:rPr>
          <w:rFonts w:hint="eastAsia" w:ascii="仿宋_GB2312" w:hAnsi="仿宋" w:eastAsia="仿宋_GB2312" w:cs="宋体"/>
          <w:sz w:val="32"/>
          <w:szCs w:val="32"/>
        </w:rPr>
        <w:t>）</w:t>
      </w:r>
      <w:r>
        <w:rPr>
          <w:rFonts w:hint="eastAsia" w:ascii="仿宋_GB2312" w:hAnsi="仿宋" w:eastAsia="仿宋_GB2312" w:cs="仿宋"/>
          <w:sz w:val="32"/>
          <w:szCs w:val="32"/>
        </w:rPr>
        <w:t>1300元/套·月；B户型（82</w:t>
      </w:r>
      <w:r>
        <w:rPr>
          <w:rFonts w:hint="eastAsia" w:ascii="仿宋_GB2312" w:hAnsi="仿宋" w:eastAsia="仿宋" w:cs="宋体"/>
          <w:sz w:val="32"/>
          <w:szCs w:val="32"/>
        </w:rPr>
        <w:t>㎡</w:t>
      </w:r>
      <w:r>
        <w:rPr>
          <w:rFonts w:hint="eastAsia" w:ascii="仿宋_GB2312" w:hAnsi="仿宋" w:eastAsia="仿宋_GB2312" w:cs="仿宋"/>
          <w:sz w:val="32"/>
          <w:szCs w:val="32"/>
        </w:rPr>
        <w:t>）1760元/套·月；C户型（122</w:t>
      </w:r>
      <w:r>
        <w:rPr>
          <w:rFonts w:hint="eastAsia" w:ascii="仿宋_GB2312" w:hAnsi="仿宋" w:eastAsia="仿宋" w:cs="宋体"/>
          <w:sz w:val="32"/>
          <w:szCs w:val="32"/>
        </w:rPr>
        <w:t>㎡</w:t>
      </w:r>
      <w:r>
        <w:rPr>
          <w:rFonts w:hint="eastAsia" w:ascii="仿宋_GB2312" w:hAnsi="仿宋" w:eastAsia="仿宋_GB2312" w:cs="仿宋"/>
          <w:sz w:val="32"/>
          <w:szCs w:val="32"/>
        </w:rPr>
        <w:t>）2160元/套·月；D户型（152</w:t>
      </w:r>
      <w:r>
        <w:rPr>
          <w:rFonts w:hint="eastAsia" w:ascii="仿宋_GB2312" w:hAnsi="仿宋" w:eastAsia="仿宋" w:cs="宋体"/>
          <w:sz w:val="32"/>
          <w:szCs w:val="32"/>
        </w:rPr>
        <w:t>㎡</w:t>
      </w:r>
      <w:r>
        <w:rPr>
          <w:rFonts w:hint="eastAsia" w:ascii="仿宋_GB2312" w:hAnsi="仿宋" w:eastAsia="仿宋_GB2312" w:cs="仿宋"/>
          <w:sz w:val="32"/>
          <w:szCs w:val="32"/>
        </w:rPr>
        <w:t>）2880元/套·月；E户型（215</w:t>
      </w:r>
      <w:r>
        <w:rPr>
          <w:rFonts w:hint="eastAsia" w:ascii="仿宋_GB2312" w:hAnsi="仿宋" w:eastAsia="仿宋" w:cs="宋体"/>
          <w:sz w:val="32"/>
          <w:szCs w:val="32"/>
        </w:rPr>
        <w:t>㎡</w:t>
      </w:r>
      <w:r>
        <w:rPr>
          <w:rFonts w:hint="eastAsia" w:ascii="仿宋_GB2312" w:hAnsi="仿宋" w:eastAsia="仿宋_GB2312" w:cs="仿宋"/>
          <w:sz w:val="32"/>
          <w:szCs w:val="32"/>
        </w:rPr>
        <w:t>）10800元/套·月。</w:t>
      </w:r>
    </w:p>
    <w:p>
      <w:pPr>
        <w:keepNext w:val="0"/>
        <w:keepLines w:val="0"/>
        <w:pageBreakBefore w:val="0"/>
        <w:widowControl w:val="0"/>
        <w:kinsoku/>
        <w:wordWrap/>
        <w:overflowPunct/>
        <w:topLinePunct w:val="0"/>
        <w:autoSpaceDE/>
        <w:autoSpaceDN/>
        <w:bidi w:val="0"/>
        <w:adjustRightInd w:val="0"/>
        <w:snapToGrid w:val="0"/>
        <w:spacing w:line="580" w:lineRule="exact"/>
        <w:ind w:firstLine="616" w:firstLineChars="200"/>
        <w:textAlignment w:val="auto"/>
        <w:rPr>
          <w:rFonts w:ascii="仿宋_GB2312" w:hAnsi="仿宋" w:eastAsia="仿宋_GB2312" w:cs="仿宋"/>
          <w:spacing w:val="-6"/>
          <w:sz w:val="32"/>
          <w:szCs w:val="32"/>
        </w:rPr>
      </w:pPr>
      <w:r>
        <w:rPr>
          <w:rFonts w:hint="eastAsia" w:ascii="仿宋_GB2312" w:hAnsi="仿宋" w:eastAsia="仿宋_GB2312" w:cs="仿宋"/>
          <w:spacing w:val="-6"/>
          <w:sz w:val="32"/>
          <w:szCs w:val="32"/>
          <w:lang w:eastAsia="zh-CN"/>
        </w:rPr>
        <w:t>（</w:t>
      </w:r>
      <w:r>
        <w:rPr>
          <w:rFonts w:hint="eastAsia" w:ascii="仿宋_GB2312" w:hAnsi="仿宋" w:eastAsia="仿宋_GB2312" w:cs="仿宋"/>
          <w:spacing w:val="-6"/>
          <w:sz w:val="32"/>
          <w:szCs w:val="32"/>
          <w:lang w:val="en-US" w:eastAsia="zh-CN"/>
        </w:rPr>
        <w:t>二</w:t>
      </w:r>
      <w:r>
        <w:rPr>
          <w:rFonts w:hint="eastAsia" w:ascii="仿宋_GB2312" w:hAnsi="仿宋" w:eastAsia="仿宋_GB2312" w:cs="仿宋"/>
          <w:spacing w:val="-6"/>
          <w:sz w:val="32"/>
          <w:szCs w:val="32"/>
          <w:lang w:eastAsia="zh-CN"/>
        </w:rPr>
        <w:t>）</w:t>
      </w:r>
      <w:r>
        <w:rPr>
          <w:rFonts w:hint="eastAsia" w:ascii="仿宋_GB2312" w:hAnsi="仿宋" w:eastAsia="仿宋_GB2312" w:cs="仿宋"/>
          <w:spacing w:val="-6"/>
          <w:sz w:val="32"/>
          <w:szCs w:val="32"/>
        </w:rPr>
        <w:t>根据市场行情，上述人才公寓租赁价格每三年调整一次。</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_GB2312" w:hAnsi="仿宋" w:eastAsia="仿宋_GB2312" w:cs="仿宋"/>
          <w:kern w:val="0"/>
          <w:sz w:val="32"/>
          <w:szCs w:val="32"/>
        </w:rPr>
      </w:pP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三</w:t>
      </w:r>
      <w:r>
        <w:rPr>
          <w:rFonts w:hint="eastAsia" w:ascii="仿宋_GB2312" w:hAnsi="仿宋" w:eastAsia="仿宋_GB2312" w:cs="仿宋"/>
          <w:sz w:val="32"/>
          <w:szCs w:val="32"/>
          <w:lang w:eastAsia="zh-CN"/>
        </w:rPr>
        <w:t>）</w:t>
      </w:r>
      <w:r>
        <w:rPr>
          <w:rFonts w:hint="eastAsia" w:ascii="仿宋_GB2312" w:hAnsi="仿宋" w:eastAsia="仿宋_GB2312" w:cs="仿宋"/>
          <w:kern w:val="0"/>
          <w:sz w:val="32"/>
          <w:szCs w:val="32"/>
        </w:rPr>
        <w:t>房屋租金由企业根据《人才公寓租赁合同》约定，按时向管委会指定的有关部门（单位）缴纳房屋租金。</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_GB2312" w:hAnsi="仿宋" w:eastAsia="仿宋_GB2312" w:cs="仿宋"/>
          <w:b/>
          <w:bCs/>
          <w:sz w:val="32"/>
          <w:szCs w:val="32"/>
          <w:u w:val="single"/>
        </w:rPr>
      </w:pPr>
      <w:r>
        <w:rPr>
          <w:rFonts w:hint="eastAsia" w:ascii="仿宋_GB2312" w:hAnsi="仿宋" w:eastAsia="仿宋_GB2312" w:cs="仿宋"/>
          <w:kern w:val="0"/>
          <w:sz w:val="32"/>
          <w:szCs w:val="32"/>
          <w:lang w:eastAsia="zh-CN"/>
        </w:rPr>
        <w:t>（</w:t>
      </w:r>
      <w:r>
        <w:rPr>
          <w:rFonts w:hint="eastAsia" w:ascii="仿宋_GB2312" w:hAnsi="仿宋" w:eastAsia="仿宋_GB2312" w:cs="仿宋"/>
          <w:kern w:val="0"/>
          <w:sz w:val="32"/>
          <w:szCs w:val="32"/>
          <w:lang w:val="en-US" w:eastAsia="zh-CN"/>
        </w:rPr>
        <w:t>四</w:t>
      </w:r>
      <w:r>
        <w:rPr>
          <w:rFonts w:hint="eastAsia" w:ascii="仿宋_GB2312" w:hAnsi="仿宋" w:eastAsia="仿宋_GB2312" w:cs="仿宋"/>
          <w:kern w:val="0"/>
          <w:sz w:val="32"/>
          <w:szCs w:val="32"/>
          <w:lang w:eastAsia="zh-CN"/>
        </w:rPr>
        <w:t>）</w:t>
      </w:r>
      <w:r>
        <w:rPr>
          <w:rFonts w:hint="eastAsia" w:ascii="仿宋_GB2312" w:hAnsi="仿宋" w:eastAsia="仿宋_GB2312" w:cs="仿宋"/>
          <w:kern w:val="0"/>
          <w:sz w:val="32"/>
          <w:szCs w:val="32"/>
        </w:rPr>
        <w:t>租赁合同期满后，由企业向管委会提出租金补贴申请，相关材料提交至企业服务中心窗口。</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黑体" w:hAnsi="黑体" w:eastAsia="黑体" w:cs="宋体"/>
          <w:kern w:val="0"/>
          <w:sz w:val="32"/>
          <w:szCs w:val="32"/>
        </w:rPr>
      </w:pPr>
      <w:r>
        <w:rPr>
          <w:rFonts w:hint="eastAsia" w:ascii="黑体" w:hAnsi="黑体" w:eastAsia="黑体" w:cs="宋体"/>
          <w:kern w:val="0"/>
          <w:sz w:val="32"/>
          <w:szCs w:val="32"/>
        </w:rPr>
        <w:t>六、物业费标准</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_GB2312" w:hAnsi="仿宋" w:eastAsia="仿宋_GB2312" w:cs="宋体"/>
          <w:kern w:val="0"/>
          <w:sz w:val="32"/>
          <w:szCs w:val="32"/>
        </w:rPr>
      </w:pPr>
      <w:r>
        <w:rPr>
          <w:rFonts w:hint="eastAsia" w:ascii="仿宋_GB2312" w:hAnsi="仿宋" w:eastAsia="仿宋_GB2312" w:cs="宋体"/>
          <w:sz w:val="32"/>
          <w:szCs w:val="32"/>
        </w:rPr>
        <w:t>（一）由</w:t>
      </w:r>
      <w:r>
        <w:rPr>
          <w:rFonts w:hint="eastAsia" w:ascii="仿宋_GB2312" w:hAnsi="仿宋" w:eastAsia="仿宋_GB2312" w:cs="宋体"/>
          <w:kern w:val="0"/>
          <w:sz w:val="32"/>
          <w:szCs w:val="32"/>
        </w:rPr>
        <w:t>物业公司与企业（或承租人）签订《物业管理委托合同书》，并收取相关物业管理费。</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_GB2312" w:hAnsi="仿宋" w:eastAsia="仿宋_GB2312" w:cs="宋体"/>
          <w:kern w:val="0"/>
          <w:sz w:val="32"/>
          <w:szCs w:val="32"/>
        </w:rPr>
      </w:pPr>
      <w:r>
        <w:rPr>
          <w:rFonts w:hint="eastAsia" w:ascii="仿宋_GB2312" w:hAnsi="仿宋" w:eastAsia="仿宋_GB2312" w:cs="宋体"/>
          <w:kern w:val="0"/>
          <w:sz w:val="32"/>
          <w:szCs w:val="32"/>
        </w:rPr>
        <w:t>（二）物业费标准：物业管理费以物业合同书为准。</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黑体" w:hAnsi="黑体" w:eastAsia="黑体" w:cs="宋体"/>
          <w:kern w:val="0"/>
          <w:sz w:val="32"/>
          <w:szCs w:val="32"/>
        </w:rPr>
      </w:pPr>
      <w:r>
        <w:rPr>
          <w:rFonts w:hint="eastAsia" w:ascii="黑体" w:hAnsi="黑体" w:eastAsia="黑体" w:cs="宋体"/>
          <w:kern w:val="0"/>
          <w:sz w:val="32"/>
          <w:szCs w:val="32"/>
        </w:rPr>
        <w:t>七、退出机制</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_GB2312" w:hAnsi="仿宋" w:eastAsia="仿宋_GB2312" w:cs="仿宋"/>
          <w:sz w:val="32"/>
          <w:szCs w:val="32"/>
        </w:rPr>
      </w:pPr>
      <w:r>
        <w:rPr>
          <w:rFonts w:hint="eastAsia" w:ascii="仿宋_GB2312" w:hAnsi="黑体" w:eastAsia="仿宋_GB2312" w:cs="黑体"/>
          <w:kern w:val="0"/>
          <w:sz w:val="32"/>
          <w:szCs w:val="32"/>
        </w:rPr>
        <w:t>（一）</w:t>
      </w:r>
      <w:r>
        <w:rPr>
          <w:rFonts w:hint="eastAsia" w:ascii="仿宋_GB2312" w:hAnsi="仿宋" w:eastAsia="仿宋_GB2312" w:cs="仿宋"/>
          <w:sz w:val="32"/>
          <w:szCs w:val="32"/>
        </w:rPr>
        <w:t>为减少人才公寓空置率，提高利用率，企业在收到人才公寓分配通知后，原则上应在一个月之内前往人才公寓物业办理相关入住手续。逾期未办理入住手续的，取消入住资格。</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_GB2312" w:hAnsi="仿宋" w:eastAsia="仿宋_GB2312" w:cs="宋体"/>
          <w:kern w:val="0"/>
          <w:sz w:val="32"/>
          <w:szCs w:val="32"/>
        </w:rPr>
      </w:pPr>
      <w:r>
        <w:rPr>
          <w:rFonts w:hint="eastAsia" w:ascii="仿宋_GB2312" w:hAnsi="仿宋" w:eastAsia="仿宋_GB2312" w:cs="仿宋"/>
          <w:sz w:val="32"/>
          <w:szCs w:val="32"/>
        </w:rPr>
        <w:t>（二）</w:t>
      </w:r>
      <w:r>
        <w:rPr>
          <w:rFonts w:hint="eastAsia" w:ascii="仿宋_GB2312" w:hAnsi="仿宋" w:eastAsia="仿宋_GB2312" w:cs="仿宋"/>
          <w:color w:val="000000"/>
          <w:sz w:val="32"/>
          <w:szCs w:val="32"/>
        </w:rPr>
        <w:t>严禁承租人转租、转借或改变住房用途，由</w:t>
      </w:r>
      <w:r>
        <w:rPr>
          <w:rFonts w:hint="eastAsia" w:ascii="仿宋_GB2312" w:hAnsi="仿宋" w:eastAsia="仿宋_GB2312" w:cs="宋体"/>
          <w:kern w:val="0"/>
          <w:sz w:val="32"/>
          <w:szCs w:val="32"/>
        </w:rPr>
        <w:t>物业公司</w:t>
      </w:r>
      <w:r>
        <w:rPr>
          <w:rFonts w:hint="eastAsia" w:ascii="仿宋_GB2312" w:hAnsi="仿宋" w:eastAsia="仿宋_GB2312" w:cs="仿宋"/>
          <w:kern w:val="0"/>
          <w:sz w:val="32"/>
          <w:szCs w:val="32"/>
        </w:rPr>
        <w:t>负责</w:t>
      </w:r>
      <w:r>
        <w:rPr>
          <w:rFonts w:hint="eastAsia" w:ascii="仿宋_GB2312" w:hAnsi="仿宋" w:eastAsia="仿宋_GB2312" w:cs="仿宋"/>
          <w:color w:val="000000"/>
          <w:sz w:val="32"/>
          <w:szCs w:val="32"/>
        </w:rPr>
        <w:t>监管，一经发现，</w:t>
      </w:r>
      <w:r>
        <w:rPr>
          <w:rFonts w:hint="eastAsia" w:ascii="仿宋_GB2312" w:hAnsi="仿宋" w:eastAsia="仿宋_GB2312" w:cs="宋体"/>
          <w:kern w:val="0"/>
          <w:sz w:val="32"/>
          <w:szCs w:val="32"/>
        </w:rPr>
        <w:t>立即收回企业承租的人才公寓，取消该企业享受人才公寓房屋租金补贴的资格。</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仿宋_GB2312" w:hAnsi="仿宋" w:eastAsia="仿宋_GB2312" w:cs="仿宋"/>
          <w:sz w:val="32"/>
          <w:szCs w:val="32"/>
        </w:rPr>
      </w:pPr>
      <w:r>
        <w:rPr>
          <w:rFonts w:hint="eastAsia" w:ascii="仿宋_GB2312" w:hAnsi="仿宋" w:eastAsia="仿宋_GB2312" w:cs="仿宋"/>
          <w:sz w:val="32"/>
          <w:szCs w:val="32"/>
        </w:rPr>
        <w:t>（三）为规范人才公寓管理，企业须与管委会指定的有关部门（单位）签订正式的《人才公寓租赁合同》，实行</w:t>
      </w:r>
      <w:r>
        <w:rPr>
          <w:rFonts w:ascii="仿宋_GB2312" w:hAnsi="仿宋" w:eastAsia="仿宋_GB2312" w:cs="仿宋"/>
          <w:sz w:val="32"/>
          <w:szCs w:val="32"/>
        </w:rPr>
        <w:t>一</w:t>
      </w:r>
      <w:r>
        <w:rPr>
          <w:rFonts w:hint="eastAsia" w:ascii="仿宋_GB2312" w:hAnsi="仿宋" w:eastAsia="仿宋_GB2312" w:cs="仿宋"/>
          <w:sz w:val="32"/>
          <w:szCs w:val="32"/>
        </w:rPr>
        <w:t>年一签。对于符合入住条件的人员续签合同，承租人最长居住期限原则上不超过3年。如有特殊原因需延长租住年限的情况，在有房源的情况下，适当延长租住年限。</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黑体" w:hAnsi="黑体" w:eastAsia="黑体" w:cs="宋体"/>
          <w:kern w:val="0"/>
          <w:sz w:val="32"/>
          <w:szCs w:val="32"/>
        </w:rPr>
      </w:pPr>
      <w:r>
        <w:rPr>
          <w:rFonts w:hint="eastAsia" w:ascii="黑体" w:hAnsi="黑体" w:eastAsia="黑体" w:cs="宋体"/>
          <w:kern w:val="0"/>
          <w:sz w:val="32"/>
          <w:szCs w:val="32"/>
        </w:rPr>
        <w:t>八、其他</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本细则自印发之日起施行，此前发布的政策与本细则不一致的，以本细则为准。本细则由区组织与人力资源部负责解释。</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kern w:val="0"/>
          <w:sz w:val="32"/>
          <w:szCs w:val="32"/>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val="0"/>
        <w:keepLines w:val="0"/>
        <w:pageBreakBefore w:val="0"/>
        <w:widowControl w:val="0"/>
        <w:kinsoku/>
        <w:wordWrap/>
        <w:overflowPunct/>
        <w:topLinePunct w:val="0"/>
        <w:autoSpaceDE/>
        <w:autoSpaceDN/>
        <w:bidi w:val="0"/>
        <w:adjustRightInd w:val="0"/>
        <w:snapToGrid w:val="0"/>
        <w:spacing w:line="240" w:lineRule="auto"/>
        <w:ind w:firstLine="200" w:firstLineChars="200"/>
        <w:textAlignment w:val="auto"/>
        <w:rPr>
          <w:rFonts w:hint="eastAsia" w:ascii="仿宋_GB2312" w:hAnsi="仿宋_GB2312" w:eastAsia="仿宋_GB2312" w:cs="仿宋_GB2312"/>
          <w:kern w:val="0"/>
          <w:sz w:val="10"/>
          <w:szCs w:val="10"/>
        </w:rPr>
      </w:pPr>
    </w:p>
    <w:p>
      <w:pPr>
        <w:keepNext/>
        <w:keepLines/>
        <w:widowControl w:val="0"/>
        <w:jc w:val="both"/>
        <w:outlineLvl w:val="3"/>
        <w:rPr>
          <w:rFonts w:ascii="黑体" w:hAnsi="Calibri Light" w:eastAsia="黑体" w:cs="Times New Roman"/>
          <w:bCs/>
          <w:kern w:val="2"/>
          <w:sz w:val="32"/>
          <w:szCs w:val="28"/>
          <w:lang w:val="en-US" w:eastAsia="zh-CN" w:bidi="ar-SA"/>
        </w:rPr>
      </w:pPr>
    </w:p>
    <w:p>
      <w:pPr>
        <w:pBdr>
          <w:top w:val="single" w:color="auto" w:sz="12" w:space="1"/>
          <w:bottom w:val="single" w:color="auto" w:sz="12" w:space="1"/>
        </w:pBdr>
        <w:adjustRightInd w:val="0"/>
        <w:snapToGrid w:val="0"/>
        <w:ind w:firstLine="280" w:firstLineChars="100"/>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sz w:val="28"/>
          <w:szCs w:val="28"/>
        </w:rPr>
        <w:t>南昌高新区党工委管委会办公室</w:t>
      </w:r>
      <w:r>
        <w:rPr>
          <w:rFonts w:hint="eastAsia" w:ascii="仿宋_GB2312" w:hAnsi="仿宋" w:eastAsia="仿宋_GB2312" w:cs="Times New Roman"/>
          <w:sz w:val="28"/>
          <w:szCs w:val="28"/>
        </w:rPr>
        <w:t xml:space="preserve">         </w:t>
      </w:r>
      <w:r>
        <w:rPr>
          <w:rFonts w:hint="eastAsia" w:ascii="仿宋_GB2312" w:hAnsi="仿宋" w:eastAsia="仿宋_GB2312" w:cs="Times New Roman"/>
          <w:sz w:val="28"/>
          <w:szCs w:val="28"/>
          <w:lang w:val="en-US" w:eastAsia="zh-CN"/>
        </w:rPr>
        <w:t xml:space="preserve">   </w:t>
      </w:r>
      <w:r>
        <w:rPr>
          <w:rFonts w:hint="eastAsia" w:ascii="仿宋_GB2312" w:hAnsi="仿宋" w:eastAsia="仿宋_GB2312" w:cs="Times New Roman"/>
          <w:sz w:val="28"/>
          <w:szCs w:val="28"/>
        </w:rPr>
        <w:t>202</w:t>
      </w:r>
      <w:r>
        <w:rPr>
          <w:rFonts w:hint="eastAsia" w:ascii="仿宋_GB2312" w:hAnsi="仿宋" w:eastAsia="仿宋_GB2312" w:cs="Times New Roman"/>
          <w:sz w:val="28"/>
          <w:szCs w:val="28"/>
          <w:lang w:val="en-US" w:eastAsia="zh-CN"/>
        </w:rPr>
        <w:t>3</w:t>
      </w:r>
      <w:r>
        <w:rPr>
          <w:rFonts w:hint="eastAsia" w:ascii="仿宋_GB2312" w:hAnsi="仿宋" w:eastAsia="仿宋_GB2312" w:cs="Times New Roman"/>
          <w:sz w:val="28"/>
          <w:szCs w:val="28"/>
        </w:rPr>
        <w:t>年</w:t>
      </w:r>
      <w:r>
        <w:rPr>
          <w:rFonts w:hint="eastAsia" w:ascii="仿宋_GB2312" w:hAnsi="仿宋" w:eastAsia="仿宋_GB2312" w:cs="Times New Roman"/>
          <w:sz w:val="28"/>
          <w:szCs w:val="28"/>
          <w:lang w:val="en-US" w:eastAsia="zh-CN"/>
        </w:rPr>
        <w:t>11</w:t>
      </w:r>
      <w:r>
        <w:rPr>
          <w:rFonts w:hint="eastAsia" w:ascii="仿宋_GB2312" w:hAnsi="仿宋" w:eastAsia="仿宋_GB2312" w:cs="Times New Roman"/>
          <w:sz w:val="28"/>
          <w:szCs w:val="28"/>
        </w:rPr>
        <w:t>月</w:t>
      </w:r>
      <w:r>
        <w:rPr>
          <w:rFonts w:hint="eastAsia" w:ascii="仿宋_GB2312" w:hAnsi="仿宋" w:eastAsia="仿宋_GB2312" w:cs="Times New Roman"/>
          <w:sz w:val="28"/>
          <w:szCs w:val="28"/>
          <w:lang w:val="en-US" w:eastAsia="zh-CN"/>
        </w:rPr>
        <w:t>8</w:t>
      </w:r>
      <w:r>
        <w:rPr>
          <w:rFonts w:hint="eastAsia" w:ascii="仿宋_GB2312" w:hAnsi="仿宋" w:eastAsia="仿宋_GB2312" w:cs="Times New Roman"/>
          <w:sz w:val="28"/>
          <w:szCs w:val="28"/>
        </w:rPr>
        <w:t>日印发</w:t>
      </w:r>
    </w:p>
    <w:sectPr>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hiNDk3MmE3M2MzZGI0MWNlOGVjNmRlZTQxZjZmMDYifQ=="/>
    <w:docVar w:name="DocumentID" w:val="{06955937-1DC8-4657-8E5A-09F4F8594DEE}"/>
    <w:docVar w:name="DocumentName" w:val="124关于印发《南昌高新区人才公寓管理实施细则》的通知"/>
  </w:docVars>
  <w:rsids>
    <w:rsidRoot w:val="00000000"/>
    <w:rsid w:val="051C400C"/>
    <w:rsid w:val="0A2C5D85"/>
    <w:rsid w:val="12F16865"/>
    <w:rsid w:val="134D2E67"/>
    <w:rsid w:val="16877A35"/>
    <w:rsid w:val="20636A34"/>
    <w:rsid w:val="23043B0B"/>
    <w:rsid w:val="24C90A0A"/>
    <w:rsid w:val="279101AC"/>
    <w:rsid w:val="2A256045"/>
    <w:rsid w:val="2D297B66"/>
    <w:rsid w:val="3A853132"/>
    <w:rsid w:val="3D3D0958"/>
    <w:rsid w:val="44770EB7"/>
    <w:rsid w:val="467F46E8"/>
    <w:rsid w:val="48C540C0"/>
    <w:rsid w:val="49445836"/>
    <w:rsid w:val="4BF47CCE"/>
    <w:rsid w:val="4E0256F8"/>
    <w:rsid w:val="4E325617"/>
    <w:rsid w:val="502909C7"/>
    <w:rsid w:val="55CC34CC"/>
    <w:rsid w:val="586138B6"/>
    <w:rsid w:val="599E67D2"/>
    <w:rsid w:val="625F5DC8"/>
    <w:rsid w:val="67153DCC"/>
    <w:rsid w:val="68D55D11"/>
    <w:rsid w:val="69F42BA6"/>
    <w:rsid w:val="6A541811"/>
    <w:rsid w:val="70591C0F"/>
    <w:rsid w:val="73577E87"/>
    <w:rsid w:val="79B17106"/>
    <w:rsid w:val="7B6F58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9"/>
    <w:pPr>
      <w:keepNext/>
      <w:keepLines/>
      <w:outlineLvl w:val="3"/>
    </w:pPr>
    <w:rPr>
      <w:rFonts w:ascii="黑体" w:hAnsi="Calibri Light" w:eastAsia="黑体" w:cs="Times New Roman"/>
      <w:bCs/>
      <w:sz w:val="32"/>
      <w:szCs w:val="28"/>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next w:val="2"/>
    <w:qFormat/>
    <w:uiPriority w:val="0"/>
    <w:pPr>
      <w:jc w:val="center"/>
    </w:pPr>
    <w:rPr>
      <w:rFonts w:eastAsia="宋体"/>
      <w:b/>
      <w:bCs/>
      <w:sz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1742</Words>
  <Characters>1779</Characters>
  <Lines>0</Lines>
  <Paragraphs>0</Paragraphs>
  <TotalTime>11</TotalTime>
  <ScaleCrop>false</ScaleCrop>
  <LinksUpToDate>false</LinksUpToDate>
  <CharactersWithSpaces>1792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2023-09-19T03:43:00Z</dcterms:created>
  <dc:creator>GYT</dc:creator>
  <cp:lastModifiedBy>S</cp:lastModifiedBy>
  <cp:lastPrinted>2023-10-31T06:07:00Z</cp:lastPrinted>
  <dcterms:modified xsi:type="dcterms:W3CDTF">2023-11-08T07:27:54Z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3695ED3F55614B3CB580B7699A1B55BD_12</vt:lpwstr>
  </property>
</Properties>
</file>