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2018年末本地区债券资金使用安排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2018年全县发行政府债券148746.3万元，其中新增政府债券81296万元、置换债券59550万元、再融资债券7900.3万元,具体安排如下：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新增政府债券81296万元，其中：一般债券19738万元，分别用于东岳大道改造5388万元、杨市线改造提升及配套工程11350万元、冈上镇心远中学遗址改造工程3000万元；专项债券61558万元分别用于三山村安置房31872.12万元、邓埠村安置房13758.4万元、良种场安置房15927.48万元。</w:t>
      </w:r>
    </w:p>
    <w:p>
      <w:pPr>
        <w:numPr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2、置换债券59550万元，根据上级规定，用于偿还非债券形式存量法定债务。</w:t>
      </w:r>
    </w:p>
    <w:p>
      <w:pPr>
        <w:numPr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3、再融资债券7900.3万元，根据上级规定，用于偿还债券形式存量法定债务。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517B38"/>
    <w:rsid w:val="195D6C6A"/>
    <w:rsid w:val="21D37D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2021-05-19T02:40:44Z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55E58B92497943199417D185A6186694</vt:lpwstr>
  </property>
</Properties>
</file>