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Lines="100" w:afterLines="100"/>
        <w:jc w:val="center"/>
        <w:rPr>
          <w:rFonts w:ascii="Times New Roman" w:hAnsi="Times New Roman" w:eastAsia="黑体" w:cs="Times New Roman"/>
          <w:sz w:val="44"/>
          <w:szCs w:val="44"/>
        </w:rPr>
      </w:pPr>
      <w:r>
        <w:rPr>
          <w:rFonts w:hint="eastAsia" w:ascii="Times New Roman" w:hAnsi="Times New Roman" w:eastAsia="黑体" w:cs="Times New Roman"/>
          <w:sz w:val="44"/>
          <w:szCs w:val="44"/>
        </w:rPr>
        <w:t>井冈山</w:t>
      </w:r>
    </w:p>
    <w:p>
      <w:pPr>
        <w:spacing w:beforeLines="100" w:afterLines="100"/>
        <w:jc w:val="center"/>
        <w:rPr>
          <w:rFonts w:ascii="Times New Roman" w:hAnsi="Times New Roman" w:eastAsia="黑体" w:cs="Times New Roman"/>
          <w:b/>
          <w:bCs/>
          <w:sz w:val="52"/>
          <w:szCs w:val="52"/>
        </w:rPr>
      </w:pPr>
      <w:r>
        <w:rPr>
          <w:rFonts w:ascii="Times New Roman" w:hAnsi="Times New Roman" w:eastAsia="黑体" w:cs="Times New Roman"/>
          <w:b/>
          <w:bCs/>
          <w:sz w:val="52"/>
          <w:szCs w:val="52"/>
        </w:rPr>
        <w:t>南昌市城市管理发展规划</w:t>
      </w:r>
    </w:p>
    <w:p>
      <w:pPr>
        <w:spacing w:beforeLines="100" w:afterLines="100"/>
        <w:jc w:val="center"/>
        <w:rPr>
          <w:rFonts w:ascii="Times New Roman" w:hAnsi="Times New Roman" w:eastAsia="黑体" w:cs="Times New Roman"/>
          <w:b/>
          <w:bCs/>
          <w:sz w:val="52"/>
          <w:szCs w:val="52"/>
        </w:rPr>
      </w:pPr>
      <w:r>
        <w:rPr>
          <w:rFonts w:ascii="Times New Roman" w:hAnsi="Times New Roman" w:eastAsia="黑体" w:cs="Times New Roman"/>
          <w:b/>
          <w:bCs/>
          <w:sz w:val="52"/>
          <w:szCs w:val="52"/>
        </w:rPr>
        <w:t>（</w:t>
      </w:r>
      <w:r>
        <w:rPr>
          <w:rFonts w:hint="eastAsia" w:ascii="Times New Roman" w:hAnsi="Times New Roman" w:eastAsia="黑体" w:cs="Times New Roman"/>
          <w:b/>
          <w:bCs/>
          <w:sz w:val="52"/>
          <w:szCs w:val="52"/>
        </w:rPr>
        <w:t>2020-2025</w:t>
      </w:r>
      <w:r>
        <w:rPr>
          <w:rFonts w:ascii="Times New Roman" w:hAnsi="Times New Roman" w:eastAsia="黑体" w:cs="Times New Roman"/>
          <w:b/>
          <w:bCs/>
          <w:sz w:val="52"/>
          <w:szCs w:val="52"/>
        </w:rPr>
        <w:t>）</w:t>
      </w:r>
    </w:p>
    <w:p>
      <w:pPr>
        <w:widowControl/>
        <w:jc w:val="center"/>
        <w:rPr>
          <w:rFonts w:ascii="Times New Roman" w:hAnsi="Times New Roman" w:eastAsia="黑体" w:cs="Times New Roman"/>
          <w:kern w:val="0"/>
          <w:sz w:val="32"/>
          <w:szCs w:val="32"/>
        </w:rPr>
      </w:pPr>
    </w:p>
    <w:p>
      <w:pPr>
        <w:spacing w:line="360" w:lineRule="auto"/>
        <w:jc w:val="center"/>
        <w:rPr>
          <w:rFonts w:ascii="Times New Roman" w:hAnsi="Times New Roman" w:eastAsia="黑体" w:cs="Times New Roman"/>
          <w:kern w:val="0"/>
          <w:sz w:val="32"/>
          <w:szCs w:val="32"/>
        </w:rPr>
      </w:pPr>
      <w:r>
        <w:drawing>
          <wp:anchor distT="0" distB="0" distL="114300" distR="114300" simplePos="0" relativeHeight="251660288" behindDoc="0" locked="0" layoutInCell="1" allowOverlap="1">
            <wp:simplePos x="0" y="0"/>
            <wp:positionH relativeFrom="column">
              <wp:posOffset>-1143000</wp:posOffset>
            </wp:positionH>
            <wp:positionV relativeFrom="paragraph">
              <wp:posOffset>405765</wp:posOffset>
            </wp:positionV>
            <wp:extent cx="7718425" cy="2719705"/>
            <wp:effectExtent l="0" t="0" r="15875" b="4445"/>
            <wp:wrapSquare wrapText="bothSides"/>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6" cstate="print"/>
                    <a:srcRect/>
                    <a:stretch>
                      <a:fillRect/>
                    </a:stretch>
                  </pic:blipFill>
                  <pic:spPr>
                    <a:xfrm>
                      <a:off x="0" y="0"/>
                      <a:ext cx="7718425" cy="2719705"/>
                    </a:xfrm>
                    <a:prstGeom prst="rect">
                      <a:avLst/>
                    </a:prstGeom>
                  </pic:spPr>
                </pic:pic>
              </a:graphicData>
            </a:graphic>
          </wp:anchor>
        </w:drawing>
      </w:r>
    </w:p>
    <w:p>
      <w:pPr>
        <w:spacing w:line="360" w:lineRule="auto"/>
        <w:jc w:val="center"/>
        <w:rPr>
          <w:rFonts w:ascii="Times New Roman" w:hAnsi="Times New Roman" w:eastAsia="黑体" w:cs="Times New Roman"/>
          <w:kern w:val="0"/>
          <w:sz w:val="32"/>
          <w:szCs w:val="32"/>
        </w:rPr>
      </w:pPr>
    </w:p>
    <w:p>
      <w:pPr>
        <w:spacing w:line="360" w:lineRule="auto"/>
        <w:jc w:val="center"/>
        <w:rPr>
          <w:rFonts w:ascii="Times New Roman" w:hAnsi="Times New Roman" w:eastAsia="黑体" w:cs="Times New Roman"/>
          <w:b/>
          <w:bCs/>
          <w:kern w:val="0"/>
          <w:sz w:val="30"/>
          <w:szCs w:val="30"/>
        </w:rPr>
      </w:pPr>
    </w:p>
    <w:p>
      <w:pPr>
        <w:spacing w:line="360" w:lineRule="auto"/>
        <w:jc w:val="center"/>
        <w:rPr>
          <w:rFonts w:ascii="Times New Roman" w:hAnsi="Times New Roman" w:eastAsia="黑体" w:cs="Times New Roman"/>
          <w:b/>
          <w:bCs/>
          <w:kern w:val="0"/>
          <w:sz w:val="30"/>
          <w:szCs w:val="30"/>
        </w:rPr>
      </w:pPr>
      <w:r>
        <w:rPr>
          <w:rFonts w:ascii="Times New Roman" w:hAnsi="Times New Roman" w:eastAsia="黑体" w:cs="Times New Roman"/>
          <w:b/>
          <w:bCs/>
          <w:kern w:val="0"/>
          <w:sz w:val="30"/>
          <w:szCs w:val="30"/>
          <w:lang w:val="zh-CN"/>
        </w:rPr>
        <w:t>南昌市城市管理局</w:t>
      </w:r>
    </w:p>
    <w:p>
      <w:pPr>
        <w:spacing w:line="360" w:lineRule="auto"/>
        <w:jc w:val="center"/>
        <w:rPr>
          <w:rFonts w:ascii="Times New Roman" w:hAnsi="Times New Roman" w:eastAsia="黑体" w:cs="Times New Roman"/>
          <w:b/>
          <w:bCs/>
          <w:kern w:val="0"/>
          <w:sz w:val="30"/>
          <w:szCs w:val="30"/>
          <w:lang w:val="zh-CN"/>
        </w:rPr>
      </w:pPr>
      <w:r>
        <w:rPr>
          <w:rFonts w:ascii="Times New Roman" w:hAnsi="Times New Roman" w:eastAsia="黑体" w:cs="Times New Roman"/>
          <w:b/>
          <w:bCs/>
          <w:kern w:val="0"/>
          <w:sz w:val="30"/>
          <w:szCs w:val="30"/>
          <w:lang w:val="zh-CN"/>
        </w:rPr>
        <w:t>南昌市城市规划设计研究总院</w:t>
      </w:r>
    </w:p>
    <w:p>
      <w:pPr>
        <w:widowControl/>
        <w:jc w:val="center"/>
        <w:rPr>
          <w:rFonts w:ascii="Times New Roman" w:hAnsi="Times New Roman" w:eastAsia="黑体" w:cs="Times New Roman"/>
          <w:b/>
          <w:bCs/>
          <w:kern w:val="0"/>
          <w:sz w:val="30"/>
          <w:szCs w:val="30"/>
        </w:rPr>
      </w:pPr>
      <w:r>
        <w:rPr>
          <w:rFonts w:hint="eastAsia" w:ascii="Times New Roman" w:hAnsi="Times New Roman" w:eastAsia="黑体" w:cs="Times New Roman"/>
          <w:b/>
          <w:bCs/>
          <w:kern w:val="0"/>
          <w:sz w:val="30"/>
          <w:szCs w:val="30"/>
        </w:rPr>
        <w:t>二零二一年三月</w:t>
      </w:r>
    </w:p>
    <w:p>
      <w:pPr>
        <w:widowControl/>
        <w:jc w:val="left"/>
        <w:rPr>
          <w:rFonts w:ascii="Times New Roman" w:hAnsi="Times New Roman" w:eastAsia="黑体" w:cs="Times New Roman"/>
          <w:b/>
          <w:bCs/>
          <w:kern w:val="0"/>
          <w:sz w:val="30"/>
          <w:szCs w:val="30"/>
        </w:rPr>
      </w:pPr>
      <w:r>
        <w:rPr>
          <w:rFonts w:ascii="Times New Roman" w:hAnsi="Times New Roman" w:eastAsia="黑体" w:cs="Times New Roman"/>
          <w:b/>
          <w:bCs/>
          <w:kern w:val="0"/>
          <w:sz w:val="30"/>
          <w:szCs w:val="30"/>
        </w:rPr>
        <w:br w:type="page"/>
      </w:r>
    </w:p>
    <w:p>
      <w:pPr>
        <w:rPr>
          <w:rFonts w:ascii="宋体" w:hAnsi="宋体"/>
          <w:b/>
          <w:bCs/>
          <w:kern w:val="0"/>
          <w:sz w:val="30"/>
          <w:szCs w:val="30"/>
        </w:rPr>
      </w:pPr>
      <w:r>
        <w:rPr>
          <w:rFonts w:hint="eastAsia" w:ascii="宋体" w:hAnsi="宋体"/>
          <w:b/>
          <w:bCs/>
          <w:kern w:val="0"/>
          <w:sz w:val="30"/>
          <w:szCs w:val="30"/>
        </w:rPr>
        <w:t>项目名称：南昌市城市管理发展规划（2020-2025）</w:t>
      </w:r>
    </w:p>
    <w:p>
      <w:pPr>
        <w:rPr>
          <w:rFonts w:ascii="宋体" w:hAnsi="宋体"/>
          <w:b/>
          <w:bCs/>
          <w:kern w:val="0"/>
          <w:sz w:val="30"/>
          <w:szCs w:val="30"/>
        </w:rPr>
      </w:pPr>
      <w:r>
        <w:rPr>
          <w:rFonts w:hint="eastAsia" w:ascii="宋体" w:hAnsi="宋体"/>
          <w:b/>
          <w:bCs/>
          <w:kern w:val="0"/>
          <w:sz w:val="30"/>
          <w:szCs w:val="30"/>
        </w:rPr>
        <w:t>委托单位：南昌市城市管理局</w:t>
      </w:r>
    </w:p>
    <w:p>
      <w:pPr>
        <w:rPr>
          <w:rFonts w:ascii="宋体" w:hAnsi="宋体"/>
          <w:b/>
          <w:bCs/>
          <w:kern w:val="0"/>
          <w:sz w:val="30"/>
          <w:szCs w:val="30"/>
        </w:rPr>
      </w:pPr>
      <w:r>
        <w:rPr>
          <w:rFonts w:hint="eastAsia" w:ascii="宋体" w:hAnsi="宋体"/>
          <w:b/>
          <w:bCs/>
          <w:kern w:val="0"/>
          <w:sz w:val="30"/>
          <w:szCs w:val="30"/>
        </w:rPr>
        <w:t>编制单位：南昌市城市规划设计研究总院</w:t>
      </w:r>
    </w:p>
    <w:p>
      <w:pPr>
        <w:rPr>
          <w:rFonts w:ascii="宋体" w:hAnsi="宋体"/>
          <w:b/>
          <w:bCs/>
          <w:kern w:val="0"/>
          <w:sz w:val="30"/>
          <w:szCs w:val="30"/>
        </w:rPr>
      </w:pPr>
      <w:r>
        <w:rPr>
          <w:rFonts w:hint="eastAsia" w:ascii="宋体" w:hAnsi="宋体"/>
          <w:b/>
          <w:bCs/>
          <w:kern w:val="0"/>
          <w:sz w:val="30"/>
          <w:szCs w:val="30"/>
        </w:rPr>
        <w:t>项目编号：</w:t>
      </w:r>
      <w:r>
        <w:rPr>
          <w:rFonts w:ascii="宋体" w:hAnsi="宋体"/>
          <w:b/>
          <w:bCs/>
          <w:kern w:val="0"/>
          <w:sz w:val="30"/>
          <w:szCs w:val="30"/>
        </w:rPr>
        <w:t>2018-</w:t>
      </w:r>
      <w:r>
        <w:rPr>
          <w:rFonts w:hint="eastAsia" w:ascii="宋体" w:hAnsi="宋体"/>
          <w:b/>
          <w:bCs/>
          <w:kern w:val="0"/>
          <w:sz w:val="30"/>
          <w:szCs w:val="30"/>
        </w:rPr>
        <w:t>213</w:t>
      </w:r>
      <w:r>
        <w:rPr>
          <w:rFonts w:ascii="宋体" w:hAnsi="宋体"/>
          <w:b/>
          <w:bCs/>
          <w:kern w:val="0"/>
          <w:sz w:val="30"/>
          <w:szCs w:val="30"/>
        </w:rPr>
        <w:t>-1-</w:t>
      </w:r>
      <w:r>
        <w:rPr>
          <w:rFonts w:hint="eastAsia" w:ascii="宋体" w:hAnsi="宋体"/>
          <w:b/>
          <w:bCs/>
          <w:kern w:val="0"/>
          <w:sz w:val="30"/>
          <w:szCs w:val="30"/>
        </w:rPr>
        <w:t>071</w:t>
      </w:r>
    </w:p>
    <w:p>
      <w:pPr>
        <w:jc w:val="center"/>
        <w:rPr>
          <w:rFonts w:ascii="宋体" w:hAnsi="宋体"/>
          <w:b/>
          <w:bCs/>
          <w:kern w:val="0"/>
          <w:sz w:val="24"/>
          <w:szCs w:val="24"/>
        </w:rPr>
      </w:pPr>
    </w:p>
    <w:p>
      <w:pPr>
        <w:spacing w:line="360" w:lineRule="auto"/>
        <w:rPr>
          <w:rFonts w:ascii="宋体" w:hAnsi="宋体"/>
          <w:i/>
          <w:iCs/>
          <w:kern w:val="0"/>
          <w:sz w:val="24"/>
          <w:szCs w:val="24"/>
        </w:rPr>
      </w:pPr>
      <w:r>
        <w:rPr>
          <w:rFonts w:hint="eastAsia" w:ascii="宋体" w:hAnsi="宋体"/>
          <w:kern w:val="0"/>
          <w:sz w:val="24"/>
          <w:szCs w:val="24"/>
        </w:rPr>
        <w:t>签      发：梁  燕</w:t>
      </w:r>
      <w:r>
        <w:rPr>
          <w:rFonts w:hint="eastAsia" w:ascii="宋体" w:hAnsi="宋体"/>
          <w:i/>
          <w:iCs/>
          <w:kern w:val="0"/>
          <w:sz w:val="24"/>
          <w:szCs w:val="24"/>
        </w:rPr>
        <w:t>（总院副院长  教授级高级工程师  注册规划师）</w:t>
      </w:r>
    </w:p>
    <w:p>
      <w:pPr>
        <w:spacing w:line="360" w:lineRule="auto"/>
        <w:rPr>
          <w:rFonts w:ascii="宋体" w:hAnsi="宋体"/>
          <w:i/>
          <w:iCs/>
          <w:kern w:val="0"/>
          <w:sz w:val="24"/>
          <w:szCs w:val="24"/>
        </w:rPr>
      </w:pPr>
      <w:r>
        <w:rPr>
          <w:rFonts w:hint="eastAsia" w:ascii="宋体" w:hAnsi="宋体"/>
          <w:kern w:val="0"/>
          <w:sz w:val="24"/>
          <w:szCs w:val="24"/>
        </w:rPr>
        <w:t>审      定：付  刚</w:t>
      </w:r>
      <w:r>
        <w:rPr>
          <w:rFonts w:hint="eastAsia" w:ascii="宋体" w:hAnsi="宋体"/>
          <w:i/>
          <w:iCs/>
          <w:kern w:val="0"/>
          <w:sz w:val="24"/>
          <w:szCs w:val="24"/>
        </w:rPr>
        <w:t>（规划分院院长  高级工程师  注册规划师）</w:t>
      </w:r>
    </w:p>
    <w:p>
      <w:pPr>
        <w:spacing w:line="360" w:lineRule="auto"/>
        <w:rPr>
          <w:rFonts w:ascii="宋体" w:hAnsi="宋体"/>
          <w:i/>
          <w:iCs/>
          <w:kern w:val="0"/>
          <w:sz w:val="24"/>
          <w:szCs w:val="24"/>
        </w:rPr>
      </w:pPr>
      <w:r>
        <w:rPr>
          <w:rFonts w:hint="eastAsia" w:ascii="宋体" w:hAnsi="宋体"/>
          <w:kern w:val="0"/>
          <w:sz w:val="24"/>
          <w:szCs w:val="24"/>
        </w:rPr>
        <w:t>审      核：高  霞</w:t>
      </w:r>
      <w:r>
        <w:rPr>
          <w:rFonts w:hint="eastAsia" w:ascii="宋体" w:hAnsi="宋体"/>
          <w:i/>
          <w:iCs/>
          <w:kern w:val="0"/>
          <w:sz w:val="24"/>
          <w:szCs w:val="24"/>
        </w:rPr>
        <w:t>（规划分院副院长  教授级高级工程师  注册规划师）</w:t>
      </w:r>
    </w:p>
    <w:p>
      <w:pPr>
        <w:spacing w:line="360" w:lineRule="auto"/>
        <w:rPr>
          <w:rFonts w:ascii="宋体" w:hAnsi="宋体"/>
          <w:i/>
          <w:iCs/>
          <w:kern w:val="0"/>
          <w:sz w:val="24"/>
          <w:szCs w:val="24"/>
        </w:rPr>
      </w:pPr>
      <w:r>
        <w:rPr>
          <w:rFonts w:hint="eastAsia" w:ascii="宋体" w:hAnsi="宋体"/>
          <w:kern w:val="0"/>
          <w:sz w:val="24"/>
          <w:szCs w:val="24"/>
        </w:rPr>
        <w:t xml:space="preserve">校      核：陈  浩 </w:t>
      </w:r>
      <w:r>
        <w:rPr>
          <w:rFonts w:hint="eastAsia" w:ascii="宋体" w:hAnsi="宋体"/>
          <w:i/>
          <w:iCs/>
          <w:kern w:val="0"/>
          <w:sz w:val="24"/>
          <w:szCs w:val="24"/>
        </w:rPr>
        <w:t>（工程师  注册规划师）</w:t>
      </w:r>
    </w:p>
    <w:p>
      <w:pPr>
        <w:spacing w:line="360" w:lineRule="auto"/>
        <w:rPr>
          <w:rFonts w:ascii="宋体" w:hAnsi="宋体"/>
          <w:kern w:val="0"/>
          <w:sz w:val="24"/>
          <w:szCs w:val="24"/>
        </w:rPr>
      </w:pPr>
      <w:r>
        <w:rPr>
          <w:rFonts w:hint="eastAsia" w:ascii="宋体" w:hAnsi="宋体"/>
          <w:kern w:val="0"/>
          <w:sz w:val="24"/>
          <w:szCs w:val="24"/>
        </w:rPr>
        <w:t xml:space="preserve">项目负责人：刘晓波 </w:t>
      </w:r>
      <w:r>
        <w:rPr>
          <w:rFonts w:hint="eastAsia" w:ascii="宋体" w:hAnsi="宋体"/>
          <w:i/>
          <w:iCs/>
          <w:kern w:val="0"/>
          <w:sz w:val="24"/>
          <w:szCs w:val="24"/>
        </w:rPr>
        <w:t>（高级工程师  注册规划师）</w:t>
      </w:r>
    </w:p>
    <w:p>
      <w:pPr>
        <w:spacing w:line="360" w:lineRule="auto"/>
        <w:rPr>
          <w:rFonts w:ascii="宋体" w:hAnsi="宋体"/>
          <w:kern w:val="0"/>
          <w:sz w:val="24"/>
          <w:szCs w:val="24"/>
        </w:rPr>
      </w:pPr>
      <w:r>
        <w:rPr>
          <w:rFonts w:hint="eastAsia" w:ascii="宋体" w:hAnsi="宋体"/>
          <w:kern w:val="0"/>
          <w:sz w:val="24"/>
          <w:szCs w:val="24"/>
        </w:rPr>
        <w:t xml:space="preserve">专业负责人：王国爱 </w:t>
      </w:r>
      <w:r>
        <w:rPr>
          <w:rFonts w:hint="eastAsia" w:ascii="宋体" w:hAnsi="宋体"/>
          <w:i/>
          <w:iCs/>
          <w:kern w:val="0"/>
          <w:sz w:val="24"/>
          <w:szCs w:val="24"/>
        </w:rPr>
        <w:t>（高级工程师  注册规划师  城市规划硕士）</w:t>
      </w:r>
    </w:p>
    <w:p>
      <w:pPr>
        <w:spacing w:line="360" w:lineRule="auto"/>
        <w:rPr>
          <w:rFonts w:ascii="宋体" w:hAnsi="宋体"/>
          <w:i/>
          <w:iCs/>
          <w:kern w:val="0"/>
          <w:sz w:val="24"/>
          <w:szCs w:val="24"/>
        </w:rPr>
      </w:pPr>
      <w:r>
        <w:rPr>
          <w:rFonts w:hint="eastAsia" w:ascii="宋体" w:hAnsi="宋体"/>
          <w:kern w:val="0"/>
          <w:sz w:val="24"/>
          <w:szCs w:val="24"/>
        </w:rPr>
        <w:t xml:space="preserve">项目设计人：王国爱 </w:t>
      </w:r>
      <w:r>
        <w:rPr>
          <w:rFonts w:hint="eastAsia" w:ascii="宋体" w:hAnsi="宋体"/>
          <w:i/>
          <w:iCs/>
          <w:kern w:val="0"/>
          <w:sz w:val="24"/>
          <w:szCs w:val="24"/>
        </w:rPr>
        <w:t>（高级工程师  注册规划师  城市规划硕士）</w:t>
      </w:r>
    </w:p>
    <w:p>
      <w:pPr>
        <w:spacing w:line="360" w:lineRule="auto"/>
        <w:rPr>
          <w:rFonts w:ascii="宋体" w:hAnsi="宋体"/>
          <w:i/>
          <w:iCs/>
          <w:kern w:val="0"/>
          <w:sz w:val="24"/>
          <w:szCs w:val="24"/>
        </w:rPr>
      </w:pPr>
      <w:r>
        <w:rPr>
          <w:rFonts w:hint="eastAsia" w:ascii="宋体" w:hAnsi="宋体"/>
          <w:kern w:val="0"/>
          <w:sz w:val="24"/>
          <w:szCs w:val="24"/>
        </w:rPr>
        <w:t xml:space="preserve">            涂向文 </w:t>
      </w:r>
      <w:r>
        <w:rPr>
          <w:rFonts w:hint="eastAsia" w:ascii="宋体" w:hAnsi="宋体"/>
          <w:i/>
          <w:iCs/>
          <w:kern w:val="0"/>
          <w:sz w:val="24"/>
          <w:szCs w:val="24"/>
        </w:rPr>
        <w:t>（工程师  城市规划硕士）</w:t>
      </w:r>
    </w:p>
    <w:p>
      <w:pPr>
        <w:spacing w:line="360" w:lineRule="auto"/>
        <w:rPr>
          <w:rFonts w:ascii="宋体" w:hAnsi="宋体"/>
          <w:kern w:val="0"/>
          <w:szCs w:val="21"/>
        </w:rPr>
      </w:pPr>
    </w:p>
    <w:p>
      <w:pPr>
        <w:spacing w:line="360" w:lineRule="auto"/>
        <w:ind w:firstLine="643"/>
        <w:rPr>
          <w:rFonts w:ascii="宋体" w:hAnsi="宋体"/>
          <w:b/>
          <w:bCs/>
          <w:kern w:val="0"/>
          <w:sz w:val="32"/>
          <w:szCs w:val="32"/>
        </w:rPr>
      </w:pPr>
    </w:p>
    <w:p>
      <w:pPr>
        <w:spacing w:line="300" w:lineRule="auto"/>
        <w:jc w:val="center"/>
      </w:pPr>
      <w:r>
        <w:drawing>
          <wp:anchor distT="0" distB="0" distL="114300" distR="114300" simplePos="0" relativeHeight="251661312" behindDoc="0" locked="0" layoutInCell="1" allowOverlap="1">
            <wp:simplePos x="0" y="0"/>
            <wp:positionH relativeFrom="column">
              <wp:posOffset>-391795</wp:posOffset>
            </wp:positionH>
            <wp:positionV relativeFrom="paragraph">
              <wp:posOffset>61595</wp:posOffset>
            </wp:positionV>
            <wp:extent cx="3106420" cy="2204720"/>
            <wp:effectExtent l="19050" t="19050" r="17780" b="24130"/>
            <wp:wrapSquare wrapText="bothSides"/>
            <wp:docPr id="4" name="图片 1" descr="2014-2019城乡规划编制资质证书甲级-正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2014-2019城乡规划编制资质证书甲级-正本"/>
                    <pic:cNvPicPr>
                      <a:picLocks noChangeAspect="1" noChangeArrowheads="1"/>
                    </pic:cNvPicPr>
                  </pic:nvPicPr>
                  <pic:blipFill>
                    <a:blip r:embed="rId7" cstate="print"/>
                    <a:srcRect/>
                    <a:stretch>
                      <a:fillRect/>
                    </a:stretch>
                  </pic:blipFill>
                  <pic:spPr>
                    <a:xfrm>
                      <a:off x="0" y="0"/>
                      <a:ext cx="3106420" cy="2204720"/>
                    </a:xfrm>
                    <a:prstGeom prst="rect">
                      <a:avLst/>
                    </a:prstGeom>
                    <a:noFill/>
                    <a:ln w="6350">
                      <a:solidFill>
                        <a:srgbClr val="000000"/>
                      </a:solidFill>
                      <a:miter lim="800000"/>
                      <a:headEnd/>
                      <a:tailEnd/>
                    </a:ln>
                    <a:effectLst/>
                  </pic:spPr>
                </pic:pic>
              </a:graphicData>
            </a:graphic>
          </wp:anchor>
        </w:drawing>
      </w:r>
      <w:r>
        <w:drawing>
          <wp:inline distT="0" distB="0" distL="0" distR="0">
            <wp:extent cx="2677160" cy="2257425"/>
            <wp:effectExtent l="19050" t="0" r="8890" b="0"/>
            <wp:docPr id="2" name="图片 1" descr="C:\Users\Administrator\Desktop\城乡规划编制资质延期至2020年12月31的公告.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C:\Users\Administrator\Desktop\城乡规划编制资质延期至2020年12月31的公告.jpg"/>
                    <pic:cNvPicPr>
                      <a:picLocks noChangeAspect="1" noChangeArrowheads="1"/>
                    </pic:cNvPicPr>
                  </pic:nvPicPr>
                  <pic:blipFill>
                    <a:blip r:embed="rId8" cstate="print"/>
                    <a:srcRect l="7100" t="6552" r="6152" b="41693"/>
                    <a:stretch>
                      <a:fillRect/>
                    </a:stretch>
                  </pic:blipFill>
                  <pic:spPr>
                    <a:xfrm>
                      <a:off x="0" y="0"/>
                      <a:ext cx="2677160" cy="2257425"/>
                    </a:xfrm>
                    <a:prstGeom prst="rect">
                      <a:avLst/>
                    </a:prstGeom>
                    <a:noFill/>
                    <a:ln w="9525">
                      <a:noFill/>
                      <a:miter lim="800000"/>
                      <a:headEnd/>
                      <a:tailEnd/>
                    </a:ln>
                  </pic:spPr>
                </pic:pic>
              </a:graphicData>
            </a:graphic>
          </wp:inline>
        </w:drawing>
      </w:r>
    </w:p>
    <w:p>
      <w:pPr>
        <w:widowControl/>
        <w:jc w:val="left"/>
        <w:rPr>
          <w:rFonts w:ascii="Times New Roman" w:hAnsi="Times New Roman" w:eastAsia="黑体" w:cs="Times New Roman"/>
          <w:sz w:val="32"/>
          <w:szCs w:val="32"/>
        </w:rPr>
      </w:pPr>
    </w:p>
    <w:p>
      <w:pPr>
        <w:widowControl/>
        <w:jc w:val="left"/>
        <w:rPr>
          <w:rFonts w:ascii="Times New Roman" w:hAnsi="Times New Roman" w:eastAsia="黑体" w:cs="Times New Roman"/>
          <w:sz w:val="32"/>
          <w:szCs w:val="32"/>
        </w:rPr>
      </w:pPr>
      <w:r>
        <w:rPr>
          <w:rFonts w:ascii="Times New Roman" w:hAnsi="Times New Roman" w:eastAsia="黑体" w:cs="Times New Roman"/>
          <w:sz w:val="32"/>
          <w:szCs w:val="32"/>
        </w:rPr>
        <w:br w:type="page"/>
      </w:r>
    </w:p>
    <w:p>
      <w:pPr>
        <w:spacing w:beforeLines="100" w:afterLines="100" w:line="360" w:lineRule="auto"/>
        <w:jc w:val="center"/>
        <w:outlineLvl w:val="0"/>
        <w:rPr>
          <w:rFonts w:ascii="Times New Roman" w:hAnsi="Times New Roman" w:eastAsia="黑体" w:cs="Times New Roman"/>
          <w:sz w:val="36"/>
          <w:szCs w:val="36"/>
        </w:rPr>
      </w:pPr>
      <w:bookmarkStart w:id="0" w:name="_Toc60903484"/>
      <w:bookmarkStart w:id="1" w:name="_Toc10529"/>
      <w:bookmarkStart w:id="2" w:name="_Toc5026211"/>
      <w:bookmarkStart w:id="3" w:name="_Toc534212066"/>
      <w:bookmarkStart w:id="4" w:name="_Toc530123684"/>
      <w:bookmarkStart w:id="5" w:name="_Toc63245977"/>
      <w:bookmarkStart w:id="6" w:name="_Toc525825081"/>
      <w:bookmarkStart w:id="7" w:name="_Toc23496422"/>
      <w:bookmarkStart w:id="8" w:name="_Toc61438968"/>
      <w:bookmarkStart w:id="9" w:name="_Toc528163819"/>
      <w:bookmarkStart w:id="10" w:name="_Toc8639173"/>
      <w:r>
        <w:rPr>
          <w:rFonts w:ascii="Times New Roman" w:hAnsi="Times New Roman" w:eastAsia="黑体" w:cs="Times New Roman"/>
          <w:sz w:val="36"/>
          <w:szCs w:val="36"/>
        </w:rPr>
        <w:t>前言</w:t>
      </w:r>
      <w:bookmarkEnd w:id="0"/>
      <w:bookmarkEnd w:id="1"/>
      <w:bookmarkEnd w:id="2"/>
      <w:bookmarkEnd w:id="3"/>
      <w:bookmarkEnd w:id="4"/>
      <w:bookmarkEnd w:id="5"/>
      <w:bookmarkEnd w:id="6"/>
      <w:bookmarkEnd w:id="7"/>
      <w:bookmarkEnd w:id="8"/>
      <w:bookmarkEnd w:id="9"/>
      <w:bookmarkEnd w:id="10"/>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城市管理通常是指与城市规划、城市建设及城市运行相关联的城市基础设施、公共服务设施和社会公共事务的管理，城市管理的范围包括给水、电力、通信、垃圾收运处理等城市基础功能，以及城市公共空间。城市基础功能安全运行和城市公共空间整洁有序是城市经济社会发展和城市竞争力的有力保障。</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近年来，南昌市城市管理工作成绩斐然。在市委、市政府的领导下，南昌城市管理坚持科学发展，不断深化体制机制改革，转变工作理念，拓展工作方法，创新管理模式，管理目标从“管得住”向“细服务”转变，管理范畴从“管理执法”向“管理执法服务”转变，管理方式从运动式向长效常态式转变，极大提升了城市运行、城市管理执法、城市管理保障能力和水平，为建设彰显省会担当 唱响“南昌品牌”城市建管大提升提供了有力保障。</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按照中共中央、国务院印发《关于深入推进城市执法体制改革改进城市管理工作的指导意见》、《关于进一步加强城市规划建设管理工作的若干意见》、省委省政府支持建设大南昌都市圈、启动全省城市功能与品质提升三年行动，市委、市政府围绕建设美丽中国“江西样板”的标杆城市和长江中游城市群区域中心城市，结合南昌市城市功能和品质提升三年行动暨深入推进“美丽南昌•幸福家园”环境综合整治、彰显省会担当 唱响“南昌品牌”城市建管十大提升行动总目标，以绣花功夫提升管理水平，坚持精细管理、依法治理、改革创新、服务民生，不断提高广大市民群众的幸福感和满意度，全面提升城市规划、建设、管理、检测和养护水平，把南昌打造成为可阅读、有温度、宜居宜业的国际化、现代化的山水花园都市。</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南昌城市管理规划体系不太健全，虽然有五年规划做指引，但缺少一个城市管理最顶层的规划即城市管理发展规划，没有长远的谋划，对中央、省、市精神落实不足。因此编制本发展规划。</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规划依据国家、省、市有关城市管理的法律法规及全市相关专项规划，在分析我市城市管理发展基础和面临形势的基础上，提出未来的奋斗目标、发展思路、主要任务，是我市城市管理发展的顶层设计和蓝图描绘。</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本规划范围为南昌市全域，重点为</w:t>
      </w:r>
      <w:r>
        <w:rPr>
          <w:rStyle w:val="20"/>
          <w:rFonts w:ascii="仿宋" w:hAnsi="仿宋" w:eastAsia="仿宋" w:cs="仿宋"/>
          <w:b w:val="0"/>
          <w:sz w:val="32"/>
          <w:szCs w:val="32"/>
        </w:rPr>
        <w:t>中心城</w:t>
      </w:r>
      <w:r>
        <w:rPr>
          <w:rStyle w:val="20"/>
          <w:rFonts w:hint="eastAsia" w:ascii="仿宋" w:hAnsi="仿宋" w:eastAsia="仿宋" w:cs="仿宋"/>
          <w:b w:val="0"/>
          <w:sz w:val="32"/>
          <w:szCs w:val="32"/>
        </w:rPr>
        <w:t>区，对南昌县、进贤县、安义县的城市管理工作具有指导作用。规划期限为2020-2025年，并展望远景至2035年。</w:t>
      </w:r>
    </w:p>
    <w:p>
      <w:pPr>
        <w:pStyle w:val="16"/>
        <w:shd w:val="clear" w:color="auto" w:fill="FFFFFF"/>
        <w:spacing w:before="0" w:beforeAutospacing="0" w:after="0" w:afterAutospacing="0" w:line="560" w:lineRule="exact"/>
        <w:ind w:firstLine="480" w:firstLineChars="200"/>
        <w:rPr>
          <w:rStyle w:val="20"/>
          <w:rFonts w:ascii="仿宋" w:hAnsi="仿宋" w:eastAsia="仿宋" w:cs="仿宋"/>
          <w:b w:val="0"/>
          <w:sz w:val="32"/>
          <w:szCs w:val="32"/>
        </w:rPr>
      </w:pPr>
      <w:r>
        <mc:AlternateContent>
          <mc:Choice Requires="wps">
            <w:drawing>
              <wp:anchor distT="45720" distB="45720" distL="114300" distR="114300" simplePos="0" relativeHeight="251662336" behindDoc="0" locked="0" layoutInCell="1" allowOverlap="1">
                <wp:simplePos x="0" y="0"/>
                <wp:positionH relativeFrom="column">
                  <wp:align>center</wp:align>
                </wp:positionH>
                <wp:positionV relativeFrom="paragraph">
                  <wp:posOffset>223520</wp:posOffset>
                </wp:positionV>
                <wp:extent cx="4264025" cy="3655695"/>
                <wp:effectExtent l="4445" t="4445" r="17780" b="16510"/>
                <wp:wrapSquare wrapText="bothSides"/>
                <wp:docPr id="9" name="文本框 2"/>
                <wp:cNvGraphicFramePr/>
                <a:graphic xmlns:a="http://schemas.openxmlformats.org/drawingml/2006/main">
                  <a:graphicData uri="http://schemas.microsoft.com/office/word/2010/wordprocessingShape">
                    <wps:wsp>
                      <wps:cNvSpPr txBox="1"/>
                      <wps:spPr>
                        <a:xfrm>
                          <a:off x="0" y="0"/>
                          <a:ext cx="4264025" cy="3655695"/>
                        </a:xfrm>
                        <a:prstGeom prst="rect">
                          <a:avLst/>
                        </a:prstGeom>
                        <a:solidFill>
                          <a:srgbClr val="FFFFFF"/>
                        </a:solidFill>
                        <a:ln w="9525" cap="flat" cmpd="sng">
                          <a:solidFill>
                            <a:srgbClr val="FFFFFF"/>
                          </a:solidFill>
                          <a:prstDash val="solid"/>
                          <a:miter/>
                          <a:headEnd type="none" w="med" len="med"/>
                          <a:tailEnd type="none" w="med" len="med"/>
                        </a:ln>
                      </wps:spPr>
                      <wps:txbx>
                        <w:txbxContent>
                          <w:p>
                            <w:r>
                              <w:drawing>
                                <wp:inline distT="0" distB="0" distL="0" distR="0">
                                  <wp:extent cx="4149725" cy="3069590"/>
                                  <wp:effectExtent l="0" t="0" r="0" b="0"/>
                                  <wp:docPr id="20" name="图片 6"/>
                                  <wp:cNvGraphicFramePr/>
                                  <a:graphic xmlns:a="http://schemas.openxmlformats.org/drawingml/2006/main">
                                    <a:graphicData uri="http://schemas.openxmlformats.org/drawingml/2006/picture">
                                      <pic:pic xmlns:pic="http://schemas.openxmlformats.org/drawingml/2006/picture">
                                        <pic:nvPicPr>
                                          <pic:cNvPr id="20" name="图片 6"/>
                                          <pic:cNvPicPr/>
                                        </pic:nvPicPr>
                                        <pic:blipFill>
                                          <a:blip r:embed="rId9" cstate="print">
                                            <a:extLst>
                                              <a:ext uri="{28A0092B-C50C-407E-A947-70E740481C1C}">
                                                <a14:useLocalDpi xmlns:a14="http://schemas.microsoft.com/office/drawing/2010/main" val="0"/>
                                              </a:ext>
                                            </a:extLst>
                                          </a:blip>
                                          <a:srcRect l="5254" t="15145" r="22439" b="9131"/>
                                          <a:stretch>
                                            <a:fillRect/>
                                          </a:stretch>
                                        </pic:blipFill>
                                        <pic:spPr>
                                          <a:xfrm>
                                            <a:off x="0" y="0"/>
                                            <a:ext cx="4216622" cy="3119072"/>
                                          </a:xfrm>
                                          <a:prstGeom prst="rect">
                                            <a:avLst/>
                                          </a:prstGeom>
                                        </pic:spPr>
                                      </pic:pic>
                                    </a:graphicData>
                                  </a:graphic>
                                </wp:inline>
                              </w:drawing>
                            </w:r>
                          </w:p>
                          <w:p>
                            <w:pPr>
                              <w:jc w:val="center"/>
                              <w:rPr>
                                <w:sz w:val="16"/>
                              </w:rPr>
                            </w:pPr>
                            <w:r>
                              <w:rPr>
                                <w:rFonts w:hint="eastAsia"/>
                                <w:sz w:val="16"/>
                              </w:rPr>
                              <w:t>国土</w:t>
                            </w:r>
                            <w:r>
                              <w:rPr>
                                <w:sz w:val="16"/>
                              </w:rPr>
                              <w:t>空间规划</w:t>
                            </w:r>
                            <w:r>
                              <w:rPr>
                                <w:rFonts w:hint="eastAsia"/>
                                <w:sz w:val="16"/>
                              </w:rPr>
                              <w:t>中心城区</w:t>
                            </w:r>
                            <w:r>
                              <w:rPr>
                                <w:sz w:val="16"/>
                              </w:rPr>
                              <w:t>范围</w:t>
                            </w:r>
                          </w:p>
                        </w:txbxContent>
                      </wps:txbx>
                      <wps:bodyPr upright="1"/>
                    </wps:wsp>
                  </a:graphicData>
                </a:graphic>
              </wp:anchor>
            </w:drawing>
          </mc:Choice>
          <mc:Fallback>
            <w:pict>
              <v:shape id="文本框 2" o:spid="_x0000_s1026" o:spt="202" type="#_x0000_t202" style="position:absolute;left:0pt;margin-top:17.6pt;height:287.85pt;width:335.75pt;mso-position-horizontal:center;mso-wrap-distance-bottom:3.6pt;mso-wrap-distance-left:9pt;mso-wrap-distance-right:9pt;mso-wrap-distance-top:3.6pt;z-index:251662336;mso-width-relative:margin;mso-height-relative:margin;" fillcolor="#FFFFFF" filled="t" stroked="t" coordsize="21600,21600" o:gfxdata="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WAAAAZHJzL1BLAQIUABQAAAAIAIdO4kBPhUsk1wAAAAcB&#10;AAAPAAAAAAAAAAEAIAAAADgAAABkcnMvZG93bnJldi54bWxQSwECFAAUAAAACACHTuJAzkSWOwYC&#10;AAA3BAAADgAAAAAAAAABACAAAAA8AQAAZHJzL2Uyb0RvYy54bWxQSwUGAAAAAAYABgBZAQAAtAUA&#10;AAAA&#10;">
                <v:fill on="t" focussize="0,0"/>
                <v:stroke color="#FFFFFF" joinstyle="miter"/>
                <v:imagedata o:title=""/>
                <o:lock v:ext="edit" aspectratio="f"/>
                <v:textbox>
                  <w:txbxContent>
                    <w:p>
                      <w:r>
                        <w:drawing>
                          <wp:inline distT="0" distB="0" distL="0" distR="0">
                            <wp:extent cx="4149725" cy="3069590"/>
                            <wp:effectExtent l="0" t="0" r="0" b="0"/>
                            <wp:docPr id="20" name="图片 6"/>
                            <wp:cNvGraphicFramePr/>
                            <a:graphic xmlns:a="http://schemas.openxmlformats.org/drawingml/2006/main">
                              <a:graphicData uri="http://schemas.openxmlformats.org/drawingml/2006/picture">
                                <pic:pic xmlns:pic="http://schemas.openxmlformats.org/drawingml/2006/picture">
                                  <pic:nvPicPr>
                                    <pic:cNvPr id="20" name="图片 6"/>
                                    <pic:cNvPicPr/>
                                  </pic:nvPicPr>
                                  <pic:blipFill>
                                    <a:blip r:embed="rId9" cstate="print">
                                      <a:extLst>
                                        <a:ext uri="{28A0092B-C50C-407E-A947-70E740481C1C}">
                                          <a14:useLocalDpi xmlns:a14="http://schemas.microsoft.com/office/drawing/2010/main" val="0"/>
                                        </a:ext>
                                      </a:extLst>
                                    </a:blip>
                                    <a:srcRect l="5254" t="15145" r="22439" b="9131"/>
                                    <a:stretch>
                                      <a:fillRect/>
                                    </a:stretch>
                                  </pic:blipFill>
                                  <pic:spPr>
                                    <a:xfrm>
                                      <a:off x="0" y="0"/>
                                      <a:ext cx="4216622" cy="3119072"/>
                                    </a:xfrm>
                                    <a:prstGeom prst="rect">
                                      <a:avLst/>
                                    </a:prstGeom>
                                  </pic:spPr>
                                </pic:pic>
                              </a:graphicData>
                            </a:graphic>
                          </wp:inline>
                        </w:drawing>
                      </w:r>
                    </w:p>
                    <w:p>
                      <w:pPr>
                        <w:jc w:val="center"/>
                        <w:rPr>
                          <w:sz w:val="16"/>
                        </w:rPr>
                      </w:pPr>
                      <w:r>
                        <w:rPr>
                          <w:rFonts w:hint="eastAsia"/>
                          <w:sz w:val="16"/>
                        </w:rPr>
                        <w:t>国土</w:t>
                      </w:r>
                      <w:r>
                        <w:rPr>
                          <w:sz w:val="16"/>
                        </w:rPr>
                        <w:t>空间规划</w:t>
                      </w:r>
                      <w:r>
                        <w:rPr>
                          <w:rFonts w:hint="eastAsia"/>
                          <w:sz w:val="16"/>
                        </w:rPr>
                        <w:t>中心城区</w:t>
                      </w:r>
                      <w:r>
                        <w:rPr>
                          <w:sz w:val="16"/>
                        </w:rPr>
                        <w:t>范围</w:t>
                      </w:r>
                    </w:p>
                  </w:txbxContent>
                </v:textbox>
                <w10:wrap type="square"/>
              </v:shape>
            </w:pict>
          </mc:Fallback>
        </mc:AlternateContent>
      </w:r>
    </w:p>
    <w:p>
      <w:pPr>
        <w:pStyle w:val="16"/>
        <w:shd w:val="clear" w:color="auto" w:fill="FFFFFF"/>
        <w:spacing w:before="0" w:beforeAutospacing="0" w:after="0" w:afterAutospacing="0" w:line="360" w:lineRule="auto"/>
        <w:ind w:firstLine="720" w:firstLineChars="200"/>
        <w:rPr>
          <w:rFonts w:ascii="Times New Roman" w:hAnsi="Times New Roman" w:cs="Times New Roman"/>
          <w:bCs/>
        </w:rPr>
      </w:pPr>
      <w:r>
        <w:rPr>
          <w:rFonts w:ascii="Times New Roman" w:hAnsi="Times New Roman" w:eastAsia="黑体" w:cs="Times New Roman"/>
          <w:sz w:val="36"/>
          <w:szCs w:val="36"/>
        </w:rPr>
        <w:br w:type="page"/>
      </w:r>
    </w:p>
    <w:p>
      <w:pPr>
        <w:pStyle w:val="11"/>
        <w:widowControl/>
        <w:spacing w:line="280" w:lineRule="exact"/>
        <w:rPr>
          <w:sz w:val="32"/>
          <w:szCs w:val="32"/>
        </w:rPr>
      </w:pPr>
    </w:p>
    <w:p>
      <w:pPr>
        <w:pStyle w:val="11"/>
        <w:widowControl/>
        <w:spacing w:line="0" w:lineRule="atLeast"/>
        <w:rPr>
          <w:sz w:val="32"/>
          <w:szCs w:val="32"/>
        </w:rPr>
      </w:pPr>
      <w:r>
        <w:rPr>
          <w:sz w:val="32"/>
          <w:szCs w:val="32"/>
        </w:rPr>
        <w:t>目录</w:t>
      </w:r>
    </w:p>
    <w:p>
      <w:pPr>
        <w:pStyle w:val="11"/>
        <w:widowControl/>
        <w:spacing w:line="0" w:lineRule="atLeast"/>
        <w:rPr>
          <w:sz w:val="32"/>
          <w:szCs w:val="32"/>
        </w:rPr>
      </w:pPr>
    </w:p>
    <w:p>
      <w:pPr>
        <w:pStyle w:val="11"/>
        <w:rPr>
          <w:rFonts w:asciiTheme="minorHAnsi" w:hAnsiTheme="minorHAnsi" w:eastAsiaTheme="minorEastAsia" w:cstheme="minorBidi"/>
          <w:sz w:val="21"/>
          <w:szCs w:val="22"/>
        </w:rPr>
      </w:pPr>
      <w:r>
        <w:rPr>
          <w:sz w:val="36"/>
          <w:szCs w:val="32"/>
        </w:rPr>
        <w:fldChar w:fldCharType="begin"/>
      </w:r>
      <w:r>
        <w:rPr>
          <w:sz w:val="36"/>
          <w:szCs w:val="32"/>
        </w:rPr>
        <w:instrText xml:space="preserve"> TOC \o "1-3" \h \z \u </w:instrText>
      </w:r>
      <w:r>
        <w:rPr>
          <w:sz w:val="36"/>
          <w:szCs w:val="32"/>
        </w:rPr>
        <w:fldChar w:fldCharType="separate"/>
      </w:r>
      <w:r>
        <w:fldChar w:fldCharType="begin"/>
      </w:r>
      <w:r>
        <w:instrText xml:space="preserve"> HYPERLINK \l "_Toc63245978" </w:instrText>
      </w:r>
      <w:r>
        <w:fldChar w:fldCharType="separate"/>
      </w:r>
      <w:r>
        <w:rPr>
          <w:rStyle w:val="22"/>
          <w:rFonts w:hint="eastAsia"/>
          <w:color w:val="auto"/>
        </w:rPr>
        <w:t>第一章</w:t>
      </w:r>
      <w:r>
        <w:rPr>
          <w:rFonts w:asciiTheme="minorHAnsi" w:hAnsiTheme="minorHAnsi" w:eastAsiaTheme="minorEastAsia" w:cstheme="minorBidi"/>
          <w:sz w:val="21"/>
          <w:szCs w:val="22"/>
        </w:rPr>
        <w:tab/>
      </w:r>
      <w:r>
        <w:rPr>
          <w:rStyle w:val="22"/>
          <w:rFonts w:hint="eastAsia"/>
          <w:color w:val="auto"/>
        </w:rPr>
        <w:t>规划背景</w:t>
      </w:r>
      <w:r>
        <w:tab/>
      </w:r>
      <w:r>
        <w:fldChar w:fldCharType="begin"/>
      </w:r>
      <w:r>
        <w:instrText xml:space="preserve"> PAGEREF _Toc63245978 \h </w:instrText>
      </w:r>
      <w:r>
        <w:fldChar w:fldCharType="separate"/>
      </w:r>
      <w:r>
        <w:t>1</w:t>
      </w:r>
      <w:r>
        <w:fldChar w:fldCharType="end"/>
      </w:r>
      <w:r>
        <w:fldChar w:fldCharType="end"/>
      </w:r>
    </w:p>
    <w:p>
      <w:pPr>
        <w:pStyle w:val="5"/>
        <w:tabs>
          <w:tab w:val="left" w:pos="1680"/>
          <w:tab w:val="right" w:leader="dot" w:pos="8722"/>
        </w:tabs>
      </w:pPr>
      <w:r>
        <w:fldChar w:fldCharType="begin"/>
      </w:r>
      <w:r>
        <w:instrText xml:space="preserve"> HYPERLINK \l "_Toc63245979"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习近平总书记对城市管理工作的要求</w:t>
      </w:r>
      <w:r>
        <w:tab/>
      </w:r>
      <w:r>
        <w:fldChar w:fldCharType="begin"/>
      </w:r>
      <w:r>
        <w:instrText xml:space="preserve"> PAGEREF _Toc63245979 \h </w:instrText>
      </w:r>
      <w:r>
        <w:fldChar w:fldCharType="separate"/>
      </w:r>
      <w:r>
        <w:t>1</w:t>
      </w:r>
      <w:r>
        <w:fldChar w:fldCharType="end"/>
      </w:r>
      <w:r>
        <w:fldChar w:fldCharType="end"/>
      </w:r>
    </w:p>
    <w:p>
      <w:pPr>
        <w:pStyle w:val="5"/>
        <w:tabs>
          <w:tab w:val="left" w:pos="1680"/>
          <w:tab w:val="right" w:leader="dot" w:pos="8722"/>
        </w:tabs>
      </w:pPr>
      <w:r>
        <w:fldChar w:fldCharType="begin"/>
      </w:r>
      <w:r>
        <w:instrText xml:space="preserve"> HYPERLINK \l "_Toc63245980"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省、市政府对城市管理工作的要求</w:t>
      </w:r>
      <w:r>
        <w:tab/>
      </w:r>
      <w:r>
        <w:fldChar w:fldCharType="begin"/>
      </w:r>
      <w:r>
        <w:instrText xml:space="preserve"> PAGEREF _Toc63245980 \h </w:instrText>
      </w:r>
      <w:r>
        <w:fldChar w:fldCharType="separate"/>
      </w:r>
      <w:r>
        <w:t>2</w:t>
      </w:r>
      <w:r>
        <w:fldChar w:fldCharType="end"/>
      </w:r>
      <w:r>
        <w:fldChar w:fldCharType="end"/>
      </w:r>
    </w:p>
    <w:p>
      <w:pPr>
        <w:pStyle w:val="5"/>
        <w:tabs>
          <w:tab w:val="left" w:pos="1680"/>
          <w:tab w:val="right" w:leader="dot" w:pos="8722"/>
        </w:tabs>
      </w:pPr>
      <w:r>
        <w:fldChar w:fldCharType="begin"/>
      </w:r>
      <w:r>
        <w:instrText xml:space="preserve"> HYPERLINK \l "_Toc63245981" </w:instrText>
      </w:r>
      <w:r>
        <w:fldChar w:fldCharType="separate"/>
      </w:r>
      <w:r>
        <w:rPr>
          <w:rStyle w:val="22"/>
          <w:rFonts w:hint="eastAsia" w:ascii="仿宋" w:hAnsi="仿宋" w:eastAsia="仿宋" w:cs="仿宋"/>
          <w:b/>
          <w:color w:val="auto"/>
        </w:rPr>
        <w:t>三、</w:t>
      </w:r>
      <w:r>
        <w:tab/>
      </w:r>
      <w:r>
        <w:rPr>
          <w:rStyle w:val="22"/>
          <w:rFonts w:hint="eastAsia" w:ascii="仿宋" w:hAnsi="仿宋" w:eastAsia="仿宋" w:cs="仿宋"/>
          <w:b/>
          <w:color w:val="auto"/>
        </w:rPr>
        <w:t>人民对城市管理工作提出的诉求和希望</w:t>
      </w:r>
      <w:r>
        <w:tab/>
      </w:r>
      <w:r>
        <w:fldChar w:fldCharType="begin"/>
      </w:r>
      <w:r>
        <w:instrText xml:space="preserve"> PAGEREF _Toc63245981 \h </w:instrText>
      </w:r>
      <w:r>
        <w:fldChar w:fldCharType="separate"/>
      </w:r>
      <w:r>
        <w:t>4</w:t>
      </w:r>
      <w:r>
        <w:fldChar w:fldCharType="end"/>
      </w:r>
      <w:r>
        <w:fldChar w:fldCharType="end"/>
      </w:r>
    </w:p>
    <w:p>
      <w:pPr>
        <w:pStyle w:val="5"/>
        <w:tabs>
          <w:tab w:val="left" w:pos="1680"/>
          <w:tab w:val="right" w:leader="dot" w:pos="8722"/>
        </w:tabs>
      </w:pPr>
      <w:r>
        <w:fldChar w:fldCharType="begin"/>
      </w:r>
      <w:r>
        <w:instrText xml:space="preserve"> HYPERLINK \l "_Toc63245982" </w:instrText>
      </w:r>
      <w:r>
        <w:fldChar w:fldCharType="separate"/>
      </w:r>
      <w:r>
        <w:rPr>
          <w:rStyle w:val="22"/>
          <w:rFonts w:hint="eastAsia" w:ascii="仿宋" w:hAnsi="仿宋" w:eastAsia="仿宋" w:cs="仿宋"/>
          <w:b/>
          <w:color w:val="auto"/>
        </w:rPr>
        <w:t>四、</w:t>
      </w:r>
      <w:r>
        <w:tab/>
      </w:r>
      <w:r>
        <w:rPr>
          <w:rStyle w:val="22"/>
          <w:rFonts w:hint="eastAsia" w:ascii="仿宋" w:hAnsi="仿宋" w:eastAsia="仿宋" w:cs="仿宋"/>
          <w:b/>
          <w:color w:val="auto"/>
        </w:rPr>
        <w:t>国土空间规划背景下城市管理发展规划的意义</w:t>
      </w:r>
      <w:r>
        <w:tab/>
      </w:r>
      <w:r>
        <w:fldChar w:fldCharType="begin"/>
      </w:r>
      <w:r>
        <w:instrText xml:space="preserve"> PAGEREF _Toc63245982 \h </w:instrText>
      </w:r>
      <w:r>
        <w:fldChar w:fldCharType="separate"/>
      </w:r>
      <w:r>
        <w:t>5</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"_Toc63245983" </w:instrText>
      </w:r>
      <w:r>
        <w:fldChar w:fldCharType="separate"/>
      </w:r>
      <w:r>
        <w:rPr>
          <w:rStyle w:val="22"/>
          <w:rFonts w:hint="eastAsia"/>
          <w:color w:val="auto"/>
        </w:rPr>
        <w:t>第二章</w:t>
      </w:r>
      <w:r>
        <w:rPr>
          <w:rFonts w:asciiTheme="minorHAnsi" w:hAnsiTheme="minorHAnsi" w:eastAsiaTheme="minorEastAsia" w:cstheme="minorBidi"/>
          <w:sz w:val="21"/>
          <w:szCs w:val="22"/>
        </w:rPr>
        <w:tab/>
      </w:r>
      <w:r>
        <w:rPr>
          <w:rStyle w:val="22"/>
          <w:rFonts w:hint="eastAsia"/>
          <w:color w:val="auto"/>
        </w:rPr>
        <w:t>现状及问题</w:t>
      </w:r>
      <w:r>
        <w:tab/>
      </w:r>
      <w:r>
        <w:fldChar w:fldCharType="begin"/>
      </w:r>
      <w:r>
        <w:instrText xml:space="preserve"> PAGEREF _Toc63245983 \h </w:instrText>
      </w:r>
      <w:r>
        <w:fldChar w:fldCharType="separate"/>
      </w:r>
      <w:r>
        <w:t>7</w:t>
      </w:r>
      <w:r>
        <w:fldChar w:fldCharType="end"/>
      </w:r>
      <w:r>
        <w:fldChar w:fldCharType="end"/>
      </w:r>
    </w:p>
    <w:p>
      <w:pPr>
        <w:pStyle w:val="14"/>
        <w:tabs>
          <w:tab w:val="right" w:leader="dot" w:pos="8722"/>
        </w:tabs>
      </w:pPr>
      <w:r>
        <w:fldChar w:fldCharType="begin"/>
      </w:r>
      <w:r>
        <w:instrText xml:space="preserve"> HYPERLINK \l "_Toc63245984" </w:instrText>
      </w:r>
      <w:r>
        <w:fldChar w:fldCharType="separate"/>
      </w:r>
      <w:r>
        <w:rPr>
          <w:rStyle w:val="22"/>
          <w:rFonts w:hint="eastAsia" w:ascii="仿宋" w:hAnsi="仿宋" w:eastAsia="仿宋" w:cs="仿宋"/>
          <w:b/>
          <w:bCs/>
          <w:color w:val="auto"/>
        </w:rPr>
        <w:t>第一节城市管理主要成效</w:t>
      </w:r>
      <w:r>
        <w:tab/>
      </w:r>
      <w:r>
        <w:fldChar w:fldCharType="begin"/>
      </w:r>
      <w:r>
        <w:instrText xml:space="preserve"> PAGEREF _Toc63245984 \h </w:instrText>
      </w:r>
      <w:r>
        <w:fldChar w:fldCharType="separate"/>
      </w:r>
      <w:r>
        <w:t>7</w:t>
      </w:r>
      <w:r>
        <w:fldChar w:fldCharType="end"/>
      </w:r>
      <w:r>
        <w:fldChar w:fldCharType="end"/>
      </w:r>
    </w:p>
    <w:p>
      <w:pPr>
        <w:pStyle w:val="5"/>
        <w:tabs>
          <w:tab w:val="left" w:pos="1680"/>
          <w:tab w:val="right" w:leader="dot" w:pos="8722"/>
        </w:tabs>
      </w:pPr>
      <w:r>
        <w:fldChar w:fldCharType="begin"/>
      </w:r>
      <w:r>
        <w:instrText xml:space="preserve"> HYPERLINK \l "_Toc63245985"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体制机制逐步健全</w:t>
      </w:r>
      <w:r>
        <w:tab/>
      </w:r>
      <w:r>
        <w:fldChar w:fldCharType="begin"/>
      </w:r>
      <w:r>
        <w:instrText xml:space="preserve"> PAGEREF _Toc63245985 \h </w:instrText>
      </w:r>
      <w:r>
        <w:fldChar w:fldCharType="separate"/>
      </w:r>
      <w:r>
        <w:t>7</w:t>
      </w:r>
      <w:r>
        <w:fldChar w:fldCharType="end"/>
      </w:r>
      <w:r>
        <w:fldChar w:fldCharType="end"/>
      </w:r>
    </w:p>
    <w:p>
      <w:pPr>
        <w:pStyle w:val="5"/>
        <w:tabs>
          <w:tab w:val="left" w:pos="1680"/>
          <w:tab w:val="right" w:leader="dot" w:pos="8722"/>
        </w:tabs>
      </w:pPr>
      <w:r>
        <w:fldChar w:fldCharType="begin"/>
      </w:r>
      <w:r>
        <w:instrText xml:space="preserve"> HYPERLINK \l "_Toc63245986"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环境卫生显著改善</w:t>
      </w:r>
      <w:r>
        <w:tab/>
      </w:r>
      <w:r>
        <w:fldChar w:fldCharType="begin"/>
      </w:r>
      <w:r>
        <w:instrText xml:space="preserve"> PAGEREF _Toc63245986 \h </w:instrText>
      </w:r>
      <w:r>
        <w:fldChar w:fldCharType="separate"/>
      </w:r>
      <w:r>
        <w:t>8</w:t>
      </w:r>
      <w:r>
        <w:fldChar w:fldCharType="end"/>
      </w:r>
      <w:r>
        <w:fldChar w:fldCharType="end"/>
      </w:r>
    </w:p>
    <w:p>
      <w:pPr>
        <w:pStyle w:val="5"/>
        <w:tabs>
          <w:tab w:val="left" w:pos="1680"/>
          <w:tab w:val="right" w:leader="dot" w:pos="8722"/>
        </w:tabs>
      </w:pPr>
      <w:r>
        <w:fldChar w:fldCharType="begin"/>
      </w:r>
      <w:r>
        <w:instrText xml:space="preserve"> HYPERLINK \l "_Toc63245987" </w:instrText>
      </w:r>
      <w:r>
        <w:fldChar w:fldCharType="separate"/>
      </w:r>
      <w:r>
        <w:rPr>
          <w:rStyle w:val="22"/>
          <w:rFonts w:hint="eastAsia" w:ascii="仿宋" w:hAnsi="仿宋" w:eastAsia="仿宋" w:cs="仿宋"/>
          <w:b/>
          <w:color w:val="auto"/>
        </w:rPr>
        <w:t>三、</w:t>
      </w:r>
      <w:r>
        <w:tab/>
      </w:r>
      <w:r>
        <w:rPr>
          <w:rStyle w:val="22"/>
          <w:rFonts w:hint="eastAsia" w:ascii="仿宋" w:hAnsi="仿宋" w:eastAsia="仿宋" w:cs="仿宋"/>
          <w:b/>
          <w:color w:val="auto"/>
        </w:rPr>
        <w:t>城市面貌明显改观</w:t>
      </w:r>
      <w:r>
        <w:tab/>
      </w:r>
      <w:r>
        <w:fldChar w:fldCharType="begin"/>
      </w:r>
      <w:r>
        <w:instrText xml:space="preserve"> PAGEREF _Toc63245987 \h </w:instrText>
      </w:r>
      <w:r>
        <w:fldChar w:fldCharType="separate"/>
      </w:r>
      <w:r>
        <w:t>10</w:t>
      </w:r>
      <w:r>
        <w:fldChar w:fldCharType="end"/>
      </w:r>
      <w:r>
        <w:fldChar w:fldCharType="end"/>
      </w:r>
    </w:p>
    <w:p>
      <w:pPr>
        <w:pStyle w:val="5"/>
        <w:tabs>
          <w:tab w:val="left" w:pos="1680"/>
          <w:tab w:val="right" w:leader="dot" w:pos="8722"/>
        </w:tabs>
      </w:pPr>
      <w:r>
        <w:fldChar w:fldCharType="begin"/>
      </w:r>
      <w:r>
        <w:instrText xml:space="preserve"> HYPERLINK \l "_Toc63245988" </w:instrText>
      </w:r>
      <w:r>
        <w:fldChar w:fldCharType="separate"/>
      </w:r>
      <w:r>
        <w:rPr>
          <w:rStyle w:val="22"/>
          <w:rFonts w:hint="eastAsia" w:ascii="仿宋" w:hAnsi="仿宋" w:eastAsia="仿宋" w:cs="仿宋"/>
          <w:b/>
          <w:color w:val="auto"/>
        </w:rPr>
        <w:t>四、</w:t>
      </w:r>
      <w:r>
        <w:tab/>
      </w:r>
      <w:r>
        <w:rPr>
          <w:rStyle w:val="22"/>
          <w:rFonts w:hint="eastAsia" w:ascii="仿宋" w:hAnsi="仿宋" w:eastAsia="仿宋" w:cs="仿宋"/>
          <w:b/>
          <w:color w:val="auto"/>
        </w:rPr>
        <w:t>设施管养更加精细</w:t>
      </w:r>
      <w:r>
        <w:tab/>
      </w:r>
      <w:r>
        <w:fldChar w:fldCharType="begin"/>
      </w:r>
      <w:r>
        <w:instrText xml:space="preserve"> PAGEREF _Toc63245988 \h </w:instrText>
      </w:r>
      <w:r>
        <w:fldChar w:fldCharType="separate"/>
      </w:r>
      <w:r>
        <w:t>13</w:t>
      </w:r>
      <w:r>
        <w:fldChar w:fldCharType="end"/>
      </w:r>
      <w:r>
        <w:fldChar w:fldCharType="end"/>
      </w:r>
    </w:p>
    <w:p>
      <w:pPr>
        <w:pStyle w:val="5"/>
        <w:tabs>
          <w:tab w:val="left" w:pos="1680"/>
          <w:tab w:val="right" w:leader="dot" w:pos="8722"/>
        </w:tabs>
      </w:pPr>
      <w:r>
        <w:fldChar w:fldCharType="begin"/>
      </w:r>
      <w:r>
        <w:instrText xml:space="preserve"> HYPERLINK \l "_Toc63245989" </w:instrText>
      </w:r>
      <w:r>
        <w:fldChar w:fldCharType="separate"/>
      </w:r>
      <w:r>
        <w:rPr>
          <w:rStyle w:val="22"/>
          <w:rFonts w:hint="eastAsia" w:ascii="仿宋" w:hAnsi="仿宋" w:eastAsia="仿宋" w:cs="仿宋"/>
          <w:b/>
          <w:color w:val="auto"/>
        </w:rPr>
        <w:t>五、</w:t>
      </w:r>
      <w:r>
        <w:tab/>
      </w:r>
      <w:r>
        <w:rPr>
          <w:rStyle w:val="22"/>
          <w:rFonts w:hint="eastAsia" w:ascii="仿宋" w:hAnsi="仿宋" w:eastAsia="仿宋" w:cs="仿宋"/>
          <w:b/>
          <w:color w:val="auto"/>
        </w:rPr>
        <w:t>园林绿化初显特色</w:t>
      </w:r>
      <w:r>
        <w:tab/>
      </w:r>
      <w:r>
        <w:fldChar w:fldCharType="begin"/>
      </w:r>
      <w:r>
        <w:instrText xml:space="preserve"> PAGEREF _Toc63245989 \h </w:instrText>
      </w:r>
      <w:r>
        <w:fldChar w:fldCharType="separate"/>
      </w:r>
      <w:r>
        <w:t>14</w:t>
      </w:r>
      <w:r>
        <w:fldChar w:fldCharType="end"/>
      </w:r>
      <w:r>
        <w:fldChar w:fldCharType="end"/>
      </w:r>
    </w:p>
    <w:p>
      <w:pPr>
        <w:pStyle w:val="5"/>
        <w:tabs>
          <w:tab w:val="left" w:pos="1680"/>
          <w:tab w:val="right" w:leader="dot" w:pos="8722"/>
        </w:tabs>
      </w:pPr>
      <w:r>
        <w:fldChar w:fldCharType="begin"/>
      </w:r>
      <w:r>
        <w:instrText xml:space="preserve"> HYPERLINK \l "_Toc63245990" </w:instrText>
      </w:r>
      <w:r>
        <w:fldChar w:fldCharType="separate"/>
      </w:r>
      <w:r>
        <w:rPr>
          <w:rStyle w:val="22"/>
          <w:rFonts w:hint="eastAsia" w:ascii="仿宋" w:hAnsi="仿宋" w:eastAsia="仿宋" w:cs="仿宋"/>
          <w:b/>
          <w:color w:val="auto"/>
        </w:rPr>
        <w:t>六、</w:t>
      </w:r>
      <w:r>
        <w:tab/>
      </w:r>
      <w:r>
        <w:rPr>
          <w:rStyle w:val="22"/>
          <w:rFonts w:hint="eastAsia" w:ascii="仿宋" w:hAnsi="仿宋" w:eastAsia="仿宋" w:cs="仿宋"/>
          <w:b/>
          <w:color w:val="auto"/>
        </w:rPr>
        <w:t>出行环境大幅提升</w:t>
      </w:r>
      <w:r>
        <w:tab/>
      </w:r>
      <w:r>
        <w:fldChar w:fldCharType="begin"/>
      </w:r>
      <w:r>
        <w:instrText xml:space="preserve"> PAGEREF _Toc63245990 \h </w:instrText>
      </w:r>
      <w:r>
        <w:fldChar w:fldCharType="separate"/>
      </w:r>
      <w:r>
        <w:t>15</w:t>
      </w:r>
      <w:r>
        <w:fldChar w:fldCharType="end"/>
      </w:r>
      <w:r>
        <w:fldChar w:fldCharType="end"/>
      </w:r>
    </w:p>
    <w:p>
      <w:pPr>
        <w:pStyle w:val="5"/>
        <w:tabs>
          <w:tab w:val="left" w:pos="1680"/>
          <w:tab w:val="right" w:leader="dot" w:pos="8722"/>
        </w:tabs>
      </w:pPr>
      <w:r>
        <w:fldChar w:fldCharType="begin"/>
      </w:r>
      <w:r>
        <w:instrText xml:space="preserve"> HYPERLINK \l "_Toc63245991" </w:instrText>
      </w:r>
      <w:r>
        <w:fldChar w:fldCharType="separate"/>
      </w:r>
      <w:r>
        <w:rPr>
          <w:rStyle w:val="22"/>
          <w:rFonts w:hint="eastAsia" w:ascii="仿宋" w:hAnsi="仿宋" w:eastAsia="仿宋" w:cs="仿宋"/>
          <w:b/>
          <w:color w:val="auto"/>
        </w:rPr>
        <w:t>七、</w:t>
      </w:r>
      <w:r>
        <w:tab/>
      </w:r>
      <w:r>
        <w:rPr>
          <w:rStyle w:val="22"/>
          <w:rFonts w:hint="eastAsia" w:ascii="仿宋" w:hAnsi="仿宋" w:eastAsia="仿宋" w:cs="仿宋"/>
          <w:b/>
          <w:color w:val="auto"/>
        </w:rPr>
        <w:t>城管执法逐步规范</w:t>
      </w:r>
      <w:r>
        <w:tab/>
      </w:r>
      <w:r>
        <w:fldChar w:fldCharType="begin"/>
      </w:r>
      <w:r>
        <w:instrText xml:space="preserve"> PAGEREF _Toc63245991 \h </w:instrText>
      </w:r>
      <w:r>
        <w:fldChar w:fldCharType="separate"/>
      </w:r>
      <w:r>
        <w:t>16</w:t>
      </w:r>
      <w:r>
        <w:fldChar w:fldCharType="end"/>
      </w:r>
      <w:r>
        <w:fldChar w:fldCharType="end"/>
      </w:r>
    </w:p>
    <w:p>
      <w:pPr>
        <w:pStyle w:val="14"/>
        <w:tabs>
          <w:tab w:val="right" w:leader="dot" w:pos="8722"/>
        </w:tabs>
      </w:pPr>
      <w:r>
        <w:fldChar w:fldCharType="begin"/>
      </w:r>
      <w:r>
        <w:instrText xml:space="preserve"> HYPERLINK \l "_Toc63245992" </w:instrText>
      </w:r>
      <w:r>
        <w:fldChar w:fldCharType="separate"/>
      </w:r>
      <w:r>
        <w:rPr>
          <w:rStyle w:val="22"/>
          <w:rFonts w:hint="eastAsia" w:ascii="仿宋" w:hAnsi="仿宋" w:eastAsia="仿宋" w:cs="仿宋"/>
          <w:b/>
          <w:bCs/>
          <w:color w:val="auto"/>
        </w:rPr>
        <w:t>第二节城市管理主要问题</w:t>
      </w:r>
      <w:r>
        <w:tab/>
      </w:r>
      <w:r>
        <w:fldChar w:fldCharType="begin"/>
      </w:r>
      <w:r>
        <w:instrText xml:space="preserve"> PAGEREF _Toc63245992 \h </w:instrText>
      </w:r>
      <w:r>
        <w:fldChar w:fldCharType="separate"/>
      </w:r>
      <w:r>
        <w:t>18</w:t>
      </w:r>
      <w:r>
        <w:fldChar w:fldCharType="end"/>
      </w:r>
      <w:r>
        <w:fldChar w:fldCharType="end"/>
      </w:r>
    </w:p>
    <w:p>
      <w:pPr>
        <w:pStyle w:val="5"/>
        <w:tabs>
          <w:tab w:val="left" w:pos="1680"/>
          <w:tab w:val="right" w:leader="dot" w:pos="8722"/>
        </w:tabs>
      </w:pPr>
      <w:r>
        <w:fldChar w:fldCharType="begin"/>
      </w:r>
      <w:r>
        <w:instrText xml:space="preserve"> HYPERLINK \l "_Toc63245993"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体制与顶层设计待完善</w:t>
      </w:r>
      <w:r>
        <w:tab/>
      </w:r>
      <w:r>
        <w:fldChar w:fldCharType="begin"/>
      </w:r>
      <w:r>
        <w:instrText xml:space="preserve"> PAGEREF _Toc63245993 \h </w:instrText>
      </w:r>
      <w:r>
        <w:fldChar w:fldCharType="separate"/>
      </w:r>
      <w:r>
        <w:t>18</w:t>
      </w:r>
      <w:r>
        <w:fldChar w:fldCharType="end"/>
      </w:r>
      <w:r>
        <w:fldChar w:fldCharType="end"/>
      </w:r>
    </w:p>
    <w:p>
      <w:pPr>
        <w:pStyle w:val="5"/>
        <w:tabs>
          <w:tab w:val="left" w:pos="1680"/>
          <w:tab w:val="right" w:leader="dot" w:pos="8722"/>
        </w:tabs>
      </w:pPr>
      <w:r>
        <w:fldChar w:fldCharType="begin"/>
      </w:r>
      <w:r>
        <w:instrText xml:space="preserve"> HYPERLINK \l "_Toc63245994"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城市治理机制还需理顺</w:t>
      </w:r>
      <w:r>
        <w:tab/>
      </w:r>
      <w:r>
        <w:fldChar w:fldCharType="begin"/>
      </w:r>
      <w:r>
        <w:instrText xml:space="preserve"> PAGEREF _Toc63245994 \h </w:instrText>
      </w:r>
      <w:r>
        <w:fldChar w:fldCharType="separate"/>
      </w:r>
      <w:r>
        <w:t>19</w:t>
      </w:r>
      <w:r>
        <w:fldChar w:fldCharType="end"/>
      </w:r>
      <w:r>
        <w:fldChar w:fldCharType="end"/>
      </w:r>
    </w:p>
    <w:p>
      <w:pPr>
        <w:pStyle w:val="5"/>
        <w:tabs>
          <w:tab w:val="left" w:pos="1680"/>
          <w:tab w:val="right" w:leader="dot" w:pos="8722"/>
        </w:tabs>
      </w:pPr>
      <w:r>
        <w:fldChar w:fldCharType="begin"/>
      </w:r>
      <w:r>
        <w:instrText xml:space="preserve"> HYPERLINK \l "_Toc63245995" </w:instrText>
      </w:r>
      <w:r>
        <w:fldChar w:fldCharType="separate"/>
      </w:r>
      <w:r>
        <w:rPr>
          <w:rStyle w:val="22"/>
          <w:rFonts w:hint="eastAsia" w:ascii="仿宋" w:hAnsi="仿宋" w:eastAsia="仿宋" w:cs="仿宋"/>
          <w:b/>
          <w:color w:val="auto"/>
        </w:rPr>
        <w:t>三、</w:t>
      </w:r>
      <w:r>
        <w:tab/>
      </w:r>
      <w:r>
        <w:rPr>
          <w:rStyle w:val="22"/>
          <w:rFonts w:hint="eastAsia" w:ascii="仿宋" w:hAnsi="仿宋" w:eastAsia="仿宋" w:cs="仿宋"/>
          <w:b/>
          <w:color w:val="auto"/>
        </w:rPr>
        <w:t>智慧监管水平仍然滞后</w:t>
      </w:r>
      <w:r>
        <w:tab/>
      </w:r>
      <w:r>
        <w:fldChar w:fldCharType="begin"/>
      </w:r>
      <w:r>
        <w:instrText xml:space="preserve"> PAGEREF _Toc63245995 \h </w:instrText>
      </w:r>
      <w:r>
        <w:fldChar w:fldCharType="separate"/>
      </w:r>
      <w:r>
        <w:t>20</w:t>
      </w:r>
      <w:r>
        <w:fldChar w:fldCharType="end"/>
      </w:r>
      <w:r>
        <w:fldChar w:fldCharType="end"/>
      </w:r>
    </w:p>
    <w:p>
      <w:pPr>
        <w:pStyle w:val="5"/>
        <w:tabs>
          <w:tab w:val="left" w:pos="1680"/>
          <w:tab w:val="right" w:leader="dot" w:pos="8722"/>
        </w:tabs>
      </w:pPr>
      <w:r>
        <w:fldChar w:fldCharType="begin"/>
      </w:r>
      <w:r>
        <w:instrText xml:space="preserve"> HYPERLINK \l "_Toc63245996" </w:instrText>
      </w:r>
      <w:r>
        <w:fldChar w:fldCharType="separate"/>
      </w:r>
      <w:r>
        <w:rPr>
          <w:rStyle w:val="22"/>
          <w:rFonts w:hint="eastAsia" w:ascii="仿宋" w:hAnsi="仿宋" w:eastAsia="仿宋" w:cs="仿宋"/>
          <w:b/>
          <w:color w:val="auto"/>
        </w:rPr>
        <w:t>四、</w:t>
      </w:r>
      <w:r>
        <w:tab/>
      </w:r>
      <w:r>
        <w:rPr>
          <w:rStyle w:val="22"/>
          <w:rFonts w:hint="eastAsia" w:ascii="仿宋" w:hAnsi="仿宋" w:eastAsia="仿宋" w:cs="仿宋"/>
          <w:b/>
          <w:color w:val="auto"/>
        </w:rPr>
        <w:t>功能短板弱项仍然突出</w:t>
      </w:r>
      <w:r>
        <w:tab/>
      </w:r>
      <w:r>
        <w:fldChar w:fldCharType="begin"/>
      </w:r>
      <w:r>
        <w:instrText xml:space="preserve"> PAGEREF _Toc63245996 \h </w:instrText>
      </w:r>
      <w:r>
        <w:fldChar w:fldCharType="separate"/>
      </w:r>
      <w:r>
        <w:t>21</w:t>
      </w:r>
      <w:r>
        <w:fldChar w:fldCharType="end"/>
      </w:r>
      <w:r>
        <w:fldChar w:fldCharType="end"/>
      </w:r>
    </w:p>
    <w:p>
      <w:pPr>
        <w:pStyle w:val="5"/>
        <w:tabs>
          <w:tab w:val="left" w:pos="1680"/>
          <w:tab w:val="right" w:leader="dot" w:pos="8722"/>
        </w:tabs>
      </w:pPr>
      <w:r>
        <w:fldChar w:fldCharType="begin"/>
      </w:r>
      <w:r>
        <w:instrText xml:space="preserve"> HYPERLINK \l "_Toc63245997" </w:instrText>
      </w:r>
      <w:r>
        <w:fldChar w:fldCharType="separate"/>
      </w:r>
      <w:r>
        <w:rPr>
          <w:rStyle w:val="22"/>
          <w:rFonts w:hint="eastAsia" w:ascii="仿宋" w:hAnsi="仿宋" w:eastAsia="仿宋" w:cs="仿宋"/>
          <w:b/>
          <w:color w:val="auto"/>
        </w:rPr>
        <w:t>五、</w:t>
      </w:r>
      <w:r>
        <w:tab/>
      </w:r>
      <w:r>
        <w:rPr>
          <w:rStyle w:val="22"/>
          <w:rFonts w:hint="eastAsia" w:ascii="仿宋" w:hAnsi="仿宋" w:eastAsia="仿宋" w:cs="仿宋"/>
          <w:b/>
          <w:color w:val="auto"/>
        </w:rPr>
        <w:t>环卫保洁水平仍需提升</w:t>
      </w:r>
      <w:r>
        <w:tab/>
      </w:r>
      <w:r>
        <w:fldChar w:fldCharType="begin"/>
      </w:r>
      <w:r>
        <w:instrText xml:space="preserve"> PAGEREF _Toc63245997 \h </w:instrText>
      </w:r>
      <w:r>
        <w:fldChar w:fldCharType="separate"/>
      </w:r>
      <w:r>
        <w:t>21</w:t>
      </w:r>
      <w:r>
        <w:fldChar w:fldCharType="end"/>
      </w:r>
      <w:r>
        <w:fldChar w:fldCharType="end"/>
      </w:r>
    </w:p>
    <w:p>
      <w:pPr>
        <w:pStyle w:val="5"/>
        <w:tabs>
          <w:tab w:val="left" w:pos="1680"/>
          <w:tab w:val="right" w:leader="dot" w:pos="8722"/>
        </w:tabs>
      </w:pPr>
      <w:r>
        <w:fldChar w:fldCharType="begin"/>
      </w:r>
      <w:r>
        <w:instrText xml:space="preserve"> HYPERLINK \l "_Toc63245998" </w:instrText>
      </w:r>
      <w:r>
        <w:fldChar w:fldCharType="separate"/>
      </w:r>
      <w:r>
        <w:rPr>
          <w:rStyle w:val="22"/>
          <w:rFonts w:hint="eastAsia" w:ascii="仿宋" w:hAnsi="仿宋" w:eastAsia="仿宋" w:cs="仿宋"/>
          <w:b/>
          <w:color w:val="auto"/>
        </w:rPr>
        <w:t>六、</w:t>
      </w:r>
      <w:r>
        <w:tab/>
      </w:r>
      <w:r>
        <w:rPr>
          <w:rStyle w:val="22"/>
          <w:rFonts w:hint="eastAsia" w:ascii="仿宋" w:hAnsi="仿宋" w:eastAsia="仿宋" w:cs="仿宋"/>
          <w:b/>
          <w:color w:val="auto"/>
        </w:rPr>
        <w:t>执法边界不清力量不足</w:t>
      </w:r>
      <w:r>
        <w:tab/>
      </w:r>
      <w:r>
        <w:fldChar w:fldCharType="begin"/>
      </w:r>
      <w:r>
        <w:instrText xml:space="preserve"> PAGEREF _Toc63245998 \h </w:instrText>
      </w:r>
      <w:r>
        <w:fldChar w:fldCharType="separate"/>
      </w:r>
      <w:r>
        <w:t>22</w:t>
      </w:r>
      <w:r>
        <w:fldChar w:fldCharType="end"/>
      </w:r>
      <w:r>
        <w:fldChar w:fldCharType="end"/>
      </w:r>
    </w:p>
    <w:p>
      <w:pPr>
        <w:pStyle w:val="14"/>
        <w:tabs>
          <w:tab w:val="right" w:leader="dot" w:pos="8722"/>
        </w:tabs>
      </w:pPr>
      <w:r>
        <w:fldChar w:fldCharType="begin"/>
      </w:r>
      <w:r>
        <w:instrText xml:space="preserve"> HYPERLINK \l "_Toc63245999" </w:instrText>
      </w:r>
      <w:r>
        <w:fldChar w:fldCharType="separate"/>
      </w:r>
      <w:r>
        <w:rPr>
          <w:rStyle w:val="22"/>
          <w:rFonts w:hint="eastAsia" w:ascii="仿宋" w:hAnsi="仿宋" w:eastAsia="仿宋" w:cs="仿宋"/>
          <w:b/>
          <w:bCs/>
          <w:color w:val="auto"/>
        </w:rPr>
        <w:t>第三节面临形势</w:t>
      </w:r>
      <w:r>
        <w:tab/>
      </w:r>
      <w:r>
        <w:fldChar w:fldCharType="begin"/>
      </w:r>
      <w:r>
        <w:instrText xml:space="preserve"> PAGEREF _Toc63245999 \h </w:instrText>
      </w:r>
      <w:r>
        <w:fldChar w:fldCharType="separate"/>
      </w:r>
      <w:r>
        <w:t>24</w:t>
      </w:r>
      <w:r>
        <w:fldChar w:fldCharType="end"/>
      </w:r>
      <w:r>
        <w:fldChar w:fldCharType="end"/>
      </w:r>
    </w:p>
    <w:p>
      <w:pPr>
        <w:pStyle w:val="5"/>
        <w:tabs>
          <w:tab w:val="left" w:pos="1680"/>
          <w:tab w:val="right" w:leader="dot" w:pos="8722"/>
        </w:tabs>
      </w:pPr>
      <w:r>
        <w:fldChar w:fldCharType="begin"/>
      </w:r>
      <w:r>
        <w:instrText xml:space="preserve"> HYPERLINK \l "_Toc63246000"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发展机遇</w:t>
      </w:r>
      <w:r>
        <w:tab/>
      </w:r>
      <w:r>
        <w:fldChar w:fldCharType="begin"/>
      </w:r>
      <w:r>
        <w:instrText xml:space="preserve"> PAGEREF _Toc63246000 \h </w:instrText>
      </w:r>
      <w:r>
        <w:fldChar w:fldCharType="separate"/>
      </w:r>
      <w:r>
        <w:t>24</w:t>
      </w:r>
      <w:r>
        <w:fldChar w:fldCharType="end"/>
      </w:r>
      <w:r>
        <w:fldChar w:fldCharType="end"/>
      </w:r>
    </w:p>
    <w:p>
      <w:pPr>
        <w:pStyle w:val="5"/>
        <w:tabs>
          <w:tab w:val="left" w:pos="1680"/>
          <w:tab w:val="right" w:leader="dot" w:pos="8722"/>
        </w:tabs>
      </w:pPr>
      <w:r>
        <w:fldChar w:fldCharType="begin"/>
      </w:r>
      <w:r>
        <w:instrText xml:space="preserve"> HYPERLINK \l "_Toc63246001"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面临挑战</w:t>
      </w:r>
      <w:r>
        <w:tab/>
      </w:r>
      <w:r>
        <w:fldChar w:fldCharType="begin"/>
      </w:r>
      <w:r>
        <w:instrText xml:space="preserve"> PAGEREF _Toc63246001 \h </w:instrText>
      </w:r>
      <w:r>
        <w:fldChar w:fldCharType="separate"/>
      </w:r>
      <w:r>
        <w:t>25</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"_Toc63246002" </w:instrText>
      </w:r>
      <w:r>
        <w:fldChar w:fldCharType="separate"/>
      </w:r>
      <w:r>
        <w:rPr>
          <w:rStyle w:val="22"/>
          <w:rFonts w:hint="eastAsia"/>
          <w:color w:val="auto"/>
        </w:rPr>
        <w:t>第三章</w:t>
      </w:r>
      <w:r>
        <w:rPr>
          <w:rFonts w:asciiTheme="minorHAnsi" w:hAnsiTheme="minorHAnsi" w:eastAsiaTheme="minorEastAsia" w:cstheme="minorBidi"/>
          <w:sz w:val="21"/>
          <w:szCs w:val="22"/>
        </w:rPr>
        <w:tab/>
      </w:r>
      <w:r>
        <w:rPr>
          <w:rStyle w:val="22"/>
          <w:rFonts w:hint="eastAsia"/>
          <w:color w:val="auto"/>
        </w:rPr>
        <w:t>指导思想和发展策略</w:t>
      </w:r>
      <w:r>
        <w:tab/>
      </w:r>
      <w:r>
        <w:fldChar w:fldCharType="begin"/>
      </w:r>
      <w:r>
        <w:instrText xml:space="preserve"> PAGEREF _Toc63246002 \h </w:instrText>
      </w:r>
      <w:r>
        <w:fldChar w:fldCharType="separate"/>
      </w:r>
      <w:r>
        <w:t>28</w:t>
      </w:r>
      <w:r>
        <w:fldChar w:fldCharType="end"/>
      </w:r>
      <w:r>
        <w:fldChar w:fldCharType="end"/>
      </w:r>
    </w:p>
    <w:p>
      <w:pPr>
        <w:pStyle w:val="14"/>
        <w:tabs>
          <w:tab w:val="right" w:leader="dot" w:pos="8722"/>
        </w:tabs>
      </w:pPr>
      <w:r>
        <w:fldChar w:fldCharType="begin"/>
      </w:r>
      <w:r>
        <w:instrText xml:space="preserve"> HYPERLINK \l "_Toc63246003" </w:instrText>
      </w:r>
      <w:r>
        <w:fldChar w:fldCharType="separate"/>
      </w:r>
      <w:r>
        <w:rPr>
          <w:rStyle w:val="22"/>
          <w:rFonts w:hint="eastAsia" w:ascii="仿宋" w:hAnsi="仿宋" w:eastAsia="仿宋" w:cs="仿宋"/>
          <w:b/>
          <w:bCs/>
          <w:color w:val="auto"/>
        </w:rPr>
        <w:t>第一节指导思想</w:t>
      </w:r>
      <w:r>
        <w:tab/>
      </w:r>
      <w:r>
        <w:fldChar w:fldCharType="begin"/>
      </w:r>
      <w:r>
        <w:instrText xml:space="preserve"> PAGEREF _Toc63246003 \h </w:instrText>
      </w:r>
      <w:r>
        <w:fldChar w:fldCharType="separate"/>
      </w:r>
      <w:r>
        <w:t>28</w:t>
      </w:r>
      <w:r>
        <w:fldChar w:fldCharType="end"/>
      </w:r>
      <w:r>
        <w:fldChar w:fldCharType="end"/>
      </w:r>
    </w:p>
    <w:p>
      <w:pPr>
        <w:pStyle w:val="14"/>
        <w:tabs>
          <w:tab w:val="right" w:leader="dot" w:pos="8722"/>
        </w:tabs>
      </w:pPr>
      <w:r>
        <w:fldChar w:fldCharType="begin"/>
      </w:r>
      <w:r>
        <w:instrText xml:space="preserve"> HYPERLINK \l "_Toc63246004" </w:instrText>
      </w:r>
      <w:r>
        <w:fldChar w:fldCharType="separate"/>
      </w:r>
      <w:r>
        <w:rPr>
          <w:rStyle w:val="22"/>
          <w:rFonts w:hint="eastAsia" w:ascii="仿宋" w:hAnsi="仿宋" w:eastAsia="仿宋" w:cs="仿宋"/>
          <w:b/>
          <w:bCs/>
          <w:color w:val="auto"/>
        </w:rPr>
        <w:t>第二节规划原则</w:t>
      </w:r>
      <w:r>
        <w:tab/>
      </w:r>
      <w:r>
        <w:fldChar w:fldCharType="begin"/>
      </w:r>
      <w:r>
        <w:instrText xml:space="preserve"> PAGEREF _Toc63246004 \h </w:instrText>
      </w:r>
      <w:r>
        <w:fldChar w:fldCharType="separate"/>
      </w:r>
      <w:r>
        <w:t>29</w:t>
      </w:r>
      <w:r>
        <w:fldChar w:fldCharType="end"/>
      </w:r>
      <w:r>
        <w:fldChar w:fldCharType="end"/>
      </w:r>
    </w:p>
    <w:p>
      <w:pPr>
        <w:pStyle w:val="14"/>
        <w:tabs>
          <w:tab w:val="right" w:leader="dot" w:pos="8722"/>
        </w:tabs>
      </w:pPr>
      <w:r>
        <w:fldChar w:fldCharType="begin"/>
      </w:r>
      <w:r>
        <w:instrText xml:space="preserve"> HYPERLINK \l "_Toc63246005" </w:instrText>
      </w:r>
      <w:r>
        <w:fldChar w:fldCharType="separate"/>
      </w:r>
      <w:r>
        <w:rPr>
          <w:rStyle w:val="22"/>
          <w:rFonts w:hint="eastAsia" w:ascii="仿宋" w:hAnsi="仿宋" w:eastAsia="仿宋" w:cs="仿宋"/>
          <w:b/>
          <w:bCs/>
          <w:color w:val="auto"/>
        </w:rPr>
        <w:t>第三节规划依据</w:t>
      </w:r>
      <w:r>
        <w:tab/>
      </w:r>
      <w:r>
        <w:fldChar w:fldCharType="begin"/>
      </w:r>
      <w:r>
        <w:instrText xml:space="preserve"> PAGEREF _Toc63246005 \h </w:instrText>
      </w:r>
      <w:r>
        <w:fldChar w:fldCharType="separate"/>
      </w:r>
      <w:r>
        <w:t>31</w:t>
      </w:r>
      <w:r>
        <w:fldChar w:fldCharType="end"/>
      </w:r>
      <w:r>
        <w:fldChar w:fldCharType="end"/>
      </w:r>
    </w:p>
    <w:p>
      <w:pPr>
        <w:pStyle w:val="14"/>
        <w:tabs>
          <w:tab w:val="right" w:leader="dot" w:pos="8722"/>
        </w:tabs>
      </w:pPr>
      <w:r>
        <w:fldChar w:fldCharType="begin"/>
      </w:r>
      <w:r>
        <w:instrText xml:space="preserve"> HYPERLINK \l "_Toc63246006" </w:instrText>
      </w:r>
      <w:r>
        <w:fldChar w:fldCharType="separate"/>
      </w:r>
      <w:r>
        <w:rPr>
          <w:rStyle w:val="22"/>
          <w:rFonts w:hint="eastAsia" w:ascii="仿宋" w:hAnsi="仿宋" w:eastAsia="仿宋" w:cs="仿宋"/>
          <w:b/>
          <w:bCs/>
          <w:color w:val="auto"/>
        </w:rPr>
        <w:t>第四节规划策略</w:t>
      </w:r>
      <w:r>
        <w:tab/>
      </w:r>
      <w:r>
        <w:fldChar w:fldCharType="begin"/>
      </w:r>
      <w:r>
        <w:instrText xml:space="preserve"> PAGEREF _Toc63246006 \h </w:instrText>
      </w:r>
      <w:r>
        <w:fldChar w:fldCharType="separate"/>
      </w:r>
      <w:r>
        <w:t>32</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"_Toc63246007" </w:instrText>
      </w:r>
      <w:r>
        <w:fldChar w:fldCharType="separate"/>
      </w:r>
      <w:r>
        <w:rPr>
          <w:rStyle w:val="22"/>
          <w:rFonts w:hint="eastAsia"/>
          <w:color w:val="auto"/>
        </w:rPr>
        <w:t>第四章</w:t>
      </w:r>
      <w:r>
        <w:rPr>
          <w:rFonts w:asciiTheme="minorHAnsi" w:hAnsiTheme="minorHAnsi" w:eastAsiaTheme="minorEastAsia" w:cstheme="minorBidi"/>
          <w:sz w:val="21"/>
          <w:szCs w:val="22"/>
        </w:rPr>
        <w:tab/>
      </w:r>
      <w:r>
        <w:rPr>
          <w:rStyle w:val="22"/>
          <w:rFonts w:hint="eastAsia"/>
          <w:color w:val="auto"/>
        </w:rPr>
        <w:t>体系和目标</w:t>
      </w:r>
      <w:r>
        <w:tab/>
      </w:r>
      <w:r>
        <w:fldChar w:fldCharType="begin"/>
      </w:r>
      <w:r>
        <w:instrText xml:space="preserve"> PAGEREF _Toc63246007 \h </w:instrText>
      </w:r>
      <w:r>
        <w:fldChar w:fldCharType="separate"/>
      </w:r>
      <w:r>
        <w:t>35</w:t>
      </w:r>
      <w:r>
        <w:fldChar w:fldCharType="end"/>
      </w:r>
      <w:r>
        <w:fldChar w:fldCharType="end"/>
      </w:r>
    </w:p>
    <w:p>
      <w:pPr>
        <w:pStyle w:val="14"/>
        <w:tabs>
          <w:tab w:val="right" w:leader="dot" w:pos="8722"/>
        </w:tabs>
      </w:pPr>
      <w:r>
        <w:fldChar w:fldCharType="begin"/>
      </w:r>
      <w:r>
        <w:instrText xml:space="preserve"> HYPERLINK \l "_Toc63246008" </w:instrText>
      </w:r>
      <w:r>
        <w:fldChar w:fldCharType="separate"/>
      </w:r>
      <w:r>
        <w:rPr>
          <w:rStyle w:val="22"/>
          <w:rFonts w:hint="eastAsia" w:ascii="仿宋" w:hAnsi="仿宋" w:eastAsia="仿宋" w:cs="仿宋"/>
          <w:b/>
          <w:bCs/>
          <w:color w:val="auto"/>
        </w:rPr>
        <w:t>第一节 体系构建</w:t>
      </w:r>
      <w:r>
        <w:tab/>
      </w:r>
      <w:r>
        <w:fldChar w:fldCharType="begin"/>
      </w:r>
      <w:r>
        <w:instrText xml:space="preserve"> PAGEREF _Toc63246008 \h </w:instrText>
      </w:r>
      <w:r>
        <w:fldChar w:fldCharType="separate"/>
      </w:r>
      <w:r>
        <w:t>35</w:t>
      </w:r>
      <w:r>
        <w:fldChar w:fldCharType="end"/>
      </w:r>
      <w:r>
        <w:fldChar w:fldCharType="end"/>
      </w:r>
    </w:p>
    <w:p>
      <w:pPr>
        <w:pStyle w:val="14"/>
        <w:tabs>
          <w:tab w:val="right" w:leader="dot" w:pos="8722"/>
        </w:tabs>
      </w:pPr>
      <w:r>
        <w:fldChar w:fldCharType="begin"/>
      </w:r>
      <w:r>
        <w:instrText xml:space="preserve"> HYPERLINK \l "_Toc63246009" </w:instrText>
      </w:r>
      <w:r>
        <w:fldChar w:fldCharType="separate"/>
      </w:r>
      <w:r>
        <w:rPr>
          <w:rStyle w:val="22"/>
          <w:rFonts w:hint="eastAsia" w:ascii="仿宋" w:hAnsi="仿宋" w:eastAsia="仿宋" w:cs="仿宋"/>
          <w:b/>
          <w:bCs/>
          <w:color w:val="auto"/>
        </w:rPr>
        <w:t>第二节 定位目标</w:t>
      </w:r>
      <w:r>
        <w:tab/>
      </w:r>
      <w:r>
        <w:fldChar w:fldCharType="begin"/>
      </w:r>
      <w:r>
        <w:instrText xml:space="preserve"> PAGEREF _Toc63246009 \h </w:instrText>
      </w:r>
      <w:r>
        <w:fldChar w:fldCharType="separate"/>
      </w:r>
      <w:r>
        <w:t>38</w:t>
      </w:r>
      <w:r>
        <w:fldChar w:fldCharType="end"/>
      </w:r>
      <w:r>
        <w:fldChar w:fldCharType="end"/>
      </w:r>
    </w:p>
    <w:p>
      <w:pPr>
        <w:pStyle w:val="14"/>
        <w:tabs>
          <w:tab w:val="right" w:leader="dot" w:pos="8722"/>
        </w:tabs>
      </w:pPr>
      <w:r>
        <w:fldChar w:fldCharType="begin"/>
      </w:r>
      <w:r>
        <w:instrText xml:space="preserve"> HYPERLINK \l "_Toc63246010" </w:instrText>
      </w:r>
      <w:r>
        <w:fldChar w:fldCharType="separate"/>
      </w:r>
      <w:r>
        <w:rPr>
          <w:rStyle w:val="22"/>
          <w:rFonts w:hint="eastAsia" w:ascii="仿宋" w:hAnsi="仿宋" w:eastAsia="仿宋" w:cs="仿宋"/>
          <w:color w:val="auto"/>
        </w:rPr>
        <w:t>南昌市城市管理“十四五”规划指标表</w:t>
      </w:r>
      <w:r>
        <w:tab/>
      </w:r>
      <w:r>
        <w:fldChar w:fldCharType="begin"/>
      </w:r>
      <w:r>
        <w:instrText xml:space="preserve"> PAGEREF _Toc63246010 \h </w:instrText>
      </w:r>
      <w:r>
        <w:fldChar w:fldCharType="separate"/>
      </w:r>
      <w:r>
        <w:t>42</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"_Toc63246011" </w:instrText>
      </w:r>
      <w:r>
        <w:fldChar w:fldCharType="separate"/>
      </w:r>
      <w:r>
        <w:rPr>
          <w:rStyle w:val="22"/>
          <w:rFonts w:hint="eastAsia"/>
          <w:color w:val="auto"/>
        </w:rPr>
        <w:t>第五章</w:t>
      </w:r>
      <w:r>
        <w:rPr>
          <w:rFonts w:asciiTheme="minorHAnsi" w:hAnsiTheme="minorHAnsi" w:eastAsiaTheme="minorEastAsia" w:cstheme="minorBidi"/>
          <w:sz w:val="21"/>
          <w:szCs w:val="22"/>
        </w:rPr>
        <w:tab/>
      </w:r>
      <w:r>
        <w:rPr>
          <w:rStyle w:val="22"/>
          <w:rFonts w:hint="eastAsia"/>
          <w:color w:val="auto"/>
        </w:rPr>
        <w:t>重点发展任务</w:t>
      </w:r>
      <w:r>
        <w:tab/>
      </w:r>
      <w:r>
        <w:fldChar w:fldCharType="begin"/>
      </w:r>
      <w:r>
        <w:instrText xml:space="preserve"> PAGEREF _Toc63246011 \h </w:instrText>
      </w:r>
      <w:r>
        <w:fldChar w:fldCharType="separate"/>
      </w:r>
      <w:r>
        <w:t>45</w:t>
      </w:r>
      <w:r>
        <w:fldChar w:fldCharType="end"/>
      </w:r>
      <w:r>
        <w:fldChar w:fldCharType="end"/>
      </w:r>
    </w:p>
    <w:p>
      <w:pPr>
        <w:pStyle w:val="14"/>
        <w:tabs>
          <w:tab w:val="right" w:leader="dot" w:pos="8722"/>
        </w:tabs>
      </w:pPr>
      <w:r>
        <w:fldChar w:fldCharType="begin"/>
      </w:r>
      <w:r>
        <w:instrText xml:space="preserve"> HYPERLINK \l "_Toc63246012" </w:instrText>
      </w:r>
      <w:r>
        <w:fldChar w:fldCharType="separate"/>
      </w:r>
      <w:r>
        <w:rPr>
          <w:rStyle w:val="22"/>
          <w:rFonts w:hint="eastAsia" w:ascii="仿宋" w:hAnsi="仿宋" w:eastAsia="仿宋" w:cs="仿宋"/>
          <w:b/>
          <w:bCs/>
          <w:color w:val="auto"/>
        </w:rPr>
        <w:t>第一节创新现代城市治理体系</w:t>
      </w:r>
      <w:r>
        <w:tab/>
      </w:r>
      <w:r>
        <w:fldChar w:fldCharType="begin"/>
      </w:r>
      <w:r>
        <w:instrText xml:space="preserve"> PAGEREF _Toc63246012 \h </w:instrText>
      </w:r>
      <w:r>
        <w:fldChar w:fldCharType="separate"/>
      </w:r>
      <w:r>
        <w:t>45</w:t>
      </w:r>
      <w:r>
        <w:fldChar w:fldCharType="end"/>
      </w:r>
      <w:r>
        <w:fldChar w:fldCharType="end"/>
      </w:r>
    </w:p>
    <w:p>
      <w:pPr>
        <w:pStyle w:val="5"/>
        <w:tabs>
          <w:tab w:val="left" w:pos="1680"/>
          <w:tab w:val="right" w:leader="dot" w:pos="8722"/>
        </w:tabs>
      </w:pPr>
      <w:r>
        <w:fldChar w:fldCharType="begin"/>
      </w:r>
      <w:r>
        <w:instrText xml:space="preserve"> HYPERLINK \l "_Toc63246013"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明确功能和职责、构筑大城管格局</w:t>
      </w:r>
      <w:r>
        <w:tab/>
      </w:r>
      <w:r>
        <w:fldChar w:fldCharType="begin"/>
      </w:r>
      <w:r>
        <w:instrText xml:space="preserve"> PAGEREF _Toc63246013 \h </w:instrText>
      </w:r>
      <w:r>
        <w:fldChar w:fldCharType="separate"/>
      </w:r>
      <w:r>
        <w:t>45</w:t>
      </w:r>
      <w:r>
        <w:fldChar w:fldCharType="end"/>
      </w:r>
      <w:r>
        <w:fldChar w:fldCharType="end"/>
      </w:r>
    </w:p>
    <w:p>
      <w:pPr>
        <w:pStyle w:val="5"/>
        <w:tabs>
          <w:tab w:val="left" w:pos="1680"/>
          <w:tab w:val="right" w:leader="dot" w:pos="8722"/>
        </w:tabs>
      </w:pPr>
      <w:r>
        <w:fldChar w:fldCharType="begin"/>
      </w:r>
      <w:r>
        <w:instrText xml:space="preserve"> HYPERLINK \l "_Toc63246014"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合理编制规划、加强规划引领</w:t>
      </w:r>
      <w:r>
        <w:tab/>
      </w:r>
      <w:r>
        <w:fldChar w:fldCharType="begin"/>
      </w:r>
      <w:r>
        <w:instrText xml:space="preserve"> PAGEREF _Toc63246014 \h </w:instrText>
      </w:r>
      <w:r>
        <w:fldChar w:fldCharType="separate"/>
      </w:r>
      <w:r>
        <w:t>47</w:t>
      </w:r>
      <w:r>
        <w:fldChar w:fldCharType="end"/>
      </w:r>
      <w:r>
        <w:fldChar w:fldCharType="end"/>
      </w:r>
    </w:p>
    <w:p>
      <w:pPr>
        <w:pStyle w:val="5"/>
        <w:tabs>
          <w:tab w:val="left" w:pos="1680"/>
          <w:tab w:val="right" w:leader="dot" w:pos="8722"/>
        </w:tabs>
      </w:pPr>
      <w:r>
        <w:fldChar w:fldCharType="begin"/>
      </w:r>
      <w:r>
        <w:instrText xml:space="preserve"> HYPERLINK \l "_Toc63246015" </w:instrText>
      </w:r>
      <w:r>
        <w:fldChar w:fldCharType="separate"/>
      </w:r>
      <w:r>
        <w:rPr>
          <w:rStyle w:val="22"/>
          <w:rFonts w:hint="eastAsia"/>
          <w:b/>
          <w:bCs/>
          <w:color w:val="auto"/>
        </w:rPr>
        <w:t>三、</w:t>
      </w:r>
      <w:r>
        <w:tab/>
      </w:r>
      <w:r>
        <w:rPr>
          <w:rStyle w:val="22"/>
          <w:rFonts w:hint="eastAsia" w:ascii="仿宋" w:hAnsi="仿宋" w:eastAsia="仿宋" w:cs="仿宋"/>
          <w:b/>
          <w:color w:val="auto"/>
        </w:rPr>
        <w:t>完善法律法规和标准体系</w:t>
      </w:r>
      <w:r>
        <w:tab/>
      </w:r>
      <w:r>
        <w:fldChar w:fldCharType="begin"/>
      </w:r>
      <w:r>
        <w:instrText xml:space="preserve"> PAGEREF _Toc63246015 \h </w:instrText>
      </w:r>
      <w:r>
        <w:fldChar w:fldCharType="separate"/>
      </w:r>
      <w:r>
        <w:t>48</w:t>
      </w:r>
      <w:r>
        <w:fldChar w:fldCharType="end"/>
      </w:r>
      <w:r>
        <w:fldChar w:fldCharType="end"/>
      </w:r>
    </w:p>
    <w:p>
      <w:pPr>
        <w:pStyle w:val="5"/>
        <w:tabs>
          <w:tab w:val="left" w:pos="1680"/>
          <w:tab w:val="right" w:leader="dot" w:pos="8722"/>
        </w:tabs>
      </w:pPr>
      <w:r>
        <w:fldChar w:fldCharType="begin"/>
      </w:r>
      <w:r>
        <w:instrText xml:space="preserve"> HYPERLINK \l "_Toc63246016" </w:instrText>
      </w:r>
      <w:r>
        <w:fldChar w:fldCharType="separate"/>
      </w:r>
      <w:r>
        <w:rPr>
          <w:rStyle w:val="22"/>
          <w:rFonts w:hint="eastAsia" w:ascii="仿宋" w:hAnsi="仿宋" w:eastAsia="仿宋" w:cs="仿宋"/>
          <w:b/>
          <w:color w:val="auto"/>
        </w:rPr>
        <w:t>四、</w:t>
      </w:r>
      <w:r>
        <w:tab/>
      </w:r>
      <w:r>
        <w:rPr>
          <w:rStyle w:val="22"/>
          <w:rFonts w:hint="eastAsia" w:ascii="仿宋" w:hAnsi="仿宋" w:eastAsia="仿宋" w:cs="仿宋"/>
          <w:b/>
          <w:color w:val="auto"/>
        </w:rPr>
        <w:t>推进城市管理体制机制改革</w:t>
      </w:r>
      <w:r>
        <w:tab/>
      </w:r>
      <w:r>
        <w:fldChar w:fldCharType="begin"/>
      </w:r>
      <w:r>
        <w:instrText xml:space="preserve"> PAGEREF _Toc63246016 \h </w:instrText>
      </w:r>
      <w:r>
        <w:fldChar w:fldCharType="separate"/>
      </w:r>
      <w:r>
        <w:t>49</w:t>
      </w:r>
      <w:r>
        <w:fldChar w:fldCharType="end"/>
      </w:r>
      <w:r>
        <w:fldChar w:fldCharType="end"/>
      </w:r>
    </w:p>
    <w:p>
      <w:pPr>
        <w:pStyle w:val="5"/>
        <w:tabs>
          <w:tab w:val="left" w:pos="1680"/>
          <w:tab w:val="right" w:leader="dot" w:pos="8722"/>
        </w:tabs>
      </w:pPr>
      <w:r>
        <w:fldChar w:fldCharType="begin"/>
      </w:r>
      <w:r>
        <w:instrText xml:space="preserve"> HYPERLINK \l "_Toc63246017" </w:instrText>
      </w:r>
      <w:r>
        <w:fldChar w:fldCharType="separate"/>
      </w:r>
      <w:r>
        <w:rPr>
          <w:rStyle w:val="22"/>
          <w:rFonts w:hint="eastAsia" w:ascii="仿宋" w:hAnsi="仿宋" w:eastAsia="仿宋" w:cs="仿宋"/>
          <w:b/>
          <w:color w:val="auto"/>
        </w:rPr>
        <w:t>五、</w:t>
      </w:r>
      <w:r>
        <w:tab/>
      </w:r>
      <w:r>
        <w:rPr>
          <w:rStyle w:val="22"/>
          <w:rFonts w:hint="eastAsia" w:ascii="仿宋" w:hAnsi="仿宋" w:eastAsia="仿宋" w:cs="仿宋"/>
          <w:b/>
          <w:color w:val="auto"/>
        </w:rPr>
        <w:t>创新城市治理机制</w:t>
      </w:r>
      <w:r>
        <w:tab/>
      </w:r>
      <w:r>
        <w:fldChar w:fldCharType="begin"/>
      </w:r>
      <w:r>
        <w:instrText xml:space="preserve"> PAGEREF _Toc63246017 \h </w:instrText>
      </w:r>
      <w:r>
        <w:fldChar w:fldCharType="separate"/>
      </w:r>
      <w:r>
        <w:t>52</w:t>
      </w:r>
      <w:r>
        <w:fldChar w:fldCharType="end"/>
      </w:r>
      <w:r>
        <w:fldChar w:fldCharType="end"/>
      </w:r>
    </w:p>
    <w:p>
      <w:pPr>
        <w:pStyle w:val="5"/>
        <w:tabs>
          <w:tab w:val="left" w:pos="1680"/>
          <w:tab w:val="right" w:leader="dot" w:pos="8722"/>
        </w:tabs>
      </w:pPr>
      <w:r>
        <w:fldChar w:fldCharType="begin"/>
      </w:r>
      <w:r>
        <w:instrText xml:space="preserve"> HYPERLINK \l "_Toc63246018" </w:instrText>
      </w:r>
      <w:r>
        <w:fldChar w:fldCharType="separate"/>
      </w:r>
      <w:r>
        <w:rPr>
          <w:rStyle w:val="22"/>
          <w:rFonts w:hint="eastAsia" w:ascii="仿宋" w:hAnsi="仿宋" w:eastAsia="仿宋" w:cs="仿宋"/>
          <w:b/>
          <w:color w:val="auto"/>
        </w:rPr>
        <w:t>六、</w:t>
      </w:r>
      <w:r>
        <w:tab/>
      </w:r>
      <w:r>
        <w:rPr>
          <w:rStyle w:val="22"/>
          <w:rFonts w:hint="eastAsia" w:ascii="仿宋" w:hAnsi="仿宋" w:eastAsia="仿宋" w:cs="仿宋"/>
          <w:b/>
          <w:color w:val="auto"/>
        </w:rPr>
        <w:t>提升智慧城管水平</w:t>
      </w:r>
      <w:r>
        <w:tab/>
      </w:r>
      <w:r>
        <w:fldChar w:fldCharType="begin"/>
      </w:r>
      <w:r>
        <w:instrText xml:space="preserve"> PAGEREF _Toc63246018 \h </w:instrText>
      </w:r>
      <w:r>
        <w:fldChar w:fldCharType="separate"/>
      </w:r>
      <w:r>
        <w:t>54</w:t>
      </w:r>
      <w:r>
        <w:fldChar w:fldCharType="end"/>
      </w:r>
      <w:r>
        <w:fldChar w:fldCharType="end"/>
      </w:r>
    </w:p>
    <w:p>
      <w:pPr>
        <w:pStyle w:val="14"/>
        <w:tabs>
          <w:tab w:val="right" w:leader="dot" w:pos="8722"/>
        </w:tabs>
      </w:pPr>
      <w:r>
        <w:fldChar w:fldCharType="begin"/>
      </w:r>
      <w:r>
        <w:instrText xml:space="preserve"> HYPERLINK \l "_Toc63246019" </w:instrText>
      </w:r>
      <w:r>
        <w:fldChar w:fldCharType="separate"/>
      </w:r>
      <w:r>
        <w:rPr>
          <w:rStyle w:val="22"/>
          <w:rFonts w:hint="eastAsia" w:ascii="仿宋" w:hAnsi="仿宋" w:eastAsia="仿宋" w:cs="仿宋"/>
          <w:b/>
          <w:bCs/>
          <w:color w:val="auto"/>
        </w:rPr>
        <w:t>第二节打造清爽靓丽市容秩序</w:t>
      </w:r>
      <w:r>
        <w:tab/>
      </w:r>
      <w:r>
        <w:fldChar w:fldCharType="begin"/>
      </w:r>
      <w:r>
        <w:instrText xml:space="preserve"> PAGEREF _Toc63246019 \h </w:instrText>
      </w:r>
      <w:r>
        <w:fldChar w:fldCharType="separate"/>
      </w:r>
      <w:r>
        <w:t>62</w:t>
      </w:r>
      <w:r>
        <w:fldChar w:fldCharType="end"/>
      </w:r>
      <w:r>
        <w:fldChar w:fldCharType="end"/>
      </w:r>
    </w:p>
    <w:p>
      <w:pPr>
        <w:pStyle w:val="5"/>
        <w:tabs>
          <w:tab w:val="left" w:pos="1680"/>
          <w:tab w:val="right" w:leader="dot" w:pos="8722"/>
        </w:tabs>
      </w:pPr>
      <w:r>
        <w:fldChar w:fldCharType="begin"/>
      </w:r>
      <w:r>
        <w:instrText xml:space="preserve"> HYPERLINK \l "_Toc63246020"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靓化城市容貌</w:t>
      </w:r>
      <w:r>
        <w:tab/>
      </w:r>
      <w:r>
        <w:fldChar w:fldCharType="begin"/>
      </w:r>
      <w:r>
        <w:instrText xml:space="preserve"> PAGEREF _Toc63246020 \h </w:instrText>
      </w:r>
      <w:r>
        <w:fldChar w:fldCharType="separate"/>
      </w:r>
      <w:r>
        <w:t>62</w:t>
      </w:r>
      <w:r>
        <w:fldChar w:fldCharType="end"/>
      </w:r>
      <w:r>
        <w:fldChar w:fldCharType="end"/>
      </w:r>
    </w:p>
    <w:p>
      <w:pPr>
        <w:pStyle w:val="5"/>
        <w:tabs>
          <w:tab w:val="left" w:pos="1680"/>
          <w:tab w:val="right" w:leader="dot" w:pos="8722"/>
        </w:tabs>
      </w:pPr>
      <w:r>
        <w:fldChar w:fldCharType="begin"/>
      </w:r>
      <w:r>
        <w:instrText xml:space="preserve"> HYPERLINK \l "_Toc63246021"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提高城市亮化</w:t>
      </w:r>
      <w:r>
        <w:tab/>
      </w:r>
      <w:r>
        <w:fldChar w:fldCharType="begin"/>
      </w:r>
      <w:r>
        <w:instrText xml:space="preserve"> PAGEREF _Toc63246021 \h </w:instrText>
      </w:r>
      <w:r>
        <w:fldChar w:fldCharType="separate"/>
      </w:r>
      <w:r>
        <w:t>64</w:t>
      </w:r>
      <w:r>
        <w:fldChar w:fldCharType="end"/>
      </w:r>
      <w:r>
        <w:fldChar w:fldCharType="end"/>
      </w:r>
    </w:p>
    <w:p>
      <w:pPr>
        <w:pStyle w:val="5"/>
        <w:tabs>
          <w:tab w:val="left" w:pos="1680"/>
          <w:tab w:val="right" w:leader="dot" w:pos="8722"/>
        </w:tabs>
      </w:pPr>
      <w:r>
        <w:fldChar w:fldCharType="begin"/>
      </w:r>
      <w:r>
        <w:instrText xml:space="preserve"> HYPERLINK \l "_Toc63246022" </w:instrText>
      </w:r>
      <w:r>
        <w:fldChar w:fldCharType="separate"/>
      </w:r>
      <w:r>
        <w:rPr>
          <w:rStyle w:val="22"/>
          <w:rFonts w:hint="eastAsia" w:ascii="仿宋" w:hAnsi="仿宋" w:eastAsia="仿宋" w:cs="仿宋"/>
          <w:b/>
          <w:color w:val="auto"/>
        </w:rPr>
        <w:t>三、</w:t>
      </w:r>
      <w:r>
        <w:tab/>
      </w:r>
      <w:r>
        <w:rPr>
          <w:rStyle w:val="22"/>
          <w:rFonts w:hint="eastAsia" w:ascii="仿宋" w:hAnsi="仿宋" w:eastAsia="仿宋" w:cs="仿宋"/>
          <w:b/>
          <w:color w:val="auto"/>
        </w:rPr>
        <w:t>优化社区环境</w:t>
      </w:r>
      <w:r>
        <w:tab/>
      </w:r>
      <w:r>
        <w:fldChar w:fldCharType="begin"/>
      </w:r>
      <w:r>
        <w:instrText xml:space="preserve"> PAGEREF _Toc63246022 \h </w:instrText>
      </w:r>
      <w:r>
        <w:fldChar w:fldCharType="separate"/>
      </w:r>
      <w:r>
        <w:t>67</w:t>
      </w:r>
      <w:r>
        <w:fldChar w:fldCharType="end"/>
      </w:r>
      <w:r>
        <w:fldChar w:fldCharType="end"/>
      </w:r>
    </w:p>
    <w:p>
      <w:pPr>
        <w:pStyle w:val="14"/>
        <w:tabs>
          <w:tab w:val="right" w:leader="dot" w:pos="8722"/>
        </w:tabs>
      </w:pPr>
      <w:r>
        <w:fldChar w:fldCharType="begin"/>
      </w:r>
      <w:r>
        <w:instrText xml:space="preserve"> HYPERLINK \l "_Toc63246023" </w:instrText>
      </w:r>
      <w:r>
        <w:fldChar w:fldCharType="separate"/>
      </w:r>
      <w:r>
        <w:rPr>
          <w:rStyle w:val="22"/>
          <w:rFonts w:hint="eastAsia" w:ascii="仿宋" w:hAnsi="仿宋" w:eastAsia="仿宋" w:cs="仿宋"/>
          <w:b/>
          <w:bCs/>
          <w:color w:val="auto"/>
        </w:rPr>
        <w:t>第三节打造干净整洁城市环境</w:t>
      </w:r>
      <w:r>
        <w:tab/>
      </w:r>
      <w:r>
        <w:fldChar w:fldCharType="begin"/>
      </w:r>
      <w:r>
        <w:instrText xml:space="preserve"> PAGEREF _Toc63246023 \h </w:instrText>
      </w:r>
      <w:r>
        <w:fldChar w:fldCharType="separate"/>
      </w:r>
      <w:r>
        <w:t>69</w:t>
      </w:r>
      <w:r>
        <w:fldChar w:fldCharType="end"/>
      </w:r>
      <w:r>
        <w:fldChar w:fldCharType="end"/>
      </w:r>
    </w:p>
    <w:p>
      <w:pPr>
        <w:pStyle w:val="5"/>
        <w:tabs>
          <w:tab w:val="left" w:pos="1680"/>
          <w:tab w:val="right" w:leader="dot" w:pos="8722"/>
        </w:tabs>
      </w:pPr>
      <w:r>
        <w:fldChar w:fldCharType="begin"/>
      </w:r>
      <w:r>
        <w:instrText xml:space="preserve"> HYPERLINK \l "_Toc63246024"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提升环卫保洁水平</w:t>
      </w:r>
      <w:r>
        <w:tab/>
      </w:r>
      <w:r>
        <w:fldChar w:fldCharType="begin"/>
      </w:r>
      <w:r>
        <w:instrText xml:space="preserve"> PAGEREF _Toc63246024 \h </w:instrText>
      </w:r>
      <w:r>
        <w:fldChar w:fldCharType="separate"/>
      </w:r>
      <w:r>
        <w:t>70</w:t>
      </w:r>
      <w:r>
        <w:fldChar w:fldCharType="end"/>
      </w:r>
      <w:r>
        <w:fldChar w:fldCharType="end"/>
      </w:r>
    </w:p>
    <w:p>
      <w:pPr>
        <w:pStyle w:val="5"/>
        <w:tabs>
          <w:tab w:val="left" w:pos="1680"/>
          <w:tab w:val="right" w:leader="dot" w:pos="8722"/>
        </w:tabs>
      </w:pPr>
      <w:r>
        <w:fldChar w:fldCharType="begin"/>
      </w:r>
      <w:r>
        <w:instrText xml:space="preserve"> HYPERLINK \l "_Toc63246025"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加快垃圾综合治理</w:t>
      </w:r>
      <w:r>
        <w:tab/>
      </w:r>
      <w:r>
        <w:fldChar w:fldCharType="begin"/>
      </w:r>
      <w:r>
        <w:instrText xml:space="preserve"> PAGEREF _Toc63246025 \h </w:instrText>
      </w:r>
      <w:r>
        <w:fldChar w:fldCharType="separate"/>
      </w:r>
      <w:r>
        <w:t>71</w:t>
      </w:r>
      <w:r>
        <w:fldChar w:fldCharType="end"/>
      </w:r>
      <w:r>
        <w:fldChar w:fldCharType="end"/>
      </w:r>
    </w:p>
    <w:p>
      <w:pPr>
        <w:pStyle w:val="5"/>
        <w:tabs>
          <w:tab w:val="left" w:pos="1680"/>
          <w:tab w:val="right" w:leader="dot" w:pos="8722"/>
        </w:tabs>
      </w:pPr>
      <w:r>
        <w:fldChar w:fldCharType="begin"/>
      </w:r>
      <w:r>
        <w:instrText xml:space="preserve"> HYPERLINK \l "_Toc63246026" </w:instrText>
      </w:r>
      <w:r>
        <w:fldChar w:fldCharType="separate"/>
      </w:r>
      <w:r>
        <w:rPr>
          <w:rStyle w:val="22"/>
          <w:rFonts w:hint="eastAsia" w:ascii="仿宋" w:hAnsi="仿宋" w:eastAsia="仿宋" w:cs="仿宋"/>
          <w:b/>
          <w:color w:val="auto"/>
        </w:rPr>
        <w:t>三、</w:t>
      </w:r>
      <w:r>
        <w:tab/>
      </w:r>
      <w:r>
        <w:rPr>
          <w:rStyle w:val="22"/>
          <w:rFonts w:hint="eastAsia" w:ascii="仿宋" w:hAnsi="仿宋" w:eastAsia="仿宋" w:cs="仿宋"/>
          <w:b/>
          <w:color w:val="auto"/>
        </w:rPr>
        <w:t>改善公厕服务质量</w:t>
      </w:r>
      <w:r>
        <w:tab/>
      </w:r>
      <w:r>
        <w:fldChar w:fldCharType="begin"/>
      </w:r>
      <w:r>
        <w:instrText xml:space="preserve"> PAGEREF _Toc63246026 \h </w:instrText>
      </w:r>
      <w:r>
        <w:fldChar w:fldCharType="separate"/>
      </w:r>
      <w:r>
        <w:t>74</w:t>
      </w:r>
      <w:r>
        <w:fldChar w:fldCharType="end"/>
      </w:r>
      <w:r>
        <w:fldChar w:fldCharType="end"/>
      </w:r>
    </w:p>
    <w:p>
      <w:pPr>
        <w:pStyle w:val="5"/>
        <w:tabs>
          <w:tab w:val="left" w:pos="1680"/>
          <w:tab w:val="right" w:leader="dot" w:pos="8722"/>
        </w:tabs>
      </w:pPr>
      <w:r>
        <w:fldChar w:fldCharType="begin"/>
      </w:r>
      <w:r>
        <w:instrText xml:space="preserve"> HYPERLINK \l "_Toc63246027" </w:instrText>
      </w:r>
      <w:r>
        <w:fldChar w:fldCharType="separate"/>
      </w:r>
      <w:r>
        <w:rPr>
          <w:rStyle w:val="22"/>
          <w:rFonts w:hint="eastAsia" w:ascii="仿宋" w:hAnsi="仿宋" w:eastAsia="仿宋" w:cs="仿宋"/>
          <w:b/>
          <w:color w:val="auto"/>
        </w:rPr>
        <w:t>四、</w:t>
      </w:r>
      <w:r>
        <w:tab/>
      </w:r>
      <w:r>
        <w:rPr>
          <w:rStyle w:val="22"/>
          <w:rFonts w:hint="eastAsia" w:ascii="仿宋" w:hAnsi="仿宋" w:eastAsia="仿宋" w:cs="仿宋"/>
          <w:b/>
          <w:color w:val="auto"/>
        </w:rPr>
        <w:t>健全环卫行业管理</w:t>
      </w:r>
      <w:r>
        <w:tab/>
      </w:r>
      <w:r>
        <w:fldChar w:fldCharType="begin"/>
      </w:r>
      <w:r>
        <w:instrText xml:space="preserve"> PAGEREF _Toc63246027 \h </w:instrText>
      </w:r>
      <w:r>
        <w:fldChar w:fldCharType="separate"/>
      </w:r>
      <w:r>
        <w:t>75</w:t>
      </w:r>
      <w:r>
        <w:fldChar w:fldCharType="end"/>
      </w:r>
      <w:r>
        <w:fldChar w:fldCharType="end"/>
      </w:r>
    </w:p>
    <w:p>
      <w:pPr>
        <w:pStyle w:val="5"/>
        <w:tabs>
          <w:tab w:val="left" w:pos="1680"/>
          <w:tab w:val="right" w:leader="dot" w:pos="8722"/>
        </w:tabs>
      </w:pPr>
      <w:r>
        <w:fldChar w:fldCharType="begin"/>
      </w:r>
      <w:r>
        <w:instrText xml:space="preserve"> HYPERLINK \l "_Toc63246028" </w:instrText>
      </w:r>
      <w:r>
        <w:fldChar w:fldCharType="separate"/>
      </w:r>
      <w:r>
        <w:rPr>
          <w:rStyle w:val="22"/>
          <w:rFonts w:hint="eastAsia" w:ascii="仿宋" w:hAnsi="仿宋" w:eastAsia="仿宋" w:cs="仿宋"/>
          <w:b/>
          <w:color w:val="auto"/>
        </w:rPr>
        <w:t>五、</w:t>
      </w:r>
      <w:r>
        <w:tab/>
      </w:r>
      <w:r>
        <w:rPr>
          <w:rStyle w:val="22"/>
          <w:rFonts w:hint="eastAsia" w:ascii="仿宋" w:hAnsi="仿宋" w:eastAsia="仿宋" w:cs="仿宋"/>
          <w:b/>
          <w:color w:val="auto"/>
        </w:rPr>
        <w:t>推进大气环境治理</w:t>
      </w:r>
      <w:r>
        <w:tab/>
      </w:r>
      <w:r>
        <w:fldChar w:fldCharType="begin"/>
      </w:r>
      <w:r>
        <w:instrText xml:space="preserve"> PAGEREF _Toc63246028 \h </w:instrText>
      </w:r>
      <w:r>
        <w:fldChar w:fldCharType="separate"/>
      </w:r>
      <w:r>
        <w:t>77</w:t>
      </w:r>
      <w:r>
        <w:fldChar w:fldCharType="end"/>
      </w:r>
      <w:r>
        <w:fldChar w:fldCharType="end"/>
      </w:r>
    </w:p>
    <w:p>
      <w:pPr>
        <w:pStyle w:val="14"/>
        <w:tabs>
          <w:tab w:val="right" w:leader="dot" w:pos="8722"/>
        </w:tabs>
      </w:pPr>
      <w:r>
        <w:fldChar w:fldCharType="begin"/>
      </w:r>
      <w:r>
        <w:instrText xml:space="preserve"> HYPERLINK \l "_Toc63246029" </w:instrText>
      </w:r>
      <w:r>
        <w:fldChar w:fldCharType="separate"/>
      </w:r>
      <w:r>
        <w:rPr>
          <w:rStyle w:val="22"/>
          <w:rFonts w:hint="eastAsia" w:ascii="仿宋" w:hAnsi="仿宋" w:eastAsia="仿宋" w:cs="仿宋"/>
          <w:b/>
          <w:bCs/>
          <w:color w:val="auto"/>
        </w:rPr>
        <w:t>第四节营造公园城市品质特色</w:t>
      </w:r>
      <w:r>
        <w:tab/>
      </w:r>
      <w:r>
        <w:fldChar w:fldCharType="begin"/>
      </w:r>
      <w:r>
        <w:instrText xml:space="preserve"> PAGEREF _Toc63246029 \h </w:instrText>
      </w:r>
      <w:r>
        <w:fldChar w:fldCharType="separate"/>
      </w:r>
      <w:r>
        <w:t>79</w:t>
      </w:r>
      <w:r>
        <w:fldChar w:fldCharType="end"/>
      </w:r>
      <w:r>
        <w:fldChar w:fldCharType="end"/>
      </w:r>
    </w:p>
    <w:p>
      <w:pPr>
        <w:pStyle w:val="5"/>
        <w:tabs>
          <w:tab w:val="left" w:pos="1680"/>
          <w:tab w:val="right" w:leader="dot" w:pos="8722"/>
        </w:tabs>
      </w:pPr>
      <w:r>
        <w:fldChar w:fldCharType="begin"/>
      </w:r>
      <w:r>
        <w:instrText xml:space="preserve"> HYPERLINK \l "_Toc63246030"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统筹总体结构布局</w:t>
      </w:r>
      <w:r>
        <w:tab/>
      </w:r>
      <w:r>
        <w:fldChar w:fldCharType="begin"/>
      </w:r>
      <w:r>
        <w:instrText xml:space="preserve"> PAGEREF _Toc63246030 \h </w:instrText>
      </w:r>
      <w:r>
        <w:fldChar w:fldCharType="separate"/>
      </w:r>
      <w:r>
        <w:t>79</w:t>
      </w:r>
      <w:r>
        <w:fldChar w:fldCharType="end"/>
      </w:r>
      <w:r>
        <w:fldChar w:fldCharType="end"/>
      </w:r>
    </w:p>
    <w:p>
      <w:pPr>
        <w:pStyle w:val="5"/>
        <w:tabs>
          <w:tab w:val="left" w:pos="1680"/>
          <w:tab w:val="right" w:leader="dot" w:pos="8722"/>
        </w:tabs>
      </w:pPr>
      <w:r>
        <w:fldChar w:fldCharType="begin"/>
      </w:r>
      <w:r>
        <w:instrText xml:space="preserve"> HYPERLINK \l "_Toc63246031"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加快公园城市建设</w:t>
      </w:r>
      <w:r>
        <w:tab/>
      </w:r>
      <w:r>
        <w:fldChar w:fldCharType="begin"/>
      </w:r>
      <w:r>
        <w:instrText xml:space="preserve"> PAGEREF _Toc63246031 \h </w:instrText>
      </w:r>
      <w:r>
        <w:fldChar w:fldCharType="separate"/>
      </w:r>
      <w:r>
        <w:t>82</w:t>
      </w:r>
      <w:r>
        <w:fldChar w:fldCharType="end"/>
      </w:r>
      <w:r>
        <w:fldChar w:fldCharType="end"/>
      </w:r>
    </w:p>
    <w:p>
      <w:pPr>
        <w:pStyle w:val="5"/>
        <w:tabs>
          <w:tab w:val="left" w:pos="1680"/>
          <w:tab w:val="right" w:leader="dot" w:pos="8722"/>
        </w:tabs>
      </w:pPr>
      <w:r>
        <w:fldChar w:fldCharType="begin"/>
      </w:r>
      <w:r>
        <w:instrText xml:space="preserve"> HYPERLINK \l "_Toc63246032" </w:instrText>
      </w:r>
      <w:r>
        <w:fldChar w:fldCharType="separate"/>
      </w:r>
      <w:r>
        <w:rPr>
          <w:rStyle w:val="22"/>
          <w:rFonts w:hint="eastAsia" w:ascii="仿宋" w:hAnsi="仿宋" w:eastAsia="仿宋" w:cs="仿宋"/>
          <w:b/>
          <w:color w:val="auto"/>
        </w:rPr>
        <w:t>三、</w:t>
      </w:r>
      <w:r>
        <w:tab/>
      </w:r>
      <w:r>
        <w:rPr>
          <w:rStyle w:val="22"/>
          <w:rFonts w:hint="eastAsia" w:ascii="仿宋" w:hAnsi="仿宋" w:eastAsia="仿宋" w:cs="仿宋"/>
          <w:b/>
          <w:color w:val="auto"/>
        </w:rPr>
        <w:t>提升园林绿化品质</w:t>
      </w:r>
      <w:r>
        <w:tab/>
      </w:r>
      <w:r>
        <w:fldChar w:fldCharType="begin"/>
      </w:r>
      <w:r>
        <w:instrText xml:space="preserve"> PAGEREF _Toc63246032 \h </w:instrText>
      </w:r>
      <w:r>
        <w:fldChar w:fldCharType="separate"/>
      </w:r>
      <w:r>
        <w:t>85</w:t>
      </w:r>
      <w:r>
        <w:fldChar w:fldCharType="end"/>
      </w:r>
      <w:r>
        <w:fldChar w:fldCharType="end"/>
      </w:r>
    </w:p>
    <w:p>
      <w:pPr>
        <w:pStyle w:val="5"/>
        <w:tabs>
          <w:tab w:val="left" w:pos="1680"/>
          <w:tab w:val="right" w:leader="dot" w:pos="8722"/>
        </w:tabs>
      </w:pPr>
      <w:r>
        <w:fldChar w:fldCharType="begin"/>
      </w:r>
      <w:r>
        <w:instrText xml:space="preserve"> HYPERLINK \l "_Toc63246033" </w:instrText>
      </w:r>
      <w:r>
        <w:fldChar w:fldCharType="separate"/>
      </w:r>
      <w:r>
        <w:rPr>
          <w:rStyle w:val="22"/>
          <w:rFonts w:hint="eastAsia" w:ascii="仿宋" w:hAnsi="仿宋" w:eastAsia="仿宋" w:cs="仿宋"/>
          <w:b/>
          <w:color w:val="auto"/>
        </w:rPr>
        <w:t>四、</w:t>
      </w:r>
      <w:r>
        <w:tab/>
      </w:r>
      <w:r>
        <w:rPr>
          <w:rStyle w:val="22"/>
          <w:rFonts w:hint="eastAsia" w:ascii="仿宋" w:hAnsi="仿宋" w:eastAsia="仿宋" w:cs="仿宋"/>
          <w:b/>
          <w:color w:val="auto"/>
        </w:rPr>
        <w:t>推进城市生态修复</w:t>
      </w:r>
      <w:r>
        <w:tab/>
      </w:r>
      <w:r>
        <w:fldChar w:fldCharType="begin"/>
      </w:r>
      <w:r>
        <w:instrText xml:space="preserve"> PAGEREF _Toc63246033 \h </w:instrText>
      </w:r>
      <w:r>
        <w:fldChar w:fldCharType="separate"/>
      </w:r>
      <w:r>
        <w:t>86</w:t>
      </w:r>
      <w:r>
        <w:fldChar w:fldCharType="end"/>
      </w:r>
      <w:r>
        <w:fldChar w:fldCharType="end"/>
      </w:r>
    </w:p>
    <w:p>
      <w:pPr>
        <w:pStyle w:val="5"/>
        <w:tabs>
          <w:tab w:val="left" w:pos="1680"/>
          <w:tab w:val="right" w:leader="dot" w:pos="8722"/>
        </w:tabs>
      </w:pPr>
      <w:r>
        <w:fldChar w:fldCharType="begin"/>
      </w:r>
      <w:r>
        <w:instrText xml:space="preserve"> HYPERLINK \l "_Toc63246034" </w:instrText>
      </w:r>
      <w:r>
        <w:fldChar w:fldCharType="separate"/>
      </w:r>
      <w:r>
        <w:rPr>
          <w:rStyle w:val="22"/>
          <w:rFonts w:hint="eastAsia" w:ascii="仿宋" w:hAnsi="仿宋" w:eastAsia="仿宋" w:cs="仿宋"/>
          <w:b/>
          <w:color w:val="auto"/>
        </w:rPr>
        <w:t>五、</w:t>
      </w:r>
      <w:r>
        <w:tab/>
      </w:r>
      <w:r>
        <w:rPr>
          <w:rStyle w:val="22"/>
          <w:rFonts w:hint="eastAsia" w:ascii="仿宋" w:hAnsi="仿宋" w:eastAsia="仿宋" w:cs="仿宋"/>
          <w:b/>
          <w:color w:val="auto"/>
        </w:rPr>
        <w:t>加强园林绿化养护</w:t>
      </w:r>
      <w:r>
        <w:tab/>
      </w:r>
      <w:r>
        <w:fldChar w:fldCharType="begin"/>
      </w:r>
      <w:r>
        <w:instrText xml:space="preserve"> PAGEREF _Toc63246034 \h </w:instrText>
      </w:r>
      <w:r>
        <w:fldChar w:fldCharType="separate"/>
      </w:r>
      <w:r>
        <w:t>86</w:t>
      </w:r>
      <w:r>
        <w:fldChar w:fldCharType="end"/>
      </w:r>
      <w:r>
        <w:fldChar w:fldCharType="end"/>
      </w:r>
    </w:p>
    <w:p>
      <w:pPr>
        <w:pStyle w:val="14"/>
        <w:tabs>
          <w:tab w:val="right" w:leader="dot" w:pos="8722"/>
        </w:tabs>
      </w:pPr>
      <w:r>
        <w:fldChar w:fldCharType="begin"/>
      </w:r>
      <w:r>
        <w:instrText xml:space="preserve"> HYPERLINK \l "_Toc63246035" </w:instrText>
      </w:r>
      <w:r>
        <w:fldChar w:fldCharType="separate"/>
      </w:r>
      <w:r>
        <w:rPr>
          <w:rStyle w:val="22"/>
          <w:rFonts w:hint="eastAsia" w:ascii="仿宋" w:hAnsi="仿宋" w:eastAsia="仿宋" w:cs="仿宋"/>
          <w:b/>
          <w:bCs/>
          <w:color w:val="auto"/>
        </w:rPr>
        <w:t>第五节增强城市公用供给保障</w:t>
      </w:r>
      <w:r>
        <w:tab/>
      </w:r>
      <w:r>
        <w:fldChar w:fldCharType="begin"/>
      </w:r>
      <w:r>
        <w:instrText xml:space="preserve"> PAGEREF _Toc63246035 \h </w:instrText>
      </w:r>
      <w:r>
        <w:fldChar w:fldCharType="separate"/>
      </w:r>
      <w:r>
        <w:t>88</w:t>
      </w:r>
      <w:r>
        <w:fldChar w:fldCharType="end"/>
      </w:r>
      <w:r>
        <w:fldChar w:fldCharType="end"/>
      </w:r>
    </w:p>
    <w:p>
      <w:pPr>
        <w:pStyle w:val="5"/>
        <w:tabs>
          <w:tab w:val="left" w:pos="1680"/>
          <w:tab w:val="right" w:leader="dot" w:pos="8722"/>
        </w:tabs>
      </w:pPr>
      <w:r>
        <w:fldChar w:fldCharType="begin"/>
      </w:r>
      <w:r>
        <w:instrText xml:space="preserve"> HYPERLINK \l "_Toc63246036"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强化供水保障体系</w:t>
      </w:r>
      <w:r>
        <w:tab/>
      </w:r>
      <w:r>
        <w:fldChar w:fldCharType="begin"/>
      </w:r>
      <w:r>
        <w:instrText xml:space="preserve"> PAGEREF _Toc63246036 \h </w:instrText>
      </w:r>
      <w:r>
        <w:fldChar w:fldCharType="separate"/>
      </w:r>
      <w:r>
        <w:t>88</w:t>
      </w:r>
      <w:r>
        <w:fldChar w:fldCharType="end"/>
      </w:r>
      <w:r>
        <w:fldChar w:fldCharType="end"/>
      </w:r>
    </w:p>
    <w:p>
      <w:pPr>
        <w:pStyle w:val="5"/>
        <w:tabs>
          <w:tab w:val="left" w:pos="1680"/>
          <w:tab w:val="right" w:leader="dot" w:pos="8722"/>
        </w:tabs>
      </w:pPr>
      <w:r>
        <w:fldChar w:fldCharType="begin"/>
      </w:r>
      <w:r>
        <w:instrText xml:space="preserve"> HYPERLINK \l "_Toc63246037"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加强燃气供应保障</w:t>
      </w:r>
      <w:r>
        <w:tab/>
      </w:r>
      <w:r>
        <w:fldChar w:fldCharType="begin"/>
      </w:r>
      <w:r>
        <w:instrText xml:space="preserve"> PAGEREF _Toc63246037 \h </w:instrText>
      </w:r>
      <w:r>
        <w:fldChar w:fldCharType="separate"/>
      </w:r>
      <w:r>
        <w:t>89</w:t>
      </w:r>
      <w:r>
        <w:fldChar w:fldCharType="end"/>
      </w:r>
      <w:r>
        <w:fldChar w:fldCharType="end"/>
      </w:r>
    </w:p>
    <w:p>
      <w:pPr>
        <w:pStyle w:val="14"/>
        <w:tabs>
          <w:tab w:val="right" w:leader="dot" w:pos="8722"/>
        </w:tabs>
      </w:pPr>
      <w:r>
        <w:fldChar w:fldCharType="begin"/>
      </w:r>
      <w:r>
        <w:instrText xml:space="preserve"> HYPERLINK \l "_Toc63246038" </w:instrText>
      </w:r>
      <w:r>
        <w:fldChar w:fldCharType="separate"/>
      </w:r>
      <w:r>
        <w:rPr>
          <w:rStyle w:val="22"/>
          <w:rFonts w:hint="eastAsia" w:ascii="仿宋" w:hAnsi="仿宋" w:eastAsia="仿宋" w:cs="仿宋"/>
          <w:b/>
          <w:bCs/>
          <w:color w:val="auto"/>
        </w:rPr>
        <w:t>第六节发展安全绿色城市水务</w:t>
      </w:r>
      <w:r>
        <w:tab/>
      </w:r>
      <w:r>
        <w:fldChar w:fldCharType="begin"/>
      </w:r>
      <w:r>
        <w:instrText xml:space="preserve"> PAGEREF _Toc63246038 \h </w:instrText>
      </w:r>
      <w:r>
        <w:fldChar w:fldCharType="separate"/>
      </w:r>
      <w:r>
        <w:t>94</w:t>
      </w:r>
      <w:r>
        <w:fldChar w:fldCharType="end"/>
      </w:r>
      <w:r>
        <w:fldChar w:fldCharType="end"/>
      </w:r>
    </w:p>
    <w:p>
      <w:pPr>
        <w:pStyle w:val="5"/>
        <w:tabs>
          <w:tab w:val="left" w:pos="1680"/>
          <w:tab w:val="right" w:leader="dot" w:pos="8722"/>
        </w:tabs>
      </w:pPr>
      <w:r>
        <w:fldChar w:fldCharType="begin"/>
      </w:r>
      <w:r>
        <w:instrText xml:space="preserve"> HYPERLINK \l "_Toc63246039"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强化雨污收集处理</w:t>
      </w:r>
      <w:r>
        <w:tab/>
      </w:r>
      <w:r>
        <w:fldChar w:fldCharType="begin"/>
      </w:r>
      <w:r>
        <w:instrText xml:space="preserve"> PAGEREF _Toc63246039 \h </w:instrText>
      </w:r>
      <w:r>
        <w:fldChar w:fldCharType="separate"/>
      </w:r>
      <w:r>
        <w:t>94</w:t>
      </w:r>
      <w:r>
        <w:fldChar w:fldCharType="end"/>
      </w:r>
      <w:r>
        <w:fldChar w:fldCharType="end"/>
      </w:r>
    </w:p>
    <w:p>
      <w:pPr>
        <w:pStyle w:val="5"/>
        <w:tabs>
          <w:tab w:val="left" w:pos="1680"/>
          <w:tab w:val="right" w:leader="dot" w:pos="8722"/>
        </w:tabs>
      </w:pPr>
      <w:r>
        <w:fldChar w:fldCharType="begin"/>
      </w:r>
      <w:r>
        <w:instrText xml:space="preserve"> HYPERLINK \l "_Toc63246040"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提升内涝减灾能力</w:t>
      </w:r>
      <w:r>
        <w:tab/>
      </w:r>
      <w:r>
        <w:fldChar w:fldCharType="begin"/>
      </w:r>
      <w:r>
        <w:instrText xml:space="preserve"> PAGEREF _Toc63246040 \h </w:instrText>
      </w:r>
      <w:r>
        <w:fldChar w:fldCharType="separate"/>
      </w:r>
      <w:r>
        <w:t>96</w:t>
      </w:r>
      <w:r>
        <w:fldChar w:fldCharType="end"/>
      </w:r>
      <w:r>
        <w:fldChar w:fldCharType="end"/>
      </w:r>
    </w:p>
    <w:p>
      <w:pPr>
        <w:pStyle w:val="5"/>
        <w:tabs>
          <w:tab w:val="left" w:pos="1680"/>
          <w:tab w:val="right" w:leader="dot" w:pos="8722"/>
        </w:tabs>
      </w:pPr>
      <w:r>
        <w:fldChar w:fldCharType="begin"/>
      </w:r>
      <w:r>
        <w:instrText xml:space="preserve"> HYPERLINK \l "_Toc63246041" </w:instrText>
      </w:r>
      <w:r>
        <w:fldChar w:fldCharType="separate"/>
      </w:r>
      <w:r>
        <w:rPr>
          <w:rStyle w:val="22"/>
          <w:rFonts w:hint="eastAsia" w:ascii="仿宋" w:hAnsi="仿宋" w:eastAsia="仿宋" w:cs="仿宋"/>
          <w:b/>
          <w:color w:val="auto"/>
        </w:rPr>
        <w:t>三、</w:t>
      </w:r>
      <w:r>
        <w:tab/>
      </w:r>
      <w:r>
        <w:rPr>
          <w:rStyle w:val="22"/>
          <w:rFonts w:hint="eastAsia" w:ascii="仿宋" w:hAnsi="仿宋" w:eastAsia="仿宋" w:cs="仿宋"/>
          <w:b/>
          <w:color w:val="auto"/>
        </w:rPr>
        <w:t>加强水域生态治理</w:t>
      </w:r>
      <w:r>
        <w:tab/>
      </w:r>
      <w:r>
        <w:fldChar w:fldCharType="begin"/>
      </w:r>
      <w:r>
        <w:instrText xml:space="preserve"> PAGEREF _Toc63246041 \h </w:instrText>
      </w:r>
      <w:r>
        <w:fldChar w:fldCharType="separate"/>
      </w:r>
      <w:r>
        <w:t>96</w:t>
      </w:r>
      <w:r>
        <w:fldChar w:fldCharType="end"/>
      </w:r>
      <w:r>
        <w:fldChar w:fldCharType="end"/>
      </w:r>
    </w:p>
    <w:p>
      <w:pPr>
        <w:pStyle w:val="14"/>
        <w:tabs>
          <w:tab w:val="right" w:leader="dot" w:pos="8722"/>
        </w:tabs>
      </w:pPr>
      <w:r>
        <w:fldChar w:fldCharType="begin"/>
      </w:r>
      <w:r>
        <w:instrText xml:space="preserve"> HYPERLINK \l "_Toc63246042" </w:instrText>
      </w:r>
      <w:r>
        <w:fldChar w:fldCharType="separate"/>
      </w:r>
      <w:r>
        <w:rPr>
          <w:rStyle w:val="22"/>
          <w:rFonts w:hint="eastAsia" w:ascii="仿宋" w:hAnsi="仿宋" w:eastAsia="仿宋" w:cs="仿宋"/>
          <w:b/>
          <w:bCs/>
          <w:color w:val="auto"/>
        </w:rPr>
        <w:t>第七节提高设施精细管养水平</w:t>
      </w:r>
      <w:r>
        <w:tab/>
      </w:r>
      <w:r>
        <w:fldChar w:fldCharType="begin"/>
      </w:r>
      <w:r>
        <w:instrText xml:space="preserve"> PAGEREF _Toc63246042 \h </w:instrText>
      </w:r>
      <w:r>
        <w:fldChar w:fldCharType="separate"/>
      </w:r>
      <w:r>
        <w:t>99</w:t>
      </w:r>
      <w:r>
        <w:fldChar w:fldCharType="end"/>
      </w:r>
      <w:r>
        <w:fldChar w:fldCharType="end"/>
      </w:r>
    </w:p>
    <w:p>
      <w:pPr>
        <w:pStyle w:val="5"/>
        <w:tabs>
          <w:tab w:val="left" w:pos="1680"/>
          <w:tab w:val="right" w:leader="dot" w:pos="8722"/>
        </w:tabs>
      </w:pPr>
      <w:r>
        <w:fldChar w:fldCharType="begin"/>
      </w:r>
      <w:r>
        <w:instrText xml:space="preserve"> HYPERLINK \l "_Toc63246043"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提升道桥管养维护水平</w:t>
      </w:r>
      <w:r>
        <w:tab/>
      </w:r>
      <w:r>
        <w:fldChar w:fldCharType="begin"/>
      </w:r>
      <w:r>
        <w:instrText xml:space="preserve"> PAGEREF _Toc63246043 \h </w:instrText>
      </w:r>
      <w:r>
        <w:fldChar w:fldCharType="separate"/>
      </w:r>
      <w:r>
        <w:t>99</w:t>
      </w:r>
      <w:r>
        <w:fldChar w:fldCharType="end"/>
      </w:r>
      <w:r>
        <w:fldChar w:fldCharType="end"/>
      </w:r>
    </w:p>
    <w:p>
      <w:pPr>
        <w:pStyle w:val="5"/>
        <w:tabs>
          <w:tab w:val="left" w:pos="1680"/>
          <w:tab w:val="right" w:leader="dot" w:pos="8722"/>
        </w:tabs>
      </w:pPr>
      <w:r>
        <w:fldChar w:fldCharType="begin"/>
      </w:r>
      <w:r>
        <w:instrText xml:space="preserve"> HYPERLINK \l "_Toc63246044"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提升城市家具管养维护水平</w:t>
      </w:r>
      <w:r>
        <w:tab/>
      </w:r>
      <w:r>
        <w:fldChar w:fldCharType="begin"/>
      </w:r>
      <w:r>
        <w:instrText xml:space="preserve"> PAGEREF _Toc63246044 \h </w:instrText>
      </w:r>
      <w:r>
        <w:fldChar w:fldCharType="separate"/>
      </w:r>
      <w:r>
        <w:t>101</w:t>
      </w:r>
      <w:r>
        <w:fldChar w:fldCharType="end"/>
      </w:r>
      <w:r>
        <w:fldChar w:fldCharType="end"/>
      </w:r>
    </w:p>
    <w:p>
      <w:pPr>
        <w:pStyle w:val="5"/>
        <w:tabs>
          <w:tab w:val="left" w:pos="1680"/>
          <w:tab w:val="right" w:leader="dot" w:pos="8722"/>
        </w:tabs>
      </w:pPr>
      <w:r>
        <w:fldChar w:fldCharType="begin"/>
      </w:r>
      <w:r>
        <w:instrText xml:space="preserve"> HYPERLINK \l "_Toc63246045" </w:instrText>
      </w:r>
      <w:r>
        <w:fldChar w:fldCharType="separate"/>
      </w:r>
      <w:r>
        <w:rPr>
          <w:rStyle w:val="22"/>
          <w:rFonts w:hint="eastAsia" w:ascii="仿宋" w:hAnsi="仿宋" w:eastAsia="仿宋" w:cs="仿宋"/>
          <w:b/>
          <w:color w:val="auto"/>
        </w:rPr>
        <w:t>三、</w:t>
      </w:r>
      <w:r>
        <w:tab/>
      </w:r>
      <w:r>
        <w:rPr>
          <w:rStyle w:val="22"/>
          <w:rFonts w:hint="eastAsia" w:ascii="仿宋" w:hAnsi="仿宋" w:eastAsia="仿宋" w:cs="仿宋"/>
          <w:b/>
          <w:color w:val="auto"/>
        </w:rPr>
        <w:t>提升地下管网管养维护水平</w:t>
      </w:r>
      <w:r>
        <w:tab/>
      </w:r>
      <w:r>
        <w:fldChar w:fldCharType="begin"/>
      </w:r>
      <w:r>
        <w:instrText xml:space="preserve"> PAGEREF _Toc63246045 \h </w:instrText>
      </w:r>
      <w:r>
        <w:fldChar w:fldCharType="separate"/>
      </w:r>
      <w:r>
        <w:t>102</w:t>
      </w:r>
      <w:r>
        <w:fldChar w:fldCharType="end"/>
      </w:r>
      <w:r>
        <w:fldChar w:fldCharType="end"/>
      </w:r>
    </w:p>
    <w:p>
      <w:pPr>
        <w:pStyle w:val="5"/>
        <w:tabs>
          <w:tab w:val="left" w:pos="1680"/>
          <w:tab w:val="right" w:leader="dot" w:pos="8722"/>
        </w:tabs>
      </w:pPr>
      <w:r>
        <w:fldChar w:fldCharType="begin"/>
      </w:r>
      <w:r>
        <w:instrText xml:space="preserve"> HYPERLINK \l "_Toc63246046" </w:instrText>
      </w:r>
      <w:r>
        <w:fldChar w:fldCharType="separate"/>
      </w:r>
      <w:r>
        <w:rPr>
          <w:rStyle w:val="22"/>
          <w:rFonts w:hint="eastAsia" w:ascii="仿宋" w:hAnsi="仿宋" w:eastAsia="仿宋" w:cs="仿宋"/>
          <w:b/>
          <w:color w:val="auto"/>
        </w:rPr>
        <w:t>四、</w:t>
      </w:r>
      <w:r>
        <w:tab/>
      </w:r>
      <w:r>
        <w:rPr>
          <w:rStyle w:val="22"/>
          <w:rFonts w:hint="eastAsia" w:ascii="仿宋" w:hAnsi="仿宋" w:eastAsia="仿宋" w:cs="仿宋"/>
          <w:b/>
          <w:color w:val="auto"/>
        </w:rPr>
        <w:t>提升设施运行的监测能力。</w:t>
      </w:r>
      <w:r>
        <w:tab/>
      </w:r>
      <w:r>
        <w:fldChar w:fldCharType="begin"/>
      </w:r>
      <w:r>
        <w:instrText xml:space="preserve"> PAGEREF _Toc63246046 \h </w:instrText>
      </w:r>
      <w:r>
        <w:fldChar w:fldCharType="separate"/>
      </w:r>
      <w:r>
        <w:t>103</w:t>
      </w:r>
      <w:r>
        <w:fldChar w:fldCharType="end"/>
      </w:r>
      <w:r>
        <w:fldChar w:fldCharType="end"/>
      </w:r>
    </w:p>
    <w:p>
      <w:pPr>
        <w:pStyle w:val="5"/>
        <w:tabs>
          <w:tab w:val="left" w:pos="1680"/>
          <w:tab w:val="right" w:leader="dot" w:pos="8722"/>
        </w:tabs>
      </w:pPr>
      <w:r>
        <w:fldChar w:fldCharType="begin"/>
      </w:r>
      <w:r>
        <w:instrText xml:space="preserve"> HYPERLINK \l "_Toc63246047" </w:instrText>
      </w:r>
      <w:r>
        <w:fldChar w:fldCharType="separate"/>
      </w:r>
      <w:r>
        <w:rPr>
          <w:rStyle w:val="22"/>
          <w:rFonts w:hint="eastAsia" w:ascii="仿宋" w:hAnsi="仿宋" w:eastAsia="仿宋" w:cs="仿宋"/>
          <w:b/>
          <w:color w:val="auto"/>
        </w:rPr>
        <w:t>五、</w:t>
      </w:r>
      <w:r>
        <w:tab/>
      </w:r>
      <w:r>
        <w:rPr>
          <w:rStyle w:val="22"/>
          <w:rFonts w:hint="eastAsia" w:ascii="仿宋" w:hAnsi="仿宋" w:eastAsia="仿宋" w:cs="仿宋"/>
          <w:b/>
          <w:color w:val="auto"/>
        </w:rPr>
        <w:t>优化停车资源配置</w:t>
      </w:r>
      <w:r>
        <w:tab/>
      </w:r>
      <w:r>
        <w:fldChar w:fldCharType="begin"/>
      </w:r>
      <w:r>
        <w:instrText xml:space="preserve"> PAGEREF _Toc63246047 \h </w:instrText>
      </w:r>
      <w:r>
        <w:fldChar w:fldCharType="separate"/>
      </w:r>
      <w:r>
        <w:t>104</w:t>
      </w:r>
      <w:r>
        <w:fldChar w:fldCharType="end"/>
      </w:r>
      <w:r>
        <w:fldChar w:fldCharType="end"/>
      </w:r>
    </w:p>
    <w:p>
      <w:pPr>
        <w:pStyle w:val="14"/>
        <w:tabs>
          <w:tab w:val="right" w:leader="dot" w:pos="8722"/>
        </w:tabs>
      </w:pPr>
      <w:r>
        <w:fldChar w:fldCharType="begin"/>
      </w:r>
      <w:r>
        <w:instrText xml:space="preserve"> HYPERLINK \l "_Toc63246048" </w:instrText>
      </w:r>
      <w:r>
        <w:fldChar w:fldCharType="separate"/>
      </w:r>
      <w:r>
        <w:rPr>
          <w:rStyle w:val="22"/>
          <w:rFonts w:hint="eastAsia" w:ascii="仿宋" w:hAnsi="仿宋" w:eastAsia="仿宋" w:cs="仿宋"/>
          <w:b/>
          <w:bCs/>
          <w:color w:val="auto"/>
        </w:rPr>
        <w:t>第八节提升综合执法服务能力</w:t>
      </w:r>
      <w:r>
        <w:tab/>
      </w:r>
      <w:r>
        <w:fldChar w:fldCharType="begin"/>
      </w:r>
      <w:r>
        <w:instrText xml:space="preserve"> PAGEREF _Toc63246048 \h </w:instrText>
      </w:r>
      <w:r>
        <w:fldChar w:fldCharType="separate"/>
      </w:r>
      <w:r>
        <w:t>106</w:t>
      </w:r>
      <w:r>
        <w:fldChar w:fldCharType="end"/>
      </w:r>
      <w:r>
        <w:fldChar w:fldCharType="end"/>
      </w:r>
    </w:p>
    <w:p>
      <w:pPr>
        <w:pStyle w:val="5"/>
        <w:tabs>
          <w:tab w:val="left" w:pos="1680"/>
          <w:tab w:val="right" w:leader="dot" w:pos="8722"/>
        </w:tabs>
      </w:pPr>
      <w:r>
        <w:fldChar w:fldCharType="begin"/>
      </w:r>
      <w:r>
        <w:instrText xml:space="preserve"> HYPERLINK \l "_Toc63246049" </w:instrText>
      </w:r>
      <w:r>
        <w:fldChar w:fldCharType="separate"/>
      </w:r>
      <w:r>
        <w:rPr>
          <w:rStyle w:val="22"/>
          <w:rFonts w:hint="eastAsia" w:ascii="仿宋" w:hAnsi="仿宋" w:eastAsia="仿宋" w:cs="仿宋"/>
          <w:b/>
          <w:color w:val="auto"/>
        </w:rPr>
        <w:t>一、</w:t>
      </w:r>
      <w:r>
        <w:tab/>
      </w:r>
      <w:r>
        <w:rPr>
          <w:rStyle w:val="22"/>
          <w:rFonts w:hint="eastAsia" w:ascii="仿宋" w:hAnsi="仿宋" w:eastAsia="仿宋" w:cs="仿宋"/>
          <w:b/>
          <w:color w:val="auto"/>
        </w:rPr>
        <w:t>理清城管执法边界</w:t>
      </w:r>
      <w:r>
        <w:tab/>
      </w:r>
      <w:r>
        <w:fldChar w:fldCharType="begin"/>
      </w:r>
      <w:r>
        <w:instrText xml:space="preserve"> PAGEREF _Toc63246049 \h </w:instrText>
      </w:r>
      <w:r>
        <w:fldChar w:fldCharType="separate"/>
      </w:r>
      <w:r>
        <w:t>106</w:t>
      </w:r>
      <w:r>
        <w:fldChar w:fldCharType="end"/>
      </w:r>
      <w:r>
        <w:fldChar w:fldCharType="end"/>
      </w:r>
    </w:p>
    <w:p>
      <w:pPr>
        <w:pStyle w:val="5"/>
        <w:tabs>
          <w:tab w:val="left" w:pos="1680"/>
          <w:tab w:val="right" w:leader="dot" w:pos="8722"/>
        </w:tabs>
      </w:pPr>
      <w:r>
        <w:fldChar w:fldCharType="begin"/>
      </w:r>
      <w:r>
        <w:instrText xml:space="preserve"> HYPERLINK \l "_Toc63246050" </w:instrText>
      </w:r>
      <w:r>
        <w:fldChar w:fldCharType="separate"/>
      </w:r>
      <w:r>
        <w:rPr>
          <w:rStyle w:val="22"/>
          <w:rFonts w:hint="eastAsia" w:ascii="仿宋" w:hAnsi="仿宋" w:eastAsia="仿宋" w:cs="仿宋"/>
          <w:b/>
          <w:color w:val="auto"/>
        </w:rPr>
        <w:t>二、</w:t>
      </w:r>
      <w:r>
        <w:tab/>
      </w:r>
      <w:r>
        <w:rPr>
          <w:rStyle w:val="22"/>
          <w:rFonts w:hint="eastAsia" w:ascii="仿宋" w:hAnsi="仿宋" w:eastAsia="仿宋" w:cs="仿宋"/>
          <w:b/>
          <w:color w:val="auto"/>
        </w:rPr>
        <w:t>建立联合执法工作机制</w:t>
      </w:r>
      <w:r>
        <w:tab/>
      </w:r>
      <w:r>
        <w:fldChar w:fldCharType="begin"/>
      </w:r>
      <w:r>
        <w:instrText xml:space="preserve"> PAGEREF _Toc63246050 \h </w:instrText>
      </w:r>
      <w:r>
        <w:fldChar w:fldCharType="separate"/>
      </w:r>
      <w:r>
        <w:t>107</w:t>
      </w:r>
      <w:r>
        <w:fldChar w:fldCharType="end"/>
      </w:r>
      <w:r>
        <w:fldChar w:fldCharType="end"/>
      </w:r>
    </w:p>
    <w:p>
      <w:pPr>
        <w:pStyle w:val="5"/>
        <w:tabs>
          <w:tab w:val="left" w:pos="1680"/>
          <w:tab w:val="right" w:leader="dot" w:pos="8722"/>
        </w:tabs>
      </w:pPr>
      <w:r>
        <w:fldChar w:fldCharType="begin"/>
      </w:r>
      <w:r>
        <w:instrText xml:space="preserve"> HYPERLINK \l "_Toc63246051" </w:instrText>
      </w:r>
      <w:r>
        <w:fldChar w:fldCharType="separate"/>
      </w:r>
      <w:r>
        <w:rPr>
          <w:rStyle w:val="22"/>
          <w:rFonts w:hint="eastAsia" w:ascii="仿宋" w:hAnsi="仿宋" w:eastAsia="仿宋" w:cs="仿宋"/>
          <w:b/>
          <w:color w:val="auto"/>
        </w:rPr>
        <w:t>三、</w:t>
      </w:r>
      <w:r>
        <w:tab/>
      </w:r>
      <w:r>
        <w:rPr>
          <w:rStyle w:val="22"/>
          <w:rFonts w:hint="eastAsia" w:ascii="仿宋" w:hAnsi="仿宋" w:eastAsia="仿宋" w:cs="仿宋"/>
          <w:b/>
          <w:color w:val="auto"/>
        </w:rPr>
        <w:t>下移执法重心、建立长效机制</w:t>
      </w:r>
      <w:r>
        <w:tab/>
      </w:r>
      <w:r>
        <w:fldChar w:fldCharType="begin"/>
      </w:r>
      <w:r>
        <w:instrText xml:space="preserve"> PAGEREF _Toc63246051 \h </w:instrText>
      </w:r>
      <w:r>
        <w:fldChar w:fldCharType="separate"/>
      </w:r>
      <w:r>
        <w:t>108</w:t>
      </w:r>
      <w:r>
        <w:fldChar w:fldCharType="end"/>
      </w:r>
      <w:r>
        <w:fldChar w:fldCharType="end"/>
      </w:r>
    </w:p>
    <w:p>
      <w:pPr>
        <w:pStyle w:val="5"/>
        <w:tabs>
          <w:tab w:val="left" w:pos="1680"/>
          <w:tab w:val="right" w:leader="dot" w:pos="8722"/>
        </w:tabs>
      </w:pPr>
      <w:r>
        <w:fldChar w:fldCharType="begin"/>
      </w:r>
      <w:r>
        <w:instrText xml:space="preserve"> HYPERLINK \l "_Toc63246052" </w:instrText>
      </w:r>
      <w:r>
        <w:fldChar w:fldCharType="separate"/>
      </w:r>
      <w:r>
        <w:rPr>
          <w:rStyle w:val="22"/>
          <w:rFonts w:hint="eastAsia" w:ascii="仿宋" w:hAnsi="仿宋" w:eastAsia="仿宋" w:cs="仿宋"/>
          <w:b/>
          <w:color w:val="auto"/>
        </w:rPr>
        <w:t>四、</w:t>
      </w:r>
      <w:r>
        <w:tab/>
      </w:r>
      <w:r>
        <w:rPr>
          <w:rStyle w:val="22"/>
          <w:rFonts w:hint="eastAsia" w:ascii="仿宋" w:hAnsi="仿宋" w:eastAsia="仿宋" w:cs="仿宋"/>
          <w:b/>
          <w:color w:val="auto"/>
        </w:rPr>
        <w:t>强化队伍建设</w:t>
      </w:r>
      <w:r>
        <w:tab/>
      </w:r>
      <w:r>
        <w:fldChar w:fldCharType="begin"/>
      </w:r>
      <w:r>
        <w:instrText xml:space="preserve"> PAGEREF _Toc63246052 \h </w:instrText>
      </w:r>
      <w:r>
        <w:fldChar w:fldCharType="separate"/>
      </w:r>
      <w:r>
        <w:t>109</w:t>
      </w:r>
      <w:r>
        <w:fldChar w:fldCharType="end"/>
      </w:r>
      <w:r>
        <w:fldChar w:fldCharType="end"/>
      </w:r>
    </w:p>
    <w:p>
      <w:pPr>
        <w:pStyle w:val="5"/>
        <w:tabs>
          <w:tab w:val="left" w:pos="1680"/>
          <w:tab w:val="right" w:leader="dot" w:pos="8722"/>
        </w:tabs>
      </w:pPr>
      <w:r>
        <w:fldChar w:fldCharType="begin"/>
      </w:r>
      <w:r>
        <w:instrText xml:space="preserve"> HYPERLINK \l "_Toc63246053" </w:instrText>
      </w:r>
      <w:r>
        <w:fldChar w:fldCharType="separate"/>
      </w:r>
      <w:r>
        <w:rPr>
          <w:rStyle w:val="22"/>
          <w:rFonts w:hint="eastAsia" w:ascii="仿宋" w:hAnsi="仿宋" w:eastAsia="仿宋" w:cs="仿宋"/>
          <w:b/>
          <w:color w:val="auto"/>
        </w:rPr>
        <w:t>五、</w:t>
      </w:r>
      <w:r>
        <w:tab/>
      </w:r>
      <w:r>
        <w:rPr>
          <w:rStyle w:val="22"/>
          <w:rFonts w:hint="eastAsia" w:ascii="仿宋" w:hAnsi="仿宋" w:eastAsia="仿宋" w:cs="仿宋"/>
          <w:b/>
          <w:color w:val="auto"/>
        </w:rPr>
        <w:t>规范执法行为</w:t>
      </w:r>
      <w:r>
        <w:tab/>
      </w:r>
      <w:r>
        <w:fldChar w:fldCharType="begin"/>
      </w:r>
      <w:r>
        <w:instrText xml:space="preserve"> PAGEREF _Toc63246053 \h </w:instrText>
      </w:r>
      <w:r>
        <w:fldChar w:fldCharType="separate"/>
      </w:r>
      <w:r>
        <w:t>111</w:t>
      </w:r>
      <w:r>
        <w:fldChar w:fldCharType="end"/>
      </w:r>
      <w:r>
        <w:fldChar w:fldCharType="end"/>
      </w:r>
    </w:p>
    <w:p>
      <w:pPr>
        <w:pStyle w:val="5"/>
        <w:tabs>
          <w:tab w:val="left" w:pos="1680"/>
          <w:tab w:val="right" w:leader="dot" w:pos="8722"/>
        </w:tabs>
      </w:pPr>
      <w:r>
        <w:fldChar w:fldCharType="begin"/>
      </w:r>
      <w:r>
        <w:instrText xml:space="preserve"> HYPERLINK \l "_Toc63246054" </w:instrText>
      </w:r>
      <w:r>
        <w:fldChar w:fldCharType="separate"/>
      </w:r>
      <w:r>
        <w:rPr>
          <w:rStyle w:val="22"/>
          <w:rFonts w:hint="eastAsia" w:ascii="仿宋" w:hAnsi="仿宋" w:eastAsia="仿宋" w:cs="仿宋"/>
          <w:b/>
          <w:color w:val="auto"/>
        </w:rPr>
        <w:t>六、</w:t>
      </w:r>
      <w:r>
        <w:tab/>
      </w:r>
      <w:r>
        <w:rPr>
          <w:rStyle w:val="22"/>
          <w:rFonts w:hint="eastAsia" w:ascii="仿宋" w:hAnsi="仿宋" w:eastAsia="仿宋" w:cs="仿宋"/>
          <w:b/>
          <w:color w:val="auto"/>
        </w:rPr>
        <w:t>整治街面秩序</w:t>
      </w:r>
      <w:r>
        <w:tab/>
      </w:r>
      <w:r>
        <w:fldChar w:fldCharType="begin"/>
      </w:r>
      <w:r>
        <w:instrText xml:space="preserve"> PAGEREF _Toc63246054 \h </w:instrText>
      </w:r>
      <w:r>
        <w:fldChar w:fldCharType="separate"/>
      </w:r>
      <w:r>
        <w:t>113</w:t>
      </w:r>
      <w:r>
        <w:fldChar w:fldCharType="end"/>
      </w:r>
      <w:r>
        <w:fldChar w:fldCharType="end"/>
      </w:r>
    </w:p>
    <w:p>
      <w:pPr>
        <w:pStyle w:val="11"/>
        <w:rPr>
          <w:rFonts w:asciiTheme="minorHAnsi" w:hAnsiTheme="minorHAnsi" w:eastAsiaTheme="minorEastAsia" w:cstheme="minorBidi"/>
          <w:sz w:val="21"/>
          <w:szCs w:val="22"/>
        </w:rPr>
      </w:pPr>
      <w:r>
        <w:fldChar w:fldCharType="begin"/>
      </w:r>
      <w:r>
        <w:instrText xml:space="preserve"> HYPERLINK \l "_Toc63246055" </w:instrText>
      </w:r>
      <w:r>
        <w:fldChar w:fldCharType="separate"/>
      </w:r>
      <w:r>
        <w:rPr>
          <w:rStyle w:val="22"/>
          <w:rFonts w:hint="eastAsia"/>
          <w:color w:val="auto"/>
        </w:rPr>
        <w:t>第六章</w:t>
      </w:r>
      <w:r>
        <w:rPr>
          <w:rFonts w:asciiTheme="minorHAnsi" w:hAnsiTheme="minorHAnsi" w:eastAsiaTheme="minorEastAsia" w:cstheme="minorBidi"/>
          <w:sz w:val="21"/>
          <w:szCs w:val="22"/>
        </w:rPr>
        <w:tab/>
      </w:r>
      <w:r>
        <w:rPr>
          <w:rStyle w:val="22"/>
          <w:rFonts w:hint="eastAsia"/>
          <w:color w:val="auto"/>
        </w:rPr>
        <w:t>保障措施</w:t>
      </w:r>
      <w:r>
        <w:tab/>
      </w:r>
      <w:r>
        <w:fldChar w:fldCharType="begin"/>
      </w:r>
      <w:r>
        <w:instrText xml:space="preserve"> PAGEREF _Toc63246055 \h </w:instrText>
      </w:r>
      <w:r>
        <w:fldChar w:fldCharType="separate"/>
      </w:r>
      <w:r>
        <w:t>118</w:t>
      </w:r>
      <w:r>
        <w:fldChar w:fldCharType="end"/>
      </w:r>
      <w:r>
        <w:fldChar w:fldCharType="end"/>
      </w:r>
    </w:p>
    <w:p>
      <w:pPr>
        <w:pStyle w:val="14"/>
        <w:tabs>
          <w:tab w:val="right" w:leader="dot" w:pos="8722"/>
        </w:tabs>
      </w:pPr>
      <w:r>
        <w:fldChar w:fldCharType="begin"/>
      </w:r>
      <w:r>
        <w:instrText xml:space="preserve"> HYPERLINK \l "_Toc63246056" </w:instrText>
      </w:r>
      <w:r>
        <w:fldChar w:fldCharType="separate"/>
      </w:r>
      <w:r>
        <w:rPr>
          <w:rStyle w:val="22"/>
          <w:rFonts w:hint="eastAsia" w:ascii="仿宋" w:hAnsi="仿宋" w:eastAsia="仿宋" w:cs="仿宋"/>
          <w:b/>
          <w:bCs/>
          <w:color w:val="auto"/>
        </w:rPr>
        <w:t>第一节加强组织领导</w:t>
      </w:r>
      <w:r>
        <w:tab/>
      </w:r>
      <w:r>
        <w:fldChar w:fldCharType="begin"/>
      </w:r>
      <w:r>
        <w:instrText xml:space="preserve"> PAGEREF _Toc63246056 \h </w:instrText>
      </w:r>
      <w:r>
        <w:fldChar w:fldCharType="separate"/>
      </w:r>
      <w:r>
        <w:t>118</w:t>
      </w:r>
      <w:r>
        <w:fldChar w:fldCharType="end"/>
      </w:r>
      <w:r>
        <w:fldChar w:fldCharType="end"/>
      </w:r>
    </w:p>
    <w:p>
      <w:pPr>
        <w:pStyle w:val="14"/>
        <w:tabs>
          <w:tab w:val="right" w:leader="dot" w:pos="8722"/>
        </w:tabs>
      </w:pPr>
      <w:r>
        <w:fldChar w:fldCharType="begin"/>
      </w:r>
      <w:r>
        <w:instrText xml:space="preserve"> HYPERLINK \l "_Toc63246057" </w:instrText>
      </w:r>
      <w:r>
        <w:fldChar w:fldCharType="separate"/>
      </w:r>
      <w:r>
        <w:rPr>
          <w:rStyle w:val="22"/>
          <w:rFonts w:hint="eastAsia" w:ascii="仿宋" w:hAnsi="仿宋" w:eastAsia="仿宋" w:cs="仿宋"/>
          <w:b/>
          <w:bCs/>
          <w:color w:val="auto"/>
        </w:rPr>
        <w:t>第二节严格监督考核</w:t>
      </w:r>
      <w:r>
        <w:tab/>
      </w:r>
      <w:r>
        <w:fldChar w:fldCharType="begin"/>
      </w:r>
      <w:r>
        <w:instrText xml:space="preserve"> PAGEREF _Toc63246057 \h </w:instrText>
      </w:r>
      <w:r>
        <w:fldChar w:fldCharType="separate"/>
      </w:r>
      <w:r>
        <w:t>118</w:t>
      </w:r>
      <w:r>
        <w:fldChar w:fldCharType="end"/>
      </w:r>
      <w:r>
        <w:fldChar w:fldCharType="end"/>
      </w:r>
    </w:p>
    <w:p>
      <w:pPr>
        <w:pStyle w:val="14"/>
        <w:tabs>
          <w:tab w:val="right" w:leader="dot" w:pos="8722"/>
        </w:tabs>
      </w:pPr>
      <w:r>
        <w:fldChar w:fldCharType="begin"/>
      </w:r>
      <w:r>
        <w:instrText xml:space="preserve"> HYPERLINK \l "_Toc63246058" </w:instrText>
      </w:r>
      <w:r>
        <w:fldChar w:fldCharType="separate"/>
      </w:r>
      <w:r>
        <w:rPr>
          <w:rStyle w:val="22"/>
          <w:rFonts w:hint="eastAsia" w:ascii="仿宋" w:hAnsi="仿宋" w:eastAsia="仿宋" w:cs="仿宋"/>
          <w:b/>
          <w:bCs/>
          <w:color w:val="auto"/>
        </w:rPr>
        <w:t>第三节加强机制保障</w:t>
      </w:r>
      <w:r>
        <w:tab/>
      </w:r>
      <w:r>
        <w:fldChar w:fldCharType="begin"/>
      </w:r>
      <w:r>
        <w:instrText xml:space="preserve"> PAGEREF _Toc63246058 \h </w:instrText>
      </w:r>
      <w:r>
        <w:fldChar w:fldCharType="separate"/>
      </w:r>
      <w:r>
        <w:t>119</w:t>
      </w:r>
      <w:r>
        <w:fldChar w:fldCharType="end"/>
      </w:r>
      <w:r>
        <w:fldChar w:fldCharType="end"/>
      </w:r>
    </w:p>
    <w:p>
      <w:pPr>
        <w:pStyle w:val="14"/>
        <w:tabs>
          <w:tab w:val="right" w:leader="dot" w:pos="8722"/>
        </w:tabs>
      </w:pPr>
      <w:r>
        <w:fldChar w:fldCharType="begin"/>
      </w:r>
      <w:r>
        <w:instrText xml:space="preserve"> HYPERLINK \l "_Toc63246059" </w:instrText>
      </w:r>
      <w:r>
        <w:fldChar w:fldCharType="separate"/>
      </w:r>
      <w:r>
        <w:rPr>
          <w:rStyle w:val="22"/>
          <w:rFonts w:hint="eastAsia" w:ascii="仿宋" w:hAnsi="仿宋" w:eastAsia="仿宋" w:cs="仿宋"/>
          <w:b/>
          <w:bCs/>
          <w:color w:val="auto"/>
        </w:rPr>
        <w:t>第四节加大经费保障</w:t>
      </w:r>
      <w:r>
        <w:tab/>
      </w:r>
      <w:r>
        <w:fldChar w:fldCharType="begin"/>
      </w:r>
      <w:r>
        <w:instrText xml:space="preserve"> PAGEREF _Toc63246059 \h </w:instrText>
      </w:r>
      <w:r>
        <w:fldChar w:fldCharType="separate"/>
      </w:r>
      <w:r>
        <w:t>120</w:t>
      </w:r>
      <w:r>
        <w:fldChar w:fldCharType="end"/>
      </w:r>
      <w:r>
        <w:fldChar w:fldCharType="end"/>
      </w:r>
    </w:p>
    <w:p>
      <w:pPr>
        <w:pStyle w:val="14"/>
        <w:tabs>
          <w:tab w:val="right" w:leader="dot" w:pos="8722"/>
        </w:tabs>
      </w:pPr>
      <w:r>
        <w:fldChar w:fldCharType="begin"/>
      </w:r>
      <w:r>
        <w:instrText xml:space="preserve"> HYPERLINK \l "_Toc63246060" </w:instrText>
      </w:r>
      <w:r>
        <w:fldChar w:fldCharType="separate"/>
      </w:r>
      <w:r>
        <w:rPr>
          <w:rStyle w:val="22"/>
          <w:rFonts w:hint="eastAsia" w:ascii="仿宋" w:hAnsi="仿宋" w:eastAsia="仿宋" w:cs="仿宋"/>
          <w:b/>
          <w:bCs/>
          <w:color w:val="auto"/>
        </w:rPr>
        <w:t>第五节营造良好氛围</w:t>
      </w:r>
      <w:r>
        <w:tab/>
      </w:r>
      <w:r>
        <w:fldChar w:fldCharType="begin"/>
      </w:r>
      <w:r>
        <w:instrText xml:space="preserve"> PAGEREF _Toc63246060 \h </w:instrText>
      </w:r>
      <w:r>
        <w:fldChar w:fldCharType="separate"/>
      </w:r>
      <w:r>
        <w:t>121</w:t>
      </w:r>
      <w:r>
        <w:fldChar w:fldCharType="end"/>
      </w:r>
      <w:r>
        <w:fldChar w:fldCharType="end"/>
      </w:r>
    </w:p>
    <w:p>
      <w:pPr>
        <w:pStyle w:val="11"/>
        <w:rPr>
          <w:rStyle w:val="22"/>
          <w:color w:val="auto"/>
        </w:rPr>
      </w:pPr>
      <w:r>
        <w:fldChar w:fldCharType="begin"/>
      </w:r>
      <w:r>
        <w:instrText xml:space="preserve"> HYPERLINK \l "_Toc63246062" </w:instrText>
      </w:r>
      <w:r>
        <w:fldChar w:fldCharType="separate"/>
      </w:r>
      <w:r>
        <w:rPr>
          <w:rStyle w:val="22"/>
          <w:rFonts w:hint="eastAsia"/>
          <w:color w:val="auto"/>
        </w:rPr>
        <w:t>南昌市</w:t>
      </w:r>
      <w:r>
        <w:rPr>
          <w:rStyle w:val="22"/>
          <w:color w:val="auto"/>
        </w:rPr>
        <w:t>“</w:t>
      </w:r>
      <w:r>
        <w:rPr>
          <w:rStyle w:val="22"/>
          <w:rFonts w:hint="eastAsia"/>
          <w:color w:val="auto"/>
        </w:rPr>
        <w:t>十四五</w:t>
      </w:r>
      <w:r>
        <w:rPr>
          <w:rStyle w:val="22"/>
          <w:color w:val="auto"/>
        </w:rPr>
        <w:t>”</w:t>
      </w:r>
      <w:r>
        <w:rPr>
          <w:rStyle w:val="22"/>
          <w:rFonts w:hint="eastAsia"/>
          <w:color w:val="auto"/>
        </w:rPr>
        <w:t>城市管理任务汇总表</w:t>
      </w:r>
      <w:r>
        <w:rPr>
          <w:rStyle w:val="22"/>
          <w:color w:val="auto"/>
        </w:rPr>
        <w:tab/>
      </w:r>
      <w:r>
        <w:rPr>
          <w:rStyle w:val="22"/>
          <w:color w:val="auto"/>
        </w:rPr>
        <w:fldChar w:fldCharType="begin"/>
      </w:r>
      <w:r>
        <w:rPr>
          <w:rStyle w:val="22"/>
          <w:color w:val="auto"/>
        </w:rPr>
        <w:instrText xml:space="preserve"> PAGEREF _Toc63246062 \h </w:instrText>
      </w:r>
      <w:r>
        <w:rPr>
          <w:rStyle w:val="22"/>
          <w:color w:val="auto"/>
        </w:rPr>
        <w:fldChar w:fldCharType="separate"/>
      </w:r>
      <w:r>
        <w:rPr>
          <w:rStyle w:val="22"/>
          <w:color w:val="auto"/>
        </w:rPr>
        <w:t>122</w:t>
      </w:r>
      <w:r>
        <w:rPr>
          <w:rStyle w:val="22"/>
          <w:color w:val="auto"/>
        </w:rPr>
        <w:fldChar w:fldCharType="end"/>
      </w:r>
      <w:r>
        <w:rPr>
          <w:rStyle w:val="22"/>
          <w:color w:val="auto"/>
        </w:rPr>
        <w:fldChar w:fldCharType="end"/>
      </w:r>
    </w:p>
    <w:p>
      <w:pPr>
        <w:widowControl/>
        <w:tabs>
          <w:tab w:val="left" w:pos="1050"/>
          <w:tab w:val="right" w:leader="dot" w:pos="8296"/>
        </w:tabs>
        <w:spacing w:line="0" w:lineRule="atLeast"/>
        <w:jc w:val="left"/>
        <w:rPr>
          <w:rFonts w:ascii="Times New Roman" w:hAnsi="Times New Roman" w:eastAsia="黑体" w:cs="Times New Roman"/>
          <w:sz w:val="40"/>
          <w:szCs w:val="36"/>
        </w:rPr>
        <w:sectPr>
          <w:footerReference r:id="rId3" w:type="default"/>
          <w:pgSz w:w="11906" w:h="16838"/>
          <w:pgMar w:top="1361" w:right="1417" w:bottom="1361" w:left="1757" w:header="851" w:footer="992" w:gutter="0"/>
          <w:cols w:space="0" w:num="1"/>
          <w:docGrid w:type="lines" w:linePitch="312" w:charSpace="0"/>
        </w:sectPr>
      </w:pPr>
      <w:r>
        <w:rPr>
          <w:rFonts w:ascii="Times New Roman" w:hAnsi="Times New Roman" w:eastAsia="黑体" w:cs="Times New Roman"/>
          <w:sz w:val="40"/>
          <w:szCs w:val="36"/>
        </w:rPr>
        <w:fldChar w:fldCharType="end"/>
      </w:r>
    </w:p>
    <w:p>
      <w:pPr>
        <w:pStyle w:val="28"/>
        <w:numPr>
          <w:ilvl w:val="0"/>
          <w:numId w:val="1"/>
        </w:numPr>
        <w:spacing w:beforeLines="100" w:afterLines="100" w:line="360" w:lineRule="auto"/>
        <w:ind w:firstLineChars="0"/>
        <w:jc w:val="center"/>
        <w:outlineLvl w:val="0"/>
        <w:rPr>
          <w:rFonts w:ascii="Times New Roman" w:hAnsi="Times New Roman" w:eastAsia="黑体" w:cs="Times New Roman"/>
          <w:sz w:val="36"/>
          <w:szCs w:val="36"/>
        </w:rPr>
      </w:pPr>
      <w:bookmarkStart w:id="11" w:name="_Toc63245978"/>
      <w:r>
        <w:rPr>
          <w:rFonts w:hint="eastAsia" w:ascii="Times New Roman" w:hAnsi="Times New Roman" w:eastAsia="黑体" w:cs="Times New Roman"/>
          <w:sz w:val="36"/>
          <w:szCs w:val="36"/>
        </w:rPr>
        <w:t>规划背景</w:t>
      </w:r>
      <w:bookmarkEnd w:id="11"/>
    </w:p>
    <w:p>
      <w:pPr>
        <w:pStyle w:val="16"/>
        <w:numPr>
          <w:ilvl w:val="0"/>
          <w:numId w:val="2"/>
        </w:numPr>
        <w:shd w:val="clear" w:color="auto" w:fill="FFFFFF"/>
        <w:spacing w:before="20" w:beforeAutospacing="0" w:after="20" w:afterAutospacing="0" w:line="360" w:lineRule="auto"/>
        <w:ind w:left="0" w:firstLine="642" w:firstLineChars="200"/>
        <w:jc w:val="both"/>
        <w:outlineLvl w:val="2"/>
        <w:rPr>
          <w:rStyle w:val="20"/>
          <w:rFonts w:ascii="仿宋" w:hAnsi="仿宋" w:eastAsia="仿宋" w:cs="仿宋"/>
          <w:bCs w:val="0"/>
          <w:sz w:val="32"/>
          <w:szCs w:val="32"/>
        </w:rPr>
      </w:pPr>
      <w:bookmarkStart w:id="12" w:name="_Toc63245979"/>
      <w:r>
        <w:rPr>
          <w:rStyle w:val="20"/>
          <w:rFonts w:hint="eastAsia" w:ascii="仿宋" w:hAnsi="仿宋" w:eastAsia="仿宋" w:cs="仿宋"/>
          <w:bCs w:val="0"/>
          <w:sz w:val="32"/>
          <w:szCs w:val="32"/>
        </w:rPr>
        <w:t>习近平总书记对城市管理工作的要求</w:t>
      </w:r>
      <w:bookmarkEnd w:id="12"/>
    </w:p>
    <w:p>
      <w:pPr>
        <w:pStyle w:val="16"/>
        <w:shd w:val="clear" w:color="auto" w:fill="FFFFFF"/>
        <w:spacing w:before="120" w:beforeAutospacing="0" w:after="120" w:afterAutospacing="0"/>
        <w:ind w:firstLine="482"/>
        <w:jc w:val="both"/>
        <w:rPr>
          <w:rStyle w:val="20"/>
          <w:rFonts w:ascii="仿宋" w:hAnsi="仿宋" w:eastAsia="仿宋" w:cs="仿宋"/>
          <w:bCs w:val="0"/>
          <w:sz w:val="32"/>
          <w:szCs w:val="32"/>
        </w:rPr>
      </w:pPr>
      <w:r>
        <w:rPr>
          <w:rStyle w:val="20"/>
          <w:rFonts w:hint="eastAsia" w:ascii="仿宋" w:hAnsi="仿宋" w:eastAsia="仿宋" w:cs="仿宋"/>
          <w:bCs w:val="0"/>
          <w:sz w:val="32"/>
          <w:szCs w:val="32"/>
        </w:rPr>
        <w:t>（一）以人为本，以民为本</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城市管理工作必须牢固树立为人民管理城市的理念。城市的核心是人，关键是12个字：衣食住行、生老病死、安居乐业。城市工作做得好不好，老百姓满意不满意，生活方便不方便，城市管理和服务状况是重要评判标准。抓城市工作，一定要抓住城市管理和服务这个重点，不断完善城市管理和服务，彻底改变粗放型管理方式，让人民群众在城市生活得更方便、更舒心、更美好。</w:t>
      </w:r>
    </w:p>
    <w:p>
      <w:pPr>
        <w:pStyle w:val="16"/>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（二）城市管理要像绣花一样精细</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2017年2月，习近平总书记在北京视察时指示：要探索构建超大城市治理体系，城市管理要像绣花一样精细。越是超大城市，管理越要精细。2017年3月5日，习近平总书记在全国“两会”期间参加上海代表团审议时强调：走出一条符合超大城市特点和规律的社会治理新路子，是关系上海发展的大问题。城市管理应该像绣花一样精细。城市精细化管理，必须适应城市发展。</w:t>
      </w:r>
    </w:p>
    <w:p>
      <w:pPr>
        <w:pStyle w:val="16"/>
        <w:numPr>
          <w:ilvl w:val="0"/>
          <w:numId w:val="3"/>
        </w:numPr>
        <w:shd w:val="clear" w:color="auto" w:fill="FFFFFF"/>
        <w:spacing w:before="120" w:beforeAutospacing="0" w:after="120" w:afterAutospacing="0" w:line="560" w:lineRule="exact"/>
        <w:ind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要强化智能化管理水平</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要强化智能化管理，提高城市管理标准，更多运用互联网、大数据等信息技术手段，提高城市科学化、精细化、智能化管理水平。</w:t>
      </w:r>
    </w:p>
    <w:p>
      <w:pPr>
        <w:pStyle w:val="16"/>
        <w:numPr>
          <w:ilvl w:val="0"/>
          <w:numId w:val="3"/>
        </w:numPr>
        <w:shd w:val="clear" w:color="auto" w:fill="FFFFFF"/>
        <w:spacing w:before="120" w:beforeAutospacing="0" w:after="120" w:afterAutospacing="0" w:line="560" w:lineRule="exact"/>
        <w:ind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形成综合治理格局</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构建“权责明晰、服务为先、管理优化、执法规范、安全有序”的城市管理体制。加大现代信息技术应用力度、创新城市治理方式、实现多元共治。</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要强化依法治理，善于运用法治思维和法治方式解决城市治理顽症难题，努力形成城市综合管理法治化新格局。</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要加快补好短板，聚焦影响城市安全、制约发展、群众反映强烈的突出问题，加强综合整治，形成常态长效管理机制，努力让城市更有序、更安全。</w:t>
      </w:r>
    </w:p>
    <w:p>
      <w:pPr>
        <w:pStyle w:val="16"/>
        <w:numPr>
          <w:ilvl w:val="0"/>
          <w:numId w:val="3"/>
        </w:numPr>
        <w:shd w:val="clear" w:color="auto" w:fill="FFFFFF"/>
        <w:spacing w:before="120" w:beforeAutospacing="0" w:after="120" w:afterAutospacing="0" w:line="560" w:lineRule="exact"/>
        <w:ind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一个尊重、五个统筹</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一个尊重就是尊重城市发展规律，可以概括为：一个中心、三个相适应。</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“一个中心”是坚持以人民为中心的发展思想，坚持人民城市为人民；“三个适应”包括：城市与经济发展相适应；城市与人口规模相适应； 城市与资源环境承载力相适应。</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五个统筹：①统筹空间、规模、产业三大结构，提高城市工作全局性，②统筹规划、建设、管理三大环节，提高城市工作的系统性，③统筹改革、科技、文化三大动力，提高城市发展持续性，④统筹生产、生活、生态三大布局，提高城市发展的宜居性，⑤统筹政府、社会、市民三大主体，提高各方推动城市发展的积极性。</w:t>
      </w:r>
    </w:p>
    <w:p>
      <w:pPr>
        <w:pStyle w:val="16"/>
        <w:numPr>
          <w:ilvl w:val="0"/>
          <w:numId w:val="2"/>
        </w:numPr>
        <w:shd w:val="clear" w:color="auto" w:fill="FFFFFF"/>
        <w:spacing w:before="20" w:beforeAutospacing="0" w:after="20" w:afterAutospacing="0" w:line="360" w:lineRule="auto"/>
        <w:ind w:left="0" w:firstLine="642" w:firstLineChars="200"/>
        <w:jc w:val="both"/>
        <w:outlineLvl w:val="2"/>
        <w:rPr>
          <w:rStyle w:val="20"/>
          <w:rFonts w:ascii="仿宋" w:hAnsi="仿宋" w:eastAsia="仿宋" w:cs="仿宋"/>
          <w:bCs w:val="0"/>
          <w:sz w:val="32"/>
          <w:szCs w:val="32"/>
        </w:rPr>
      </w:pPr>
      <w:bookmarkStart w:id="13" w:name="_Toc63245980"/>
      <w:r>
        <w:rPr>
          <w:rStyle w:val="20"/>
          <w:rFonts w:hint="eastAsia" w:ascii="仿宋" w:hAnsi="仿宋" w:eastAsia="仿宋" w:cs="仿宋"/>
          <w:bCs w:val="0"/>
          <w:sz w:val="32"/>
          <w:szCs w:val="32"/>
        </w:rPr>
        <w:t>省、市政府对城市管理工作的要求</w:t>
      </w:r>
      <w:bookmarkEnd w:id="13"/>
    </w:p>
    <w:p>
      <w:pPr>
        <w:pStyle w:val="16"/>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（一）省委省政府相关要求</w:t>
      </w:r>
    </w:p>
    <w:p>
      <w:pPr>
        <w:autoSpaceDE w:val="0"/>
        <w:autoSpaceDN w:val="0"/>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江西省委书记刘奇在南昌调研时强调：环境就是民生，要以问题为导向，积极回应群众关切，坚决整改、综合施策、标本兼治。要以对人民高度负责的态度，切实抓好各项措施的落实落地，还百姓清新的空气。改善民生既要尽力而为，又要量力而行。必须根据发展阶段、现实基础和群众需求，区分轻重缓急，科学合理安排，确保每一分钱都用在刀刃上、每一件事都办到老百姓心坎上。不能好大喜功、脱离实际，更不能搞花架子、造“盆景”。</w:t>
      </w:r>
    </w:p>
    <w:p>
      <w:pPr>
        <w:autoSpaceDE w:val="0"/>
        <w:autoSpaceDN w:val="0"/>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江西省省长易炼红在省住建厅调研时强调：管理要成就“美”，要提高城市管理的数字化、精细化水平，彰显城市应有的温度、应有的情怀、应有的品位，体现人文关怀，而不是冷冰冰。城市管理要依法依规、从严从高，不能松懈、不能降低标准，必须从严。</w:t>
      </w:r>
    </w:p>
    <w:p>
      <w:pPr>
        <w:pStyle w:val="16"/>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（二）市委市政府对城市管理工作的要求</w:t>
      </w:r>
    </w:p>
    <w:p>
      <w:pPr>
        <w:autoSpaceDE w:val="0"/>
        <w:autoSpaceDN w:val="0"/>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2019年3月，为认真贯彻落实《江西省城市功能与品质提升三年行动方案》(赣办字[2018]55号)，南昌市委、市政府印发了《南昌市城市功能与品质提升三年行动暨深入推进“美丽南昌·幸福家园”环境综合整治买施方案》，通过大力开展城市功能和品质提升三年行动(2019-2021)，全面提升城市功能与品质，全面提升城市监测监管水平，全面提升城市智慧管理水平，力争买现“一年上台阶，两年进一流，三年创特色”的工作目标，提前一年完成省委、省政府提出的城市功能与品质提升行动目标任务。</w:t>
      </w:r>
    </w:p>
    <w:p>
      <w:pPr>
        <w:autoSpaceDE w:val="0"/>
        <w:autoSpaceDN w:val="0"/>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2020年4月，为落实全省深入推进爱国卫生运动暨城乡环境综合整治工作会议精神，持续深入推进城市功能与品质提升三年行动，市委、市政府印发了《</w:t>
      </w:r>
      <w:r>
        <w:rPr>
          <w:rStyle w:val="20"/>
          <w:rFonts w:hint="eastAsia" w:ascii="仿宋" w:hAnsi="仿宋" w:eastAsia="仿宋" w:cs="仿宋"/>
          <w:b w:val="0"/>
          <w:sz w:val="32"/>
          <w:szCs w:val="32"/>
        </w:rPr>
        <w:t>彰显省会担当 唱响“南昌品牌”城市建管十大提升行动实施方案</w:t>
      </w:r>
      <w:r>
        <w:rPr>
          <w:rStyle w:val="20"/>
          <w:rFonts w:hint="eastAsia" w:ascii="仿宋" w:hAnsi="仿宋" w:eastAsia="仿宋" w:cs="仿宋"/>
          <w:b w:val="0"/>
          <w:kern w:val="0"/>
          <w:sz w:val="32"/>
          <w:szCs w:val="32"/>
        </w:rPr>
        <w:t>》，决定从2020年起，开展为期两年的公园绿道建设、河湖水系治理、老旧小区改造、公共服务设施、管理体制机制等城市建管十大提升行动，按照“精心规划、精致建设、精细管理、精美呈现”的总体要求，以建设“山水名城、生态都市”为目标，着力补短板、强弱项、建机制，完善功能设施，改善人居环境，发挥特色优势，彰显城市品质，展现“山水相依、景城一体、诗情画意、宜居宜游”的独特魅力，充分彰显省会担当，唱响城市建管“南昌品牌”，把南昌打造成为可阅读、有温度、宜居宜业的国际化、现代化的山水花园都市。通过大力开展城市建管十大提升行动，使南昌人居环境更美、生态环境更优、文娱去处更多，不断提升广大市民群众的获得感、幸福感和安全感。</w:t>
      </w:r>
    </w:p>
    <w:p>
      <w:pPr>
        <w:pStyle w:val="16"/>
        <w:numPr>
          <w:ilvl w:val="0"/>
          <w:numId w:val="2"/>
        </w:numPr>
        <w:shd w:val="clear" w:color="auto" w:fill="FFFFFF"/>
        <w:spacing w:before="20" w:beforeAutospacing="0" w:after="20" w:afterAutospacing="0" w:line="360" w:lineRule="auto"/>
        <w:ind w:left="0" w:firstLine="642" w:firstLineChars="200"/>
        <w:jc w:val="both"/>
        <w:outlineLvl w:val="2"/>
        <w:rPr>
          <w:rStyle w:val="20"/>
          <w:rFonts w:ascii="仿宋" w:hAnsi="仿宋" w:eastAsia="仿宋" w:cs="仿宋"/>
          <w:bCs w:val="0"/>
          <w:sz w:val="32"/>
          <w:szCs w:val="32"/>
        </w:rPr>
      </w:pPr>
      <w:bookmarkStart w:id="14" w:name="_Toc63245981"/>
      <w:r>
        <w:rPr>
          <w:rStyle w:val="20"/>
          <w:rFonts w:hint="eastAsia" w:ascii="仿宋" w:hAnsi="仿宋" w:eastAsia="仿宋" w:cs="仿宋"/>
          <w:bCs w:val="0"/>
          <w:sz w:val="32"/>
          <w:szCs w:val="32"/>
        </w:rPr>
        <w:t>人民对城市管理工作提出的诉求和希望</w:t>
      </w:r>
      <w:bookmarkEnd w:id="14"/>
    </w:p>
    <w:p>
      <w:pPr>
        <w:pStyle w:val="16"/>
        <w:numPr>
          <w:ilvl w:val="0"/>
          <w:numId w:val="4"/>
        </w:numPr>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城市更加健康</w:t>
      </w:r>
    </w:p>
    <w:p>
      <w:pPr>
        <w:pStyle w:val="16"/>
        <w:shd w:val="clear" w:color="auto" w:fill="FFFFFF"/>
        <w:spacing w:before="120" w:beforeAutospacing="0" w:after="12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通过城市治理，使得城市市民能看到水更清、山更绿、天更蓝、大气更洁净。</w:t>
      </w:r>
    </w:p>
    <w:p>
      <w:pPr>
        <w:pStyle w:val="16"/>
        <w:numPr>
          <w:ilvl w:val="0"/>
          <w:numId w:val="4"/>
        </w:numPr>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生活更加便捷</w:t>
      </w:r>
    </w:p>
    <w:p>
      <w:pPr>
        <w:pStyle w:val="16"/>
        <w:shd w:val="clear" w:color="auto" w:fill="FFFFFF"/>
        <w:spacing w:before="120" w:beforeAutospacing="0" w:after="12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提高城市的各项配套设施水平，如建设邻里社区中心“1+5+X”等，建设智慧社区，让市民感受到生活更便捷。</w:t>
      </w:r>
    </w:p>
    <w:p>
      <w:pPr>
        <w:pStyle w:val="16"/>
        <w:numPr>
          <w:ilvl w:val="0"/>
          <w:numId w:val="4"/>
        </w:numPr>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市容更加靓丽</w:t>
      </w:r>
    </w:p>
    <w:p>
      <w:pPr>
        <w:pStyle w:val="16"/>
        <w:shd w:val="clear" w:color="auto" w:fill="FFFFFF"/>
        <w:spacing w:before="120" w:beforeAutospacing="0" w:after="12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通过对沿街立面、老旧小区、背街小巷、城中村的改造提升，让市民看到更整齐的街道，更美丽的夜景，更美好的社区。</w:t>
      </w:r>
    </w:p>
    <w:p>
      <w:pPr>
        <w:pStyle w:val="16"/>
        <w:numPr>
          <w:ilvl w:val="0"/>
          <w:numId w:val="4"/>
        </w:numPr>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供给更加保障</w:t>
      </w:r>
    </w:p>
    <w:p>
      <w:pPr>
        <w:pStyle w:val="16"/>
        <w:shd w:val="clear" w:color="auto" w:fill="FFFFFF"/>
        <w:spacing w:before="120" w:beforeAutospacing="0" w:after="12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提升供水、燃气、供电、通讯、雨污收集等市政设施水平，维护好管网，建设好海绵城市，让市民的用水、用电、用气有保障。</w:t>
      </w:r>
    </w:p>
    <w:p>
      <w:pPr>
        <w:pStyle w:val="16"/>
        <w:numPr>
          <w:ilvl w:val="0"/>
          <w:numId w:val="4"/>
        </w:numPr>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特色更加彰显</w:t>
      </w:r>
    </w:p>
    <w:p>
      <w:pPr>
        <w:pStyle w:val="16"/>
        <w:shd w:val="clear" w:color="auto" w:fill="FFFFFF"/>
        <w:spacing w:before="120" w:beforeAutospacing="0" w:after="12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通过园林绿化建设、红色文化塑造、豫章文化保护，让市民看到有文化、有特色的魅力南昌。</w:t>
      </w:r>
    </w:p>
    <w:p>
      <w:pPr>
        <w:pStyle w:val="16"/>
        <w:numPr>
          <w:ilvl w:val="0"/>
          <w:numId w:val="4"/>
        </w:numPr>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交通更加顺畅</w:t>
      </w:r>
    </w:p>
    <w:p>
      <w:pPr>
        <w:pStyle w:val="16"/>
        <w:shd w:val="clear" w:color="auto" w:fill="FFFFFF"/>
        <w:spacing w:before="120" w:beforeAutospacing="0" w:after="12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通过综合交通体系、交通枢纽、交通设施、停车设施建设等，运用智慧化的技术，使市民出行更顺畅。</w:t>
      </w:r>
    </w:p>
    <w:p>
      <w:pPr>
        <w:pStyle w:val="16"/>
        <w:numPr>
          <w:ilvl w:val="0"/>
          <w:numId w:val="4"/>
        </w:numPr>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环境更加整洁</w:t>
      </w:r>
    </w:p>
    <w:p>
      <w:pPr>
        <w:pStyle w:val="16"/>
        <w:shd w:val="clear" w:color="auto" w:fill="FFFFFF"/>
        <w:spacing w:before="120" w:beforeAutospacing="0" w:after="12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通过各种环卫设施建设，各项保洁水平的提高，让市民看到一个更加整齐洁净的南昌。</w:t>
      </w:r>
    </w:p>
    <w:p>
      <w:pPr>
        <w:pStyle w:val="16"/>
        <w:numPr>
          <w:ilvl w:val="0"/>
          <w:numId w:val="2"/>
        </w:numPr>
        <w:shd w:val="clear" w:color="auto" w:fill="FFFFFF"/>
        <w:spacing w:before="20" w:beforeAutospacing="0" w:after="20" w:afterAutospacing="0" w:line="360" w:lineRule="auto"/>
        <w:ind w:left="0" w:firstLine="642" w:firstLineChars="200"/>
        <w:jc w:val="both"/>
        <w:outlineLvl w:val="2"/>
        <w:rPr>
          <w:rStyle w:val="20"/>
          <w:rFonts w:ascii="仿宋" w:hAnsi="仿宋" w:eastAsia="仿宋" w:cs="仿宋"/>
          <w:bCs w:val="0"/>
          <w:sz w:val="32"/>
          <w:szCs w:val="32"/>
        </w:rPr>
      </w:pPr>
      <w:bookmarkStart w:id="15" w:name="_Toc63245982"/>
      <w:r>
        <w:rPr>
          <w:rStyle w:val="20"/>
          <w:rFonts w:hint="eastAsia" w:ascii="仿宋" w:hAnsi="仿宋" w:eastAsia="仿宋" w:cs="仿宋"/>
          <w:bCs w:val="0"/>
          <w:sz w:val="32"/>
          <w:szCs w:val="32"/>
        </w:rPr>
        <w:t>国土空间规划背景下城市管理发展规划的意义</w:t>
      </w:r>
      <w:bookmarkEnd w:id="15"/>
    </w:p>
    <w:p>
      <w:pPr>
        <w:pStyle w:val="16"/>
        <w:numPr>
          <w:ilvl w:val="0"/>
          <w:numId w:val="5"/>
        </w:numPr>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以“管理”为核心的总体规划</w:t>
      </w:r>
    </w:p>
    <w:p>
      <w:pPr>
        <w:pStyle w:val="16"/>
        <w:shd w:val="clear" w:color="auto" w:fill="FFFFFF"/>
        <w:spacing w:before="120" w:beforeAutospacing="0" w:after="12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城市管理发展规划是以“管理”为核心的总体规划，应协调好规建管的关系。</w:t>
      </w:r>
    </w:p>
    <w:p>
      <w:pPr>
        <w:pStyle w:val="16"/>
        <w:numPr>
          <w:ilvl w:val="0"/>
          <w:numId w:val="5"/>
        </w:numPr>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与国土空间规划协同构建</w:t>
      </w:r>
    </w:p>
    <w:p>
      <w:pPr>
        <w:pStyle w:val="16"/>
        <w:shd w:val="clear" w:color="auto" w:fill="FFFFFF"/>
        <w:spacing w:before="120" w:beforeAutospacing="0" w:after="12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国家构筑了国土空间规划“五级、三类”体系，南昌市国土空间规划对城市管理提出了新要求。</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1、同步构建国土空间规划一张图实施监督体系。开展规划动态检测评估预警，加强实施监管。</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2、逐步实现可感知、能学习、善治理、自适应的智慧规划。</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3、提出了城市管理的相关指标要求。</w:t>
      </w:r>
    </w:p>
    <w:p>
      <w:pPr>
        <w:pStyle w:val="16"/>
        <w:numPr>
          <w:ilvl w:val="0"/>
          <w:numId w:val="5"/>
        </w:numPr>
        <w:shd w:val="clear" w:color="auto" w:fill="FFFFFF"/>
        <w:spacing w:before="120" w:beforeAutospacing="0" w:after="120" w:afterAutospacing="0" w:line="560" w:lineRule="exact"/>
        <w:ind w:firstLine="480"/>
        <w:jc w:val="both"/>
        <w:rPr>
          <w:rStyle w:val="20"/>
          <w:rFonts w:ascii="仿宋" w:hAnsi="仿宋" w:eastAsia="仿宋" w:cs="仿宋"/>
          <w:bCs w:val="0"/>
          <w:sz w:val="32"/>
          <w:szCs w:val="32"/>
        </w:rPr>
      </w:pPr>
      <w:r>
        <w:rPr>
          <w:rStyle w:val="20"/>
          <w:rFonts w:hint="eastAsia" w:ascii="仿宋" w:hAnsi="仿宋" w:eastAsia="仿宋" w:cs="仿宋"/>
          <w:bCs w:val="0"/>
          <w:sz w:val="32"/>
          <w:szCs w:val="32"/>
        </w:rPr>
        <w:t>涉及城市管理工作的上位依据</w:t>
      </w:r>
    </w:p>
    <w:p>
      <w:pPr>
        <w:pStyle w:val="16"/>
        <w:shd w:val="clear" w:color="auto" w:fill="FFFFFF"/>
        <w:spacing w:before="120" w:beforeAutospacing="0" w:after="120" w:afterAutospacing="0"/>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drawing>
          <wp:inline distT="0" distB="0" distL="0" distR="0">
            <wp:extent cx="4592955" cy="1508760"/>
            <wp:effectExtent l="19050" t="0" r="0" b="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0" cstate="print"/>
                    <a:srcRect/>
                    <a:stretch>
                      <a:fillRect/>
                    </a:stretch>
                  </pic:blipFill>
                  <pic:spPr>
                    <a:xfrm>
                      <a:off x="0" y="0"/>
                      <a:ext cx="4592955" cy="1508760"/>
                    </a:xfrm>
                    <a:prstGeom prst="rect">
                      <a:avLst/>
                    </a:prstGeom>
                  </pic:spPr>
                </pic:pic>
              </a:graphicData>
            </a:graphic>
          </wp:inline>
        </w:drawing>
      </w:r>
    </w:p>
    <w:p>
      <w:pPr>
        <w:pStyle w:val="16"/>
        <w:shd w:val="clear" w:color="auto" w:fill="FFFFFF"/>
        <w:spacing w:before="120" w:beforeAutospacing="0" w:after="120" w:afterAutospacing="0"/>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城市管理发展规划是政府实现城市管理工作的总纲，指导城市管理相关职能部门工作的上位依据，实施城市管理重大举措的具体抓手。</w:t>
      </w:r>
    </w:p>
    <w:p>
      <w:pPr>
        <w:widowControl/>
        <w:jc w:val="left"/>
        <w:rPr>
          <w:rStyle w:val="20"/>
          <w:rFonts w:ascii="仿宋" w:hAnsi="仿宋" w:eastAsia="仿宋" w:cs="仿宋"/>
          <w:b w:val="0"/>
          <w:kern w:val="0"/>
          <w:sz w:val="32"/>
          <w:szCs w:val="32"/>
        </w:rPr>
      </w:pPr>
      <w:r>
        <w:rPr>
          <w:rStyle w:val="20"/>
          <w:rFonts w:ascii="仿宋" w:hAnsi="仿宋" w:eastAsia="仿宋" w:cs="仿宋"/>
          <w:b w:val="0"/>
          <w:sz w:val="32"/>
          <w:szCs w:val="32"/>
        </w:rPr>
        <w:br w:type="page"/>
      </w:r>
    </w:p>
    <w:p>
      <w:pPr>
        <w:pStyle w:val="28"/>
        <w:numPr>
          <w:ilvl w:val="0"/>
          <w:numId w:val="1"/>
        </w:numPr>
        <w:spacing w:beforeLines="100" w:afterLines="100" w:line="360" w:lineRule="auto"/>
        <w:ind w:firstLineChars="0"/>
        <w:jc w:val="center"/>
        <w:outlineLvl w:val="0"/>
        <w:rPr>
          <w:rFonts w:ascii="Times New Roman" w:hAnsi="Times New Roman" w:eastAsia="黑体" w:cs="Times New Roman"/>
          <w:sz w:val="44"/>
          <w:szCs w:val="44"/>
        </w:rPr>
      </w:pPr>
      <w:bookmarkStart w:id="16" w:name="_Toc63245983"/>
      <w:r>
        <w:rPr>
          <w:rFonts w:hint="eastAsia" w:ascii="Times New Roman" w:hAnsi="Times New Roman" w:eastAsia="黑体" w:cs="Times New Roman"/>
          <w:sz w:val="44"/>
          <w:szCs w:val="44"/>
        </w:rPr>
        <w:t>现状及问题</w:t>
      </w:r>
      <w:bookmarkEnd w:id="16"/>
    </w:p>
    <w:p>
      <w:pPr>
        <w:spacing w:beforeLines="50" w:afterLines="50" w:line="560" w:lineRule="exact"/>
        <w:jc w:val="center"/>
        <w:outlineLvl w:val="1"/>
        <w:rPr>
          <w:rFonts w:ascii="仿宋" w:hAnsi="仿宋" w:eastAsia="仿宋" w:cs="仿宋"/>
          <w:b/>
          <w:bCs/>
          <w:sz w:val="32"/>
          <w:szCs w:val="32"/>
        </w:rPr>
      </w:pPr>
      <w:bookmarkStart w:id="17" w:name="_Toc63245984"/>
      <w:r>
        <w:rPr>
          <w:rFonts w:hint="eastAsia" w:ascii="仿宋" w:hAnsi="仿宋" w:eastAsia="仿宋" w:cs="仿宋"/>
          <w:b/>
          <w:bCs/>
          <w:sz w:val="32"/>
          <w:szCs w:val="32"/>
        </w:rPr>
        <w:t>第一节  城市管理主要成效</w:t>
      </w:r>
      <w:bookmarkEnd w:id="17"/>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近年来，尤其是自开展“美丽南昌•幸福家园”环境综合整治工程以来，南昌市城市管理坚持科学发展，不断开拓创新，大力提升城市综合管理水平，市容环境、基础设施、园林绿化、城管执法等方面得到了全面提升，实现了</w:t>
      </w:r>
      <w:r>
        <w:rPr>
          <w:rFonts w:hint="eastAsia" w:ascii="仿宋" w:hAnsi="仿宋" w:eastAsia="仿宋" w:cs="仿宋"/>
          <w:sz w:val="32"/>
          <w:szCs w:val="32"/>
        </w:rPr>
        <w:t>“一年有变化、</w:t>
      </w:r>
      <w:r>
        <w:rPr>
          <w:rStyle w:val="20"/>
          <w:rFonts w:hint="eastAsia" w:ascii="仿宋" w:hAnsi="仿宋" w:eastAsia="仿宋" w:cs="仿宋"/>
          <w:b w:val="0"/>
          <w:sz w:val="32"/>
          <w:szCs w:val="32"/>
        </w:rPr>
        <w:t>两年出形象、三年上台阶</w:t>
      </w:r>
      <w:r>
        <w:rPr>
          <w:rFonts w:hint="eastAsia" w:ascii="仿宋" w:hAnsi="仿宋" w:eastAsia="仿宋" w:cs="仿宋"/>
          <w:sz w:val="32"/>
          <w:szCs w:val="32"/>
        </w:rPr>
        <w:t>”</w:t>
      </w:r>
      <w:r>
        <w:rPr>
          <w:rStyle w:val="20"/>
          <w:rFonts w:hint="eastAsia" w:ascii="仿宋" w:hAnsi="仿宋" w:eastAsia="仿宋" w:cs="仿宋"/>
          <w:b w:val="0"/>
          <w:sz w:val="32"/>
          <w:szCs w:val="32"/>
        </w:rPr>
        <w:t>的目标，城市颜值大幅提升，环境秩序明显改善，提升了市民的获得感和归属感。</w:t>
      </w:r>
    </w:p>
    <w:p>
      <w:pPr>
        <w:pStyle w:val="16"/>
        <w:numPr>
          <w:ilvl w:val="0"/>
          <w:numId w:val="6"/>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18" w:name="_Toc63245985"/>
      <w:r>
        <w:rPr>
          <w:rStyle w:val="20"/>
          <w:rFonts w:hint="eastAsia" w:ascii="仿宋" w:hAnsi="仿宋" w:eastAsia="仿宋" w:cs="仿宋"/>
          <w:bCs w:val="0"/>
          <w:sz w:val="32"/>
          <w:szCs w:val="32"/>
        </w:rPr>
        <w:t>体制机制逐步健全</w:t>
      </w:r>
      <w:bookmarkEnd w:id="18"/>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（一）职能机构进一步健全。</w:t>
      </w:r>
      <w:r>
        <w:rPr>
          <w:rStyle w:val="20"/>
          <w:rFonts w:hint="eastAsia" w:ascii="仿宋" w:hAnsi="仿宋" w:eastAsia="仿宋" w:cs="仿宋"/>
          <w:b w:val="0"/>
          <w:sz w:val="32"/>
          <w:szCs w:val="32"/>
        </w:rPr>
        <w:t>不断深化体制改革，继续完善“大城管”体制，建立“两级政府、三级管理、四级网络”的管理体制，实现城市管理和执法重心下移，形成了市、区、街（镇）权责统一的层级管理框架，加强了综合执法、环卫保洁、市政燃气等城市管理队伍规范化建设，实现了服务、管理、执法的有机融合，合力推进环境卫生、违法占道、违法建设、施工渣土、立面整治、市政维修、交通秩序、园林、水务、空气质量等专项整治行动。</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（二）统筹协调机制逐步完善。</w:t>
      </w:r>
      <w:r>
        <w:rPr>
          <w:rStyle w:val="20"/>
          <w:rFonts w:hint="eastAsia" w:ascii="仿宋" w:hAnsi="仿宋" w:eastAsia="仿宋" w:cs="仿宋"/>
          <w:b w:val="0"/>
          <w:sz w:val="32"/>
          <w:szCs w:val="32"/>
        </w:rPr>
        <w:t>进一步健全城市管理的组织管理、高位协调、综合巡检、应急处理、综合考评、责任追究工作机制，实现了“统筹、协同、集中、高效”的城市管理。充分发挥考评的指挥棒、助推器效应，通过市级层面的高度重视倒逼各区加强城市管理工作，由南昌市城市管理工作领导小组办公室牵头对各区的组织计划、市容环卫、城市景观等方面，采用了常态化巡查、暗检、年终明检和民意测评等方式，开展了城市管理综合提升考评。</w:t>
      </w:r>
    </w:p>
    <w:p>
      <w:pPr>
        <w:pStyle w:val="16"/>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（三）法规体系更加完善</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 xml:space="preserve"> 城市管理法规体系进一步完善。城市管理依法行政能力不断提高，建设了涵盖领域广、标准高和操作性强的法规、规章、文件体系。制定和修订了《南昌市城市管理条例》、《南昌市燃气管理条例》、《南昌市城市建筑垃圾管理条例》、《南昌市餐厨垃圾管理办法》以及《南昌市城市桥梁隧道安全管理办法》等一系列法规规章，《“马路本色”行动环卫作业质量标准》、《南昌市环境卫生市场化监管办法》、《南昌市户外广告设施设置规范》、《南昌市门店招牌设置管理规范》等规范性文件，法规体系进一步完善，“法治城管”建设不断加快。</w:t>
      </w:r>
    </w:p>
    <w:p>
      <w:pPr>
        <w:pStyle w:val="16"/>
        <w:shd w:val="clear" w:color="auto" w:fill="FFFFFF"/>
        <w:spacing w:before="0" w:beforeAutospacing="0" w:after="0" w:afterAutospacing="0" w:line="560" w:lineRule="exact"/>
        <w:ind w:firstLine="640" w:firstLineChars="200"/>
        <w:jc w:val="both"/>
        <w:rPr>
          <w:rStyle w:val="20"/>
          <w:rFonts w:ascii="仿宋" w:hAnsi="仿宋" w:eastAsia="仿宋" w:cs="仿宋"/>
          <w:b w:val="0"/>
          <w:sz w:val="32"/>
          <w:szCs w:val="32"/>
        </w:rPr>
      </w:pPr>
      <w:r>
        <w:rPr>
          <w:rStyle w:val="20"/>
          <w:rFonts w:hint="eastAsia" w:ascii="仿宋" w:hAnsi="仿宋" w:eastAsia="仿宋" w:cs="仿宋"/>
          <w:b w:val="0"/>
          <w:sz w:val="32"/>
          <w:szCs w:val="32"/>
        </w:rPr>
        <w:t xml:space="preserve"> 城市管理规划体系不断完善。编制了建成区涵盖污水管网、燃气专项、城市家具、环卫专项、绿地系统、绿道网、照明专项等行业门类专项规划，完善了城市管理规划体系。</w:t>
      </w:r>
    </w:p>
    <w:p>
      <w:pPr>
        <w:pStyle w:val="16"/>
        <w:numPr>
          <w:ilvl w:val="0"/>
          <w:numId w:val="6"/>
        </w:numPr>
        <w:shd w:val="clear" w:color="auto" w:fill="FFFFFF"/>
        <w:spacing w:before="20" w:beforeAutospacing="0" w:after="20" w:afterAutospacing="0" w:line="560" w:lineRule="exact"/>
        <w:jc w:val="both"/>
        <w:outlineLvl w:val="2"/>
        <w:rPr>
          <w:rStyle w:val="20"/>
          <w:rFonts w:ascii="仿宋" w:hAnsi="仿宋" w:eastAsia="仿宋" w:cs="仿宋"/>
          <w:bCs w:val="0"/>
          <w:sz w:val="32"/>
          <w:szCs w:val="32"/>
        </w:rPr>
      </w:pPr>
      <w:bookmarkStart w:id="19" w:name="_Toc63245986"/>
      <w:r>
        <w:rPr>
          <w:rStyle w:val="20"/>
          <w:rFonts w:hint="eastAsia" w:ascii="仿宋" w:hAnsi="仿宋" w:eastAsia="仿宋" w:cs="仿宋"/>
          <w:bCs w:val="0"/>
          <w:sz w:val="32"/>
          <w:szCs w:val="32"/>
        </w:rPr>
        <w:t>环境卫生显著改善</w:t>
      </w:r>
      <w:bookmarkEnd w:id="19"/>
    </w:p>
    <w:p>
      <w:pPr>
        <w:pStyle w:val="16"/>
        <w:numPr>
          <w:ilvl w:val="0"/>
          <w:numId w:val="7"/>
        </w:numPr>
        <w:shd w:val="clear" w:color="auto" w:fill="FFFFFF"/>
        <w:spacing w:before="20" w:beforeAutospacing="0" w:after="20" w:afterAutospacing="0" w:line="560" w:lineRule="exact"/>
        <w:ind w:firstLine="642" w:firstLineChars="200"/>
        <w:jc w:val="both"/>
        <w:rPr>
          <w:rStyle w:val="20"/>
          <w:rFonts w:ascii="仿宋" w:hAnsi="仿宋" w:eastAsia="仿宋" w:cs="仿宋"/>
          <w:b w:val="0"/>
          <w:sz w:val="32"/>
          <w:szCs w:val="32"/>
        </w:rPr>
      </w:pPr>
      <w:r>
        <w:rPr>
          <w:rStyle w:val="20"/>
          <w:rFonts w:hint="eastAsia" w:ascii="仿宋" w:hAnsi="仿宋" w:eastAsia="仿宋" w:cs="仿宋"/>
          <w:sz w:val="32"/>
          <w:szCs w:val="32"/>
        </w:rPr>
        <w:t>道路更加清洁干净。</w:t>
      </w:r>
      <w:r>
        <w:rPr>
          <w:rStyle w:val="20"/>
          <w:rFonts w:hint="eastAsia" w:ascii="仿宋" w:hAnsi="仿宋" w:eastAsia="仿宋" w:cs="仿宋"/>
          <w:b w:val="0"/>
          <w:bCs w:val="0"/>
          <w:sz w:val="32"/>
          <w:szCs w:val="32"/>
        </w:rPr>
        <w:t>自开展</w:t>
      </w:r>
      <w:r>
        <w:rPr>
          <w:rStyle w:val="20"/>
          <w:rFonts w:hint="eastAsia" w:ascii="仿宋" w:hAnsi="仿宋" w:eastAsia="仿宋" w:cs="仿宋"/>
          <w:b w:val="0"/>
          <w:sz w:val="32"/>
          <w:szCs w:val="32"/>
        </w:rPr>
        <w:t>“马路本色”行动以来，全市主次干道路面净化得到稳定和巩固，背街小巷、社区环境卫生大幅改善，市民群众对城市环境卫生的满意度持续升高。环卫机械化作业车辆持续增加，道路机械化清扫率不断提高，主次干道达到</w:t>
      </w:r>
      <w:r>
        <w:rPr>
          <w:rStyle w:val="20"/>
          <w:rFonts w:ascii="仿宋" w:hAnsi="仿宋" w:eastAsia="仿宋" w:cs="仿宋"/>
          <w:b w:val="0"/>
          <w:sz w:val="32"/>
          <w:szCs w:val="32"/>
        </w:rPr>
        <w:t>100</w:t>
      </w:r>
      <w:r>
        <w:rPr>
          <w:rStyle w:val="20"/>
          <w:rFonts w:hint="eastAsia" w:ascii="仿宋" w:hAnsi="仿宋" w:eastAsia="仿宋" w:cs="仿宋"/>
          <w:b w:val="0"/>
          <w:sz w:val="32"/>
          <w:szCs w:val="32"/>
        </w:rPr>
        <w:t>%以上，城区道路达到</w:t>
      </w:r>
      <w:r>
        <w:rPr>
          <w:rStyle w:val="20"/>
          <w:rFonts w:ascii="仿宋" w:hAnsi="仿宋" w:eastAsia="仿宋" w:cs="仿宋"/>
          <w:b w:val="0"/>
          <w:sz w:val="32"/>
          <w:szCs w:val="32"/>
        </w:rPr>
        <w:t>85</w:t>
      </w:r>
      <w:r>
        <w:rPr>
          <w:rStyle w:val="20"/>
          <w:rFonts w:hint="eastAsia" w:ascii="仿宋" w:hAnsi="仿宋" w:eastAsia="仿宋" w:cs="仿宋"/>
          <w:b w:val="0"/>
          <w:sz w:val="32"/>
          <w:szCs w:val="32"/>
        </w:rPr>
        <w:t>%以上，路面洁净度明显提升。</w:t>
      </w:r>
    </w:p>
    <w:p>
      <w:pPr>
        <w:pStyle w:val="16"/>
        <w:shd w:val="clear" w:color="auto" w:fill="FFFFFF"/>
        <w:spacing w:before="20" w:beforeAutospacing="0" w:after="20" w:afterAutospacing="0" w:line="560" w:lineRule="exact"/>
        <w:ind w:firstLine="642" w:firstLineChars="200"/>
        <w:jc w:val="both"/>
        <w:rPr>
          <w:rStyle w:val="20"/>
          <w:rFonts w:ascii="仿宋" w:hAnsi="仿宋" w:eastAsia="仿宋" w:cs="仿宋"/>
          <w:b w:val="0"/>
          <w:sz w:val="32"/>
          <w:szCs w:val="32"/>
        </w:rPr>
      </w:pPr>
      <w:r>
        <w:rPr>
          <w:rStyle w:val="20"/>
          <w:rFonts w:hint="eastAsia" w:ascii="仿宋" w:hAnsi="仿宋" w:eastAsia="仿宋" w:cs="仿宋"/>
          <w:sz w:val="32"/>
          <w:szCs w:val="32"/>
        </w:rPr>
        <w:t>（二）“以克论净”城市保洁凸显成效。</w:t>
      </w:r>
      <w:r>
        <w:rPr>
          <w:rStyle w:val="20"/>
          <w:rFonts w:hint="eastAsia" w:ascii="仿宋" w:hAnsi="仿宋" w:eastAsia="仿宋" w:cs="仿宋"/>
          <w:b w:val="0"/>
          <w:sz w:val="32"/>
          <w:szCs w:val="32"/>
        </w:rPr>
        <w:t>严格按照“六个新”（新的保洁范围、新的洁净标准、新的考评办法、新的作业标准、新的经费标准、新的奖补政策）要求，重点从道路洁净度、保洁人员在岗率、环卫机械化作业车辆作业情况、环卫设施管养、环卫作业经费落实及环卫作业管养市场化率进行督查考核，在全市道路上实行“以克论净”考核，以每</w:t>
      </w:r>
      <w:r>
        <w:rPr>
          <w:rStyle w:val="20"/>
          <w:rFonts w:ascii="仿宋" w:hAnsi="仿宋" w:eastAsia="仿宋" w:cs="仿宋"/>
          <w:b w:val="0"/>
          <w:sz w:val="32"/>
          <w:szCs w:val="32"/>
        </w:rPr>
        <w:t>平方米污染</w:t>
      </w:r>
      <w:r>
        <w:rPr>
          <w:rStyle w:val="20"/>
          <w:rFonts w:hint="eastAsia" w:ascii="仿宋" w:hAnsi="仿宋" w:eastAsia="仿宋" w:cs="仿宋"/>
          <w:b w:val="0"/>
          <w:sz w:val="32"/>
          <w:szCs w:val="32"/>
        </w:rPr>
        <w:t>物</w:t>
      </w:r>
      <w:r>
        <w:rPr>
          <w:rStyle w:val="20"/>
          <w:rFonts w:ascii="仿宋" w:hAnsi="仿宋" w:eastAsia="仿宋" w:cs="仿宋"/>
          <w:b w:val="0"/>
          <w:sz w:val="32"/>
          <w:szCs w:val="32"/>
        </w:rPr>
        <w:t>重量来衡量</w:t>
      </w:r>
      <w:r>
        <w:rPr>
          <w:rStyle w:val="20"/>
          <w:rFonts w:hint="eastAsia" w:ascii="仿宋" w:hAnsi="仿宋" w:eastAsia="仿宋" w:cs="仿宋"/>
          <w:b w:val="0"/>
          <w:sz w:val="32"/>
          <w:szCs w:val="32"/>
        </w:rPr>
        <w:t>道路洁净度，提升环卫保洁考核水平。通过建立量化的测量评估考核体系，推动城市管理精细化更上一层楼。</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kern w:val="0"/>
          <w:sz w:val="32"/>
          <w:szCs w:val="32"/>
        </w:rPr>
        <w:t>（三）生活垃圾分类初见成效。</w:t>
      </w:r>
      <w:r>
        <w:rPr>
          <w:rStyle w:val="20"/>
          <w:rFonts w:hint="eastAsia" w:ascii="仿宋" w:hAnsi="仿宋" w:eastAsia="仿宋" w:cs="仿宋"/>
          <w:b w:val="0"/>
          <w:kern w:val="0"/>
          <w:sz w:val="32"/>
          <w:szCs w:val="32"/>
        </w:rPr>
        <w:t>大力推进垃圾分类制度，推进生活垃圾分类试点，成立了生活垃圾分类领导小组办公室，对全市生活垃圾分类工作进行督导、协调、检查、考核。全市已有57个试点小区全面启动了垃圾分类试点工作，设置了2.7万余个分类果壳箱和垃圾桶，建设11座小型垃圾分类转运中心。在全市范围内设置了生活垃圾分类户外广告宣传图片和标语等，积极开展垃圾分类进社区、进机关、进学校等宣传活动，完成了生活垃圾分类果壳箱的统一配置，营造了生活垃圾分类良好舆论氛围。</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kern w:val="0"/>
          <w:sz w:val="32"/>
          <w:szCs w:val="32"/>
        </w:rPr>
        <w:t>（四）“厕所革命”扎实推进。</w:t>
      </w:r>
      <w:r>
        <w:rPr>
          <w:rStyle w:val="20"/>
          <w:rFonts w:hint="eastAsia" w:ascii="仿宋" w:hAnsi="仿宋" w:eastAsia="仿宋" w:cs="仿宋"/>
          <w:b w:val="0"/>
          <w:kern w:val="0"/>
          <w:sz w:val="32"/>
          <w:szCs w:val="32"/>
        </w:rPr>
        <w:t>出台了《南昌市“厕所革命”三年行动实施方案》、《关于加快推进全市城区“厕所革命”的实施意见》及《南昌市城区环卫公厕和社会单位厕所对外开放的实施意见》等一系列规范性文件，明确了“厕所革命”三年工作任务和目标。全市城区（含县城驻地镇）现有1879座公厕，大力推广装配式公厕，建设时间短、使用寿命长、功能齐全，有效破解“邻避效应”。完成了公厕APP导视系统开发及信息录入工作，并将厕所定位嵌入高德地图，同时将公厕APP二维码印制在标识标牌上，市民通过手机扫一扫，即可下载南昌市公厕导视系统，快速查找到附近厕所。</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kern w:val="0"/>
          <w:sz w:val="32"/>
          <w:szCs w:val="32"/>
        </w:rPr>
        <w:t>（五）垃圾处置设施体系日趋完善。</w:t>
      </w:r>
      <w:r>
        <w:rPr>
          <w:rStyle w:val="20"/>
          <w:rFonts w:hint="eastAsia" w:ascii="仿宋" w:hAnsi="仿宋" w:eastAsia="仿宋" w:cs="仿宋"/>
          <w:b w:val="0"/>
          <w:kern w:val="0"/>
          <w:sz w:val="32"/>
          <w:szCs w:val="32"/>
        </w:rPr>
        <w:t>已建成南昌市麦园垃圾填埋场、南昌市麦园餐厨垃圾处理厂、南昌泉岭生活垃圾焚烧发电厂等，完善了垃圾处理体系，城市生活垃圾无害化处理率保持100%。已投产</w:t>
      </w:r>
      <w:r>
        <w:rPr>
          <w:rStyle w:val="20"/>
          <w:rFonts w:ascii="仿宋" w:hAnsi="仿宋" w:eastAsia="仿宋" w:cs="仿宋"/>
          <w:b w:val="0"/>
          <w:kern w:val="0"/>
          <w:sz w:val="32"/>
          <w:szCs w:val="32"/>
        </w:rPr>
        <w:t>运</w:t>
      </w:r>
      <w:r>
        <w:rPr>
          <w:rStyle w:val="20"/>
          <w:rFonts w:hint="eastAsia" w:ascii="仿宋" w:hAnsi="仿宋" w:eastAsia="仿宋" w:cs="仿宋"/>
          <w:b w:val="0"/>
          <w:kern w:val="0"/>
          <w:sz w:val="32"/>
          <w:szCs w:val="32"/>
        </w:rPr>
        <w:t>行南昌市麦园垃圾焚烧发电厂、在建泉岭垃圾焚烧发电厂二期、大型垃圾分类转运中心等生活垃圾终端处理设施，为破解“垃圾围城”奠定了基础。</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bCs w:val="0"/>
          <w:sz w:val="32"/>
          <w:szCs w:val="32"/>
        </w:rPr>
        <w:t>建筑垃圾管理逐步规范</w:t>
      </w:r>
      <w:r>
        <w:rPr>
          <w:rStyle w:val="20"/>
          <w:rFonts w:ascii="仿宋" w:hAnsi="仿宋" w:eastAsia="仿宋" w:cs="仿宋"/>
          <w:b w:val="0"/>
          <w:bCs w:val="0"/>
          <w:sz w:val="32"/>
          <w:szCs w:val="32"/>
        </w:rPr>
        <w:t>有序</w:t>
      </w:r>
      <w:r>
        <w:rPr>
          <w:rStyle w:val="20"/>
          <w:rFonts w:hint="eastAsia" w:ascii="仿宋" w:hAnsi="仿宋" w:eastAsia="仿宋" w:cs="仿宋"/>
          <w:b w:val="0"/>
          <w:bCs w:val="0"/>
          <w:sz w:val="32"/>
          <w:szCs w:val="32"/>
        </w:rPr>
        <w:t>。</w:t>
      </w:r>
      <w:r>
        <w:rPr>
          <w:rStyle w:val="20"/>
          <w:rFonts w:hint="eastAsia" w:ascii="仿宋" w:hAnsi="仿宋" w:eastAsia="仿宋" w:cs="仿宋"/>
          <w:b w:val="0"/>
          <w:sz w:val="32"/>
          <w:szCs w:val="32"/>
        </w:rPr>
        <w:t>制定了《关于进一步做好全市建筑垃圾及散装物料运输管理的实施方案》，严格落实工地出入口“四不开工、四不出门”原则，再推“八项”管理新举措（即扩大重点区域范围、启动在线智能监控、健全企业名录机制、严格依法依规审批、加强联合执法监管、增加路面执法卡点、加快消纳场的建设、规范日常考核考评），严管建筑垃圾运输。</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完善与强化了政府驻场监管、远程信息监控、第三方环境监测、考核考评等手段，打造了全方位、全过程、全时段监管体系，确保垃圾终端处理设施正常运行。同时，通过主动引进村民驻场监管、主动对外公开环保排放数据、主动接受媒体监督等形式，消除周边村民及市民顾虑，营造睦邻友好氛围。</w:t>
      </w:r>
    </w:p>
    <w:p>
      <w:pPr>
        <w:pStyle w:val="16"/>
        <w:numPr>
          <w:ilvl w:val="0"/>
          <w:numId w:val="6"/>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20" w:name="_Toc63245987"/>
      <w:r>
        <w:rPr>
          <w:rStyle w:val="20"/>
          <w:rFonts w:hint="eastAsia" w:ascii="仿宋" w:hAnsi="仿宋" w:eastAsia="仿宋" w:cs="仿宋"/>
          <w:bCs w:val="0"/>
          <w:sz w:val="32"/>
          <w:szCs w:val="32"/>
        </w:rPr>
        <w:t>城市面貌明显改观</w:t>
      </w:r>
      <w:bookmarkEnd w:id="20"/>
    </w:p>
    <w:p>
      <w:pPr>
        <w:pStyle w:val="16"/>
        <w:shd w:val="clear" w:color="auto" w:fill="FFFFFF"/>
        <w:spacing w:before="0" w:beforeAutospacing="0" w:after="0" w:afterAutospacing="0" w:line="560" w:lineRule="exact"/>
        <w:ind w:firstLine="642" w:firstLineChars="200"/>
        <w:jc w:val="both"/>
        <w:rPr>
          <w:rStyle w:val="20"/>
          <w:rFonts w:ascii="仿宋" w:hAnsi="仿宋" w:eastAsia="仿宋" w:cs="仿宋"/>
          <w:b w:val="0"/>
          <w:sz w:val="32"/>
          <w:szCs w:val="32"/>
        </w:rPr>
      </w:pPr>
      <w:r>
        <w:rPr>
          <w:rStyle w:val="20"/>
          <w:rFonts w:hint="eastAsia" w:ascii="仿宋" w:hAnsi="仿宋" w:eastAsia="仿宋" w:cs="仿宋"/>
          <w:bCs w:val="0"/>
          <w:sz w:val="32"/>
          <w:szCs w:val="32"/>
        </w:rPr>
        <w:t>（一）城市整体面貌迅速提升。</w:t>
      </w:r>
      <w:r>
        <w:rPr>
          <w:rStyle w:val="20"/>
          <w:rFonts w:hint="eastAsia" w:ascii="仿宋" w:hAnsi="仿宋" w:eastAsia="仿宋" w:cs="仿宋"/>
          <w:b w:val="0"/>
          <w:sz w:val="32"/>
          <w:szCs w:val="32"/>
        </w:rPr>
        <w:t>南昌市大力推进实施道路“白改黑”、路灯“暗改亮”、道路架空管线“上改下”、老旧社区“旧改新”、建筑立面“面改美”和园林绿化“绿改彩”“六改”项目。“六改”项目硕果累累，其中高标准完成了八一大道、北京路即“一纵一横”建筑立面综合整治项目，打造为“江西第一路”、“南昌长安街”。“六改”项目是实施环境综合整治的主要抓手，更是完善和优化城市功能，提升城市整体形象重要手段。</w:t>
      </w:r>
    </w:p>
    <w:p>
      <w:pPr>
        <w:pStyle w:val="16"/>
        <w:shd w:val="clear" w:color="auto" w:fill="FFFFFF"/>
        <w:spacing w:before="20" w:beforeAutospacing="0" w:after="20" w:afterAutospacing="0" w:line="560" w:lineRule="exact"/>
        <w:ind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（二）景观亮化更加丰富</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bCs w:val="0"/>
          <w:sz w:val="32"/>
          <w:szCs w:val="32"/>
        </w:rPr>
      </w:pPr>
      <w:r>
        <w:rPr>
          <w:rStyle w:val="20"/>
          <w:rFonts w:hint="eastAsia" w:ascii="仿宋" w:hAnsi="仿宋" w:eastAsia="仿宋" w:cs="仿宋"/>
          <w:b w:val="0"/>
          <w:bCs w:val="0"/>
          <w:sz w:val="32"/>
          <w:szCs w:val="32"/>
        </w:rPr>
        <w:t>随着赣江“一江两岸”及南北延伸景观亮化工程、“一纵一横”建筑立面、青山湖、抚河、百花洲、中山路、胜利路等景观亮化的陆续竣工，并实施老旧社区和小街巷路灯增亮补亮，我市形成了以八一广场、一江两岸亮化为中心，抚河沿线、胜利路、中山路、百花洲、青山湖、象湖等亮化与“一纵一横”建筑立面亮化纵横交织、相连相嵌、相互辉映，初步构建了“点、线、面”相结合的景观亮化格局。</w:t>
      </w:r>
    </w:p>
    <w:p>
      <w:pPr>
        <w:pStyle w:val="16"/>
        <w:shd w:val="clear" w:color="auto" w:fill="FFFFFF"/>
        <w:spacing w:before="20" w:beforeAutospacing="0" w:after="20" w:afterAutospacing="0" w:line="560" w:lineRule="exact"/>
        <w:ind w:firstLine="642" w:firstLineChars="200"/>
        <w:jc w:val="both"/>
        <w:rPr>
          <w:rStyle w:val="20"/>
          <w:rFonts w:ascii="仿宋" w:hAnsi="仿宋" w:eastAsia="仿宋" w:cs="仿宋"/>
          <w:b w:val="0"/>
          <w:sz w:val="32"/>
          <w:szCs w:val="32"/>
        </w:rPr>
      </w:pPr>
      <w:r>
        <w:rPr>
          <w:rStyle w:val="20"/>
          <w:rFonts w:hint="eastAsia" w:ascii="仿宋" w:hAnsi="仿宋" w:eastAsia="仿宋" w:cs="仿宋"/>
          <w:bCs w:val="0"/>
          <w:sz w:val="32"/>
          <w:szCs w:val="32"/>
        </w:rPr>
        <w:t>（三）城市家具持续升级。</w:t>
      </w:r>
      <w:r>
        <w:rPr>
          <w:rStyle w:val="20"/>
          <w:rFonts w:hint="eastAsia" w:ascii="仿宋" w:hAnsi="仿宋" w:eastAsia="仿宋" w:cs="仿宋"/>
          <w:b w:val="0"/>
          <w:sz w:val="32"/>
          <w:szCs w:val="32"/>
        </w:rPr>
        <w:t>制定了《南昌市城市家具专项整治行动方案》，市政府已批示以部门技术规范印发了《南昌市建成区城市家具规划设计导则》，通过家具优化设计，道路设施提升、景观标准统一等措施，着力打造八一大道、北京路、胜利路等各有特色、彰显文化、精细有序的精品样板街区。通过增加街头环境设施、绿化及景观小品，统一规划照明、铺地、指示牌以及座椅、花坛等城市家具，街区品质、街区面貌持续提升。</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（四）重点问题、重点地区整治成效显著。</w:t>
      </w:r>
      <w:r>
        <w:rPr>
          <w:rStyle w:val="20"/>
          <w:rFonts w:hint="eastAsia" w:ascii="仿宋" w:hAnsi="仿宋" w:eastAsia="仿宋" w:cs="仿宋"/>
          <w:b w:val="0"/>
          <w:bCs w:val="0"/>
          <w:sz w:val="32"/>
          <w:szCs w:val="32"/>
        </w:rPr>
        <w:t>拆除工地扬尘得到控制</w:t>
      </w:r>
      <w:r>
        <w:rPr>
          <w:rStyle w:val="20"/>
          <w:rFonts w:hint="eastAsia" w:ascii="仿宋" w:hAnsi="仿宋" w:eastAsia="仿宋" w:cs="仿宋"/>
          <w:b w:val="0"/>
          <w:sz w:val="32"/>
          <w:szCs w:val="32"/>
        </w:rPr>
        <w:t>。按照《拆除工地扬尘整治方案》要求，对拆迁工地实行了24小时监控。加大了对拆迁工地扬尘治理的巡查频率和处罚力度，督促拆除施工工地开启了泡雾器和洒水降尘设备，落实拆除工地降尘“五到位”。</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kern w:val="0"/>
          <w:sz w:val="32"/>
          <w:szCs w:val="32"/>
        </w:rPr>
        <w:t>餐饮油烟整治成效明显。按照“先重点、后一般，先街面、后纵深”的原则，积极开展餐饮油烟污染整治，</w:t>
      </w:r>
      <w:r>
        <w:rPr>
          <w:rFonts w:hint="eastAsia" w:ascii="仿宋" w:hAnsi="仿宋" w:eastAsia="仿宋" w:cs="仿宋"/>
          <w:sz w:val="32"/>
          <w:szCs w:val="32"/>
        </w:rPr>
        <w:t>对餐饮服务企业（单位）餐饮油烟净化装置安装情况进行专项排查，对未按要求安装油烟净化设施，餐饮油烟扰民的问题逐一责令整改，依法行政处罚，</w:t>
      </w:r>
      <w:r>
        <w:rPr>
          <w:rStyle w:val="20"/>
          <w:rFonts w:hint="eastAsia" w:ascii="仿宋" w:hAnsi="仿宋" w:eastAsia="仿宋" w:cs="仿宋"/>
          <w:kern w:val="0"/>
          <w:sz w:val="32"/>
          <w:szCs w:val="32"/>
        </w:rPr>
        <w:t>有效降低了大气污染物排放。</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kern w:val="0"/>
          <w:sz w:val="32"/>
          <w:szCs w:val="32"/>
        </w:rPr>
        <w:t>道路施工围挡日趋规范。严格执行《南昌市施工围挡设置及维护管理规定》，落实施工围挡“五必须、一严禁”，对施工围挡进行全面提升改造。</w:t>
      </w:r>
      <w:r>
        <w:rPr>
          <w:rFonts w:hint="eastAsia" w:ascii="仿宋" w:hAnsi="仿宋" w:eastAsia="仿宋" w:cs="仿宋"/>
          <w:sz w:val="32"/>
          <w:szCs w:val="32"/>
          <w:shd w:val="clear" w:color="auto" w:fill="FFFFFF"/>
        </w:rPr>
        <w:t>采取</w:t>
      </w:r>
      <w:r>
        <w:rPr>
          <w:rStyle w:val="21"/>
          <w:rFonts w:hint="eastAsia" w:ascii="仿宋" w:hAnsi="仿宋" w:eastAsia="仿宋" w:cs="仿宋"/>
          <w:i w:val="0"/>
          <w:sz w:val="32"/>
          <w:szCs w:val="32"/>
          <w:shd w:val="clear" w:color="auto" w:fill="FFFFFF"/>
        </w:rPr>
        <w:t>定区域、定人员、定责任、</w:t>
      </w:r>
      <w:r>
        <w:rPr>
          <w:rFonts w:hint="eastAsia" w:ascii="仿宋" w:hAnsi="仿宋" w:eastAsia="仿宋" w:cs="仿宋"/>
          <w:i/>
          <w:sz w:val="32"/>
          <w:szCs w:val="32"/>
          <w:shd w:val="clear" w:color="auto" w:fill="FFFFFF"/>
        </w:rPr>
        <w:t>定</w:t>
      </w:r>
      <w:r>
        <w:rPr>
          <w:rFonts w:hint="eastAsia" w:ascii="仿宋" w:hAnsi="仿宋" w:eastAsia="仿宋" w:cs="仿宋"/>
          <w:sz w:val="32"/>
          <w:szCs w:val="32"/>
          <w:shd w:val="clear" w:color="auto" w:fill="FFFFFF"/>
        </w:rPr>
        <w:t>标准、</w:t>
      </w:r>
      <w:r>
        <w:rPr>
          <w:rStyle w:val="21"/>
          <w:rFonts w:hint="eastAsia" w:ascii="仿宋" w:hAnsi="仿宋" w:eastAsia="仿宋" w:cs="仿宋"/>
          <w:sz w:val="32"/>
          <w:szCs w:val="32"/>
          <w:shd w:val="clear" w:color="auto" w:fill="FFFFFF"/>
        </w:rPr>
        <w:t>定</w:t>
      </w:r>
      <w:r>
        <w:rPr>
          <w:rFonts w:hint="eastAsia" w:ascii="仿宋" w:hAnsi="仿宋" w:eastAsia="仿宋" w:cs="仿宋"/>
          <w:sz w:val="32"/>
          <w:szCs w:val="32"/>
          <w:shd w:val="clear" w:color="auto" w:fill="FFFFFF"/>
        </w:rPr>
        <w:t>处罚“五定”管理模式</w:t>
      </w:r>
      <w:r>
        <w:rPr>
          <w:rFonts w:hint="eastAsia" w:ascii="仿宋" w:hAnsi="仿宋" w:eastAsia="仿宋" w:cs="仿宋"/>
          <w:sz w:val="32"/>
          <w:szCs w:val="32"/>
        </w:rPr>
        <w:t>，</w:t>
      </w:r>
      <w:r>
        <w:rPr>
          <w:rFonts w:hint="eastAsia" w:ascii="仿宋" w:hAnsi="仿宋" w:eastAsia="仿宋" w:cs="仿宋"/>
          <w:sz w:val="32"/>
          <w:szCs w:val="32"/>
          <w:shd w:val="clear" w:color="auto" w:fill="FFFFFF"/>
        </w:rPr>
        <w:t>重点整治了“围挡脏乱、围挡破损、围挡占道、围挡有缺口、围挡未审批、围挡不统一”等六大乱象。对施工围挡持续提质升级，</w:t>
      </w:r>
      <w:r>
        <w:rPr>
          <w:rFonts w:hint="eastAsia" w:ascii="仿宋" w:hAnsi="仿宋" w:eastAsia="仿宋" w:cs="仿宋"/>
          <w:sz w:val="32"/>
          <w:szCs w:val="32"/>
        </w:rPr>
        <w:t>全面推广</w:t>
      </w:r>
      <w:r>
        <w:rPr>
          <w:rFonts w:hint="eastAsia" w:ascii="仿宋" w:hAnsi="仿宋" w:eastAsia="仿宋" w:cs="仿宋"/>
          <w:sz w:val="32"/>
          <w:szCs w:val="32"/>
          <w:shd w:val="clear" w:color="auto" w:fill="FFFFFF"/>
        </w:rPr>
        <w:t>“绿色围挡”。对道路</w:t>
      </w:r>
      <w:r>
        <w:rPr>
          <w:rStyle w:val="21"/>
          <w:rFonts w:hint="eastAsia" w:ascii="仿宋" w:hAnsi="仿宋" w:eastAsia="仿宋" w:cs="仿宋"/>
          <w:i w:val="0"/>
          <w:sz w:val="32"/>
          <w:szCs w:val="32"/>
          <w:shd w:val="clear" w:color="auto" w:fill="FFFFFF"/>
        </w:rPr>
        <w:t>围挡</w:t>
      </w:r>
      <w:r>
        <w:rPr>
          <w:rFonts w:hint="eastAsia" w:ascii="仿宋" w:hAnsi="仿宋" w:eastAsia="仿宋" w:cs="仿宋"/>
          <w:sz w:val="32"/>
          <w:szCs w:val="32"/>
          <w:shd w:val="clear" w:color="auto" w:fill="FFFFFF"/>
        </w:rPr>
        <w:t>及时“</w:t>
      </w:r>
      <w:r>
        <w:rPr>
          <w:rStyle w:val="21"/>
          <w:rFonts w:hint="eastAsia" w:ascii="仿宋" w:hAnsi="仿宋" w:eastAsia="仿宋" w:cs="仿宋"/>
          <w:i w:val="0"/>
          <w:sz w:val="32"/>
          <w:szCs w:val="32"/>
          <w:shd w:val="clear" w:color="auto" w:fill="FFFFFF"/>
        </w:rPr>
        <w:t>瘦身</w:t>
      </w:r>
      <w:r>
        <w:rPr>
          <w:rFonts w:hint="eastAsia" w:ascii="仿宋" w:hAnsi="仿宋" w:eastAsia="仿宋" w:cs="仿宋"/>
          <w:sz w:val="32"/>
          <w:szCs w:val="32"/>
          <w:shd w:val="clear" w:color="auto" w:fill="FFFFFF"/>
        </w:rPr>
        <w:t>”,减少施工围挡违规占压城市道路现象。</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kern w:val="0"/>
          <w:sz w:val="32"/>
          <w:szCs w:val="32"/>
        </w:rPr>
        <w:t>违章搭建治理成效明显</w:t>
      </w:r>
      <w:r>
        <w:rPr>
          <w:rStyle w:val="20"/>
          <w:rFonts w:hint="eastAsia" w:ascii="仿宋" w:hAnsi="仿宋" w:eastAsia="仿宋" w:cs="仿宋"/>
          <w:sz w:val="32"/>
          <w:szCs w:val="32"/>
        </w:rPr>
        <w:t>。</w:t>
      </w:r>
      <w:r>
        <w:rPr>
          <w:rStyle w:val="20"/>
          <w:rFonts w:hint="eastAsia" w:ascii="仿宋" w:hAnsi="仿宋" w:eastAsia="仿宋" w:cs="仿宋"/>
          <w:kern w:val="0"/>
          <w:sz w:val="32"/>
          <w:szCs w:val="32"/>
        </w:rPr>
        <w:t>紧紧围绕“控增量、减存量”的目标，严厉打击新增违法建设，始终对违法建设保持高压态势，发现一起，拆除一起，以“零容忍”的态度控制违法建设“零增长”。妥善处理历史遗留违法建设，使存量违法建设逐步得到消除，城市环境面貌明显改善。</w:t>
      </w:r>
    </w:p>
    <w:p>
      <w:pPr>
        <w:pStyle w:val="16"/>
        <w:shd w:val="clear" w:color="auto" w:fill="FFFFFF"/>
        <w:spacing w:before="20" w:beforeAutospacing="0" w:after="20" w:afterAutospacing="0" w:line="560" w:lineRule="exact"/>
        <w:ind w:firstLine="642" w:firstLineChars="200"/>
        <w:jc w:val="both"/>
        <w:rPr>
          <w:rStyle w:val="20"/>
          <w:rFonts w:ascii="仿宋" w:hAnsi="仿宋" w:eastAsia="仿宋" w:cs="仿宋"/>
          <w:b w:val="0"/>
          <w:sz w:val="32"/>
          <w:szCs w:val="32"/>
        </w:rPr>
      </w:pPr>
      <w:r>
        <w:rPr>
          <w:rStyle w:val="20"/>
          <w:rFonts w:hint="eastAsia" w:ascii="仿宋" w:hAnsi="仿宋" w:eastAsia="仿宋" w:cs="仿宋"/>
          <w:bCs w:val="0"/>
          <w:sz w:val="32"/>
          <w:szCs w:val="32"/>
        </w:rPr>
        <w:t>（五）户外广告店招整治持续深入。</w:t>
      </w:r>
      <w:r>
        <w:rPr>
          <w:rStyle w:val="20"/>
          <w:rFonts w:hint="eastAsia" w:ascii="仿宋" w:hAnsi="仿宋" w:eastAsia="仿宋" w:cs="仿宋"/>
          <w:b w:val="0"/>
          <w:sz w:val="32"/>
          <w:szCs w:val="32"/>
        </w:rPr>
        <w:t>持续开展了户外广告专项整治行动，坚持对违法广告“零容忍”，重点对全市楼顶广告、墙面及落地广告、铁路沿线、一江两岸、一纵一横沿线、社区及社区周边、加油站周边广告等进行整治，户外广告、门店招牌、垃圾广告整治与管理日趋规范。</w:t>
      </w:r>
    </w:p>
    <w:p>
      <w:pPr>
        <w:pStyle w:val="16"/>
        <w:numPr>
          <w:ilvl w:val="0"/>
          <w:numId w:val="6"/>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21" w:name="_Toc63245988"/>
      <w:r>
        <w:rPr>
          <w:rStyle w:val="20"/>
          <w:rFonts w:hint="eastAsia" w:ascii="仿宋" w:hAnsi="仿宋" w:eastAsia="仿宋" w:cs="仿宋"/>
          <w:bCs w:val="0"/>
          <w:sz w:val="32"/>
          <w:szCs w:val="32"/>
        </w:rPr>
        <w:t>设施管养更加精细</w:t>
      </w:r>
      <w:bookmarkEnd w:id="21"/>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sz w:val="32"/>
          <w:szCs w:val="32"/>
        </w:rPr>
        <w:t>（一）供给设施安全可靠。</w:t>
      </w:r>
      <w:r>
        <w:rPr>
          <w:rStyle w:val="20"/>
          <w:rFonts w:hint="eastAsia" w:ascii="仿宋" w:hAnsi="仿宋" w:eastAsia="仿宋" w:cs="仿宋"/>
          <w:b w:val="0"/>
          <w:sz w:val="32"/>
          <w:szCs w:val="32"/>
        </w:rPr>
        <w:t>南昌市城区现有10个水厂，实际运行规模150万</w:t>
      </w:r>
      <w:r>
        <w:rPr>
          <w:rStyle w:val="20"/>
          <w:rFonts w:hint="eastAsia" w:cs="仿宋" w:asciiTheme="minorEastAsia" w:hAnsiTheme="minorEastAsia" w:eastAsiaTheme="minorEastAsia"/>
          <w:b w:val="0"/>
          <w:sz w:val="32"/>
          <w:szCs w:val="32"/>
        </w:rPr>
        <w:t>m³</w:t>
      </w:r>
      <w:r>
        <w:rPr>
          <w:rStyle w:val="20"/>
          <w:rFonts w:hint="eastAsia" w:ascii="仿宋" w:hAnsi="仿宋" w:eastAsia="仿宋" w:cs="仿宋"/>
          <w:b w:val="0"/>
          <w:sz w:val="32"/>
          <w:szCs w:val="32"/>
        </w:rPr>
        <w:t>/d，城市饮用水水质合格率100%，同时已启动修编《南昌市城市供水专项规划（2019-2035）》。燃气供应能力大幅提升。南昌气源形成管输天然气、液化石油气以及液化天然气（LNG）供气格局，极大提升了我市气源保障能力。中压管网已覆盖南昌市建成区、南昌县的莲塘镇、向塘镇及新建区长堎镇、乐化镇和望城镇等外围组团。</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sz w:val="32"/>
          <w:szCs w:val="32"/>
        </w:rPr>
        <w:t>（二）市政设施养护日趋精细。</w:t>
      </w:r>
      <w:r>
        <w:rPr>
          <w:rStyle w:val="20"/>
          <w:rFonts w:hint="eastAsia" w:ascii="仿宋" w:hAnsi="仿宋" w:eastAsia="仿宋" w:cs="仿宋"/>
          <w:b w:val="0"/>
          <w:sz w:val="32"/>
          <w:szCs w:val="32"/>
        </w:rPr>
        <w:t>坚持“安全第一、预防为主、防控结合”的方针，加强市政设施的安全检测与维修。完成了老福山立交桥等城市立交桥及青山湖隧道专业结构定期检测，以及司马庙立交等城市桥梁超载二期系统建设项目。完善养护长效机制，运用提前调井、定期清理伸缩缝、路面小裂缝用沥青灌缝等预养护手段，有效保障道路、桥梁的安全畅通运行。</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sz w:val="32"/>
          <w:szCs w:val="32"/>
        </w:rPr>
        <w:t>（三）管养新型科技不断推广。</w:t>
      </w:r>
      <w:r>
        <w:rPr>
          <w:rStyle w:val="20"/>
          <w:rFonts w:hint="eastAsia" w:ascii="仿宋" w:hAnsi="仿宋" w:eastAsia="仿宋" w:cs="仿宋"/>
          <w:b w:val="0"/>
          <w:sz w:val="32"/>
          <w:szCs w:val="32"/>
        </w:rPr>
        <w:t>运用综合养护车、快干水泥、梳齿板伸缩缝、环氧树脂等系列先进设备材料进行养护，采用视频监控、信息采集等新兴技术强化监管，发挥好城市道路桥梁超载监控系统作用，确保对巡查中发现的问题及安全隐患能够第一时间得到处理。在艾溪湖大桥、昌南高架桥、老福山立交、坛子口立交4座城市桥梁上实施桥梁安全监控系统，自安装超载监控设备并启动执法以来，共开出电子罚单1208张，超重车辆同比减少59.28%，明显改善桥梁安全运行环境。</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（四）监管平台进入数字化时代。</w:t>
      </w:r>
      <w:r>
        <w:rPr>
          <w:rStyle w:val="20"/>
          <w:rFonts w:hint="eastAsia" w:ascii="仿宋" w:hAnsi="仿宋" w:eastAsia="仿宋" w:cs="仿宋"/>
          <w:b w:val="0"/>
          <w:sz w:val="32"/>
          <w:szCs w:val="32"/>
        </w:rPr>
        <w:t>燃气综合监督管理信息平台一期项目已完成，可以初步实现燃气行业数据信息化，并对全市燃气重要设施进行实时监控。渣余土平台全监管系统完成各区二级平台对接，全市共63家渣余土车辆企业在数字城管备案，登记备案车辆已达1290辆，安装渣土平台的车辆已达1120辆。环卫车辆在线作业监管平台依托北斗定位系统，对环卫作业车辆作业过程进行全程监管，并将环卫车辆运行状况、行驶轨迹记录备案。跨江桥梁综合监控管理平台建成运行。重点打造了集视频监控、健康监测、超载监控和数字城管热线等多位一体的跨江桥梁综合监控管理平台。</w:t>
      </w:r>
    </w:p>
    <w:p>
      <w:pPr>
        <w:pStyle w:val="16"/>
        <w:numPr>
          <w:ilvl w:val="0"/>
          <w:numId w:val="6"/>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22" w:name="_Toc63245989"/>
      <w:r>
        <w:rPr>
          <w:rStyle w:val="20"/>
          <w:rFonts w:hint="eastAsia" w:ascii="仿宋" w:hAnsi="仿宋" w:eastAsia="仿宋" w:cs="仿宋"/>
          <w:bCs w:val="0"/>
          <w:sz w:val="32"/>
          <w:szCs w:val="32"/>
        </w:rPr>
        <w:t>园林绿化初显特色</w:t>
      </w:r>
      <w:bookmarkEnd w:id="22"/>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（一）生态景观格局进一步完善。</w:t>
      </w:r>
      <w:r>
        <w:rPr>
          <w:rStyle w:val="20"/>
          <w:rFonts w:hint="eastAsia" w:ascii="仿宋" w:hAnsi="仿宋" w:eastAsia="仿宋" w:cs="仿宋"/>
          <w:b w:val="0"/>
          <w:sz w:val="32"/>
          <w:szCs w:val="32"/>
        </w:rPr>
        <w:t>以迎办江西省第四届花博会为契机，实施了梅湖景区、溪霞现代农业示范区、赣东大堤风光带建设，瑶湖、艾溪湖、乌沙河水环境整治工程和大象湖景区提升改造工程，形成了以赣江为主轴，昌南昌北两个城区多点分布、交相辉映的生态景观。</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（二）“绿改彩”工程提升园林绿化品味。</w:t>
      </w:r>
      <w:r>
        <w:rPr>
          <w:rStyle w:val="20"/>
          <w:rFonts w:hint="eastAsia" w:ascii="仿宋" w:hAnsi="仿宋" w:eastAsia="仿宋" w:cs="仿宋"/>
          <w:b w:val="0"/>
          <w:bCs w:val="0"/>
          <w:sz w:val="32"/>
          <w:szCs w:val="32"/>
        </w:rPr>
        <w:t>实施了一批城市公园、道路绿化和街头绿地，按照“树有高度、林有厚度、绿有浓度、景有美度、城有韵度”的要求，打造“一街一景、一路一品”，建设四季有绿、四季有景、四季有花的城市，提高了人居环境的质量和品味。</w:t>
      </w:r>
      <w:r>
        <w:rPr>
          <w:rStyle w:val="20"/>
          <w:rFonts w:hint="eastAsia" w:ascii="仿宋" w:hAnsi="仿宋" w:eastAsia="仿宋" w:cs="仿宋"/>
          <w:b w:val="0"/>
          <w:sz w:val="32"/>
          <w:szCs w:val="32"/>
        </w:rPr>
        <w:t>重点在色彩和品位上做文章，对道路的中分带、侧分带和小游园进行提档升级，增加多彩花卉种植及摆放，有序穿插有季相变化的色叶树种，改变单一绿色格调，提升绿化景观效果。</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（三）城市“绿道”逐步成网。</w:t>
      </w:r>
      <w:r>
        <w:rPr>
          <w:rStyle w:val="20"/>
          <w:rFonts w:hint="eastAsia" w:ascii="仿宋" w:hAnsi="仿宋" w:eastAsia="仿宋" w:cs="仿宋"/>
          <w:b w:val="0"/>
          <w:sz w:val="32"/>
          <w:szCs w:val="32"/>
        </w:rPr>
        <w:t>南昌市已基本依水建成了赣江西岸绿道、赣江东岸绿道、乌沙河绿道、玉带河桃花河绿道、抚河故道绿道、幸福渠绿道、艾溪湖瑶湖绿道等7条城市主干绿道，南昌市的绿道网在逐步形成，让市民更好地亲近自然、拥抱自然，享受都市慢生活节奏，提升了城市的生活品质。</w:t>
      </w:r>
    </w:p>
    <w:p>
      <w:pPr>
        <w:pStyle w:val="16"/>
        <w:numPr>
          <w:ilvl w:val="0"/>
          <w:numId w:val="6"/>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23" w:name="_Toc63245990"/>
      <w:r>
        <w:rPr>
          <w:rStyle w:val="20"/>
          <w:rFonts w:hint="eastAsia" w:ascii="仿宋" w:hAnsi="仿宋" w:eastAsia="仿宋" w:cs="仿宋"/>
          <w:bCs w:val="0"/>
          <w:sz w:val="32"/>
          <w:szCs w:val="32"/>
        </w:rPr>
        <w:t>出行环境大幅提升</w:t>
      </w:r>
      <w:bookmarkEnd w:id="23"/>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（一）道路通行能力大幅提升。</w:t>
      </w:r>
      <w:r>
        <w:rPr>
          <w:rStyle w:val="20"/>
          <w:rFonts w:hint="eastAsia" w:ascii="仿宋" w:hAnsi="仿宋" w:eastAsia="仿宋" w:cs="仿宋"/>
          <w:b w:val="0"/>
          <w:kern w:val="0"/>
          <w:sz w:val="32"/>
          <w:szCs w:val="32"/>
        </w:rPr>
        <w:t>按照“美丽南昌•幸福家园”环境综合整治要求，开展了城市交通畅通工程，实施了沿江快速路、昌九快速路、前湖快速路、洪都高架、九洲高架等一大批快速路并竣工通车，红谷隧道、朝阳大桥等跨江通道开通运行极大提升南昌过江通行能力，基本建成功能完善、层次分明、快速便捷、畅通高效的城市路网体系。地铁1号线和2号线开通运营，让南昌交通接驳系统进一步完善，让城市生活与地铁出行“无缝对接”，南昌的交通环境得到明显改善，让市民出行环境更顺畅。</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kern w:val="0"/>
          <w:sz w:val="32"/>
          <w:szCs w:val="32"/>
        </w:rPr>
        <w:t>（二）非机动车乱停放现象逐步扭转。按照《南昌市城区公共区域非机动车停放区设置技术导则》的要求，指导各区做好非机动车停放泊位标线和标志的施划和设置工作。</w:t>
      </w:r>
      <w:r>
        <w:rPr>
          <w:rFonts w:hint="eastAsia" w:ascii="仿宋_GB2312" w:hAnsi="仿宋_GB2312" w:eastAsia="仿宋_GB2312" w:cs="仿宋_GB2312"/>
          <w:sz w:val="32"/>
          <w:szCs w:val="32"/>
        </w:rPr>
        <w:t>针对非机动车乱停放违规行为，以“共享单车”占用人行道、乱停乱放、企业违规投放、破损废弃车回收不及时等突出问题为重点，制定了《关于开展非机动车乱停乱放专项整治工作实施方案》，组织各县（区）开展了专项整治行动，重点整治了街面及公共区域非机动车乱停乱放、共享单车（助力车）超量停放等现象。</w:t>
      </w:r>
      <w:r>
        <w:rPr>
          <w:rStyle w:val="20"/>
          <w:rFonts w:hint="eastAsia" w:ascii="仿宋" w:hAnsi="仿宋" w:eastAsia="仿宋" w:cs="仿宋"/>
          <w:kern w:val="0"/>
          <w:sz w:val="32"/>
          <w:szCs w:val="32"/>
        </w:rPr>
        <w:t>切实解决非机动车乱停乱放、共享单车无序投放等问题。</w:t>
      </w:r>
    </w:p>
    <w:p>
      <w:pPr>
        <w:spacing w:line="560" w:lineRule="exact"/>
        <w:ind w:firstLine="640" w:firstLineChars="200"/>
        <w:rPr>
          <w:rStyle w:val="20"/>
          <w:rFonts w:ascii="仿宋" w:hAnsi="仿宋" w:eastAsia="仿宋" w:cs="仿宋"/>
          <w:b w:val="0"/>
          <w:kern w:val="0"/>
          <w:sz w:val="32"/>
          <w:szCs w:val="32"/>
        </w:rPr>
      </w:pP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（三）公共停车场建设稳步推进。</w:t>
      </w:r>
      <w:r>
        <w:rPr>
          <w:rStyle w:val="20"/>
          <w:rFonts w:hint="eastAsia" w:ascii="仿宋" w:hAnsi="仿宋" w:eastAsia="仿宋" w:cs="仿宋"/>
          <w:b w:val="0"/>
          <w:sz w:val="32"/>
          <w:szCs w:val="32"/>
        </w:rPr>
        <w:t>编制了各区《停车场三年建设专项规划修编（2018-2020年）》，积极鼓励和引导社会资本参与公共停车场投资建设运营，先后出台了《南昌市城区停车场建设实施意见》和《南昌市城区停车场建设项目“以奖代补”管理办法》，构建停车场供应新体系和停车管理新格局。积极建立智慧停车诱导系统，停车诱导APP正在试运行，有力促进全市停车产业化、规范化、智能化。</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（四）交通堵点治理成效显著。</w:t>
      </w:r>
      <w:r>
        <w:rPr>
          <w:rStyle w:val="20"/>
          <w:rFonts w:hint="eastAsia" w:ascii="仿宋" w:hAnsi="仿宋" w:eastAsia="仿宋" w:cs="仿宋"/>
          <w:b w:val="0"/>
          <w:sz w:val="32"/>
          <w:szCs w:val="32"/>
        </w:rPr>
        <w:t>为破解部分路口（路段）存在的交通瓶颈制约，有效缓解道路交通拥堵，优化道路交通秩序，对45个交通堵点问题进行专项治理，制定了《南昌市城区交通堵点专项治理工作方案》，建立了“市级主导、属地负责、部门参与、各方联动”的工作机制，按照“一案一策”方法，梳理类型，找准原因，对症下药，精准施策，有效缓解我市交通拥堵状况。</w:t>
      </w:r>
    </w:p>
    <w:p>
      <w:pPr>
        <w:pStyle w:val="16"/>
        <w:numPr>
          <w:ilvl w:val="0"/>
          <w:numId w:val="6"/>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24" w:name="_Toc63245991"/>
      <w:r>
        <w:rPr>
          <w:rStyle w:val="20"/>
          <w:rFonts w:hint="eastAsia" w:ascii="仿宋" w:hAnsi="仿宋" w:eastAsia="仿宋" w:cs="仿宋"/>
          <w:bCs w:val="0"/>
          <w:sz w:val="32"/>
          <w:szCs w:val="32"/>
        </w:rPr>
        <w:t>城管执法逐步规范</w:t>
      </w:r>
      <w:bookmarkEnd w:id="24"/>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（一）落实城管执法体制改革任务。</w:t>
      </w:r>
      <w:r>
        <w:rPr>
          <w:rStyle w:val="20"/>
          <w:rFonts w:hint="eastAsia" w:ascii="仿宋" w:hAnsi="仿宋" w:eastAsia="仿宋" w:cs="仿宋"/>
          <w:b w:val="0"/>
          <w:sz w:val="32"/>
          <w:szCs w:val="32"/>
        </w:rPr>
        <w:t>明确城市执法体制改革时间表，按照《中共南昌市委南昌市人民政府关于深入推进城市执法体制改革改进城市管理工作实施意见》要求，认真落实了城市管理执法人员统一着装、执法干部轮训和持证上岗、市县城市管理领域的机构综合设置等7项重点改革任务，制定工作计划，细化任务分工，建立台账，圆满完成了中央、省、市各项督查工作，充分展示了我市城管执法体制改革的经验和成果。</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（二）城管执法监督不断强化。</w:t>
      </w:r>
      <w:r>
        <w:rPr>
          <w:rStyle w:val="20"/>
          <w:rFonts w:hint="eastAsia" w:ascii="仿宋" w:hAnsi="仿宋" w:eastAsia="仿宋" w:cs="仿宋"/>
          <w:b w:val="0"/>
          <w:sz w:val="32"/>
          <w:szCs w:val="32"/>
        </w:rPr>
        <w:t>运用“双随机一公开”和信用信息双公示，企业事中事后监管警示平台系统等执法督察机制，积极开展年度执法案卷评查，优化监督体系建设。开展年度执法案卷评查、城管执法队伍法制培训等工作，提升城管执法水平。</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（三）城管执法规范化建设顺利推进。</w:t>
      </w:r>
      <w:r>
        <w:rPr>
          <w:rStyle w:val="20"/>
          <w:rFonts w:hint="eastAsia" w:ascii="仿宋" w:hAnsi="仿宋" w:eastAsia="仿宋" w:cs="仿宋"/>
          <w:b w:val="0"/>
          <w:sz w:val="32"/>
          <w:szCs w:val="32"/>
        </w:rPr>
        <w:t>开展了城管执法的规范化建设，从制度规范化建设、机构规范化建设、素质能力规范化建设、程序标准规范化建设、运行机制规范化建设、运行机制规范化建设、基础设施规范化建设六个方面推进，已制定出台了18项执法方案、制度、流程、标准，并组织市城管支队开展全市城管执法系统执法模拟演练、三比三促活动和执法比武练兵等活动，使全市城管执法队伍的基础建设健全完善，软硬件标准建设有本质提升，队伍面貌和形象有根本改观。</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（四）城市管理制度建设严格规范。</w:t>
      </w:r>
      <w:r>
        <w:rPr>
          <w:rStyle w:val="20"/>
          <w:rFonts w:hint="eastAsia" w:ascii="仿宋" w:hAnsi="仿宋" w:eastAsia="仿宋" w:cs="仿宋"/>
          <w:b w:val="0"/>
          <w:sz w:val="32"/>
          <w:szCs w:val="32"/>
        </w:rPr>
        <w:t>按照“互联网+政务服务”的思路，根据简政放权、权力公开的原则，编制了政务服务事项清单，列举了每项权利运行的详细流程及责任部门，并将通过政务服务网与权力清单无缝对接，向社会公布。</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（五）城管执法社会信用体系建设工作开局良好。</w:t>
      </w:r>
      <w:r>
        <w:rPr>
          <w:rStyle w:val="20"/>
          <w:rFonts w:hint="eastAsia" w:ascii="仿宋" w:hAnsi="仿宋" w:eastAsia="仿宋" w:cs="仿宋"/>
          <w:b w:val="0"/>
          <w:sz w:val="32"/>
          <w:szCs w:val="32"/>
        </w:rPr>
        <w:t>制定了《城市管理信用体系建设工作实施方案》，提出了建设“信用城管”的总体目标，起草了《关于对城市管理领域违法失信行为主体开展联合惩戒的实施意见》，同时全力开展全市信用体系建设工作考核迎检各项工作。</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p>
    <w:p>
      <w:pPr>
        <w:widowControl/>
        <w:jc w:val="left"/>
        <w:rPr>
          <w:rStyle w:val="20"/>
          <w:rFonts w:ascii="仿宋" w:hAnsi="仿宋" w:eastAsia="仿宋" w:cs="仿宋"/>
          <w:b w:val="0"/>
          <w:kern w:val="0"/>
          <w:sz w:val="32"/>
          <w:szCs w:val="32"/>
        </w:rPr>
      </w:pPr>
      <w:r>
        <w:rPr>
          <w:rStyle w:val="20"/>
          <w:rFonts w:ascii="仿宋" w:hAnsi="仿宋" w:eastAsia="仿宋" w:cs="仿宋"/>
          <w:b w:val="0"/>
          <w:sz w:val="32"/>
          <w:szCs w:val="32"/>
        </w:rPr>
        <w:br w:type="page"/>
      </w:r>
    </w:p>
    <w:p>
      <w:pPr>
        <w:spacing w:beforeLines="50" w:afterLines="50" w:line="560" w:lineRule="exact"/>
        <w:jc w:val="center"/>
        <w:outlineLvl w:val="1"/>
        <w:rPr>
          <w:rFonts w:ascii="仿宋" w:hAnsi="仿宋" w:eastAsia="仿宋" w:cs="仿宋"/>
          <w:b/>
          <w:bCs/>
          <w:sz w:val="32"/>
          <w:szCs w:val="32"/>
        </w:rPr>
      </w:pPr>
      <w:bookmarkStart w:id="25" w:name="_Toc63245992"/>
      <w:r>
        <w:rPr>
          <w:rFonts w:hint="eastAsia" w:ascii="仿宋" w:hAnsi="仿宋" w:eastAsia="仿宋" w:cs="仿宋"/>
          <w:b/>
          <w:bCs/>
          <w:sz w:val="32"/>
          <w:szCs w:val="32"/>
        </w:rPr>
        <w:t>第二节  城市管理主要问题</w:t>
      </w:r>
      <w:bookmarkEnd w:id="25"/>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近几年，南昌市城市管理把握机遇、攻坚克难，取得了显著成绩。在肯定成绩的同时，对照“美丽南昌•幸福家园”环境综合整治目标，能清醒地看到，南昌市城市管理工作仍然存在一些不容忽视的问题。</w:t>
      </w:r>
    </w:p>
    <w:p>
      <w:pPr>
        <w:pStyle w:val="16"/>
        <w:numPr>
          <w:ilvl w:val="0"/>
          <w:numId w:val="8"/>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26" w:name="_Toc63245993"/>
      <w:r>
        <w:rPr>
          <w:rStyle w:val="20"/>
          <w:rFonts w:hint="eastAsia" w:ascii="仿宋" w:hAnsi="仿宋" w:eastAsia="仿宋" w:cs="仿宋"/>
          <w:bCs w:val="0"/>
          <w:sz w:val="32"/>
          <w:szCs w:val="32"/>
        </w:rPr>
        <w:t>体制与顶层设计待完善</w:t>
      </w:r>
      <w:bookmarkEnd w:id="26"/>
    </w:p>
    <w:p>
      <w:pPr>
        <w:pStyle w:val="16"/>
        <w:numPr>
          <w:ilvl w:val="0"/>
          <w:numId w:val="9"/>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规划体系有待健全</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城市管理各类专项规划陆续编制，为我市的城市管理工作发挥了重要的引领作用，但是一直以来规划体系不太健全。首先，缺少一个城市管理最顶层的规划即城市管理的总体规划；其次规划体系不够完善，国土空间规划体系建立了五级三类的空间规划体系，城管局规划体系也应形成总体发展规划、各板块专项规划、具体的详细规划三个层次。其三，各板块专项规划有缺位现象，目前我市现有专项规划约20项（含现行、在编、待批），对于城管的大系统而言，还有许多规划需要陆续梳理清晰。</w:t>
      </w:r>
    </w:p>
    <w:p>
      <w:pPr>
        <w:pStyle w:val="16"/>
        <w:numPr>
          <w:ilvl w:val="0"/>
          <w:numId w:val="9"/>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城管体制构建有待优化</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城市管理体制是指城市管理的组织机构设置、地位、职责、内部权责关系及相关的规章制度的总和。南昌市城管局按照大部制的思路建立，但诸多方面尚未理顺，包括城市管理中的机构间的行政隶属关系、职能及权责关系没有理清；市、区、街道、社区“四级管理”体制中责权关系没理清；政府、事业单位及单位间的关系定位不清晰等。</w:t>
      </w:r>
    </w:p>
    <w:p>
      <w:pPr>
        <w:pStyle w:val="16"/>
        <w:numPr>
          <w:ilvl w:val="0"/>
          <w:numId w:val="9"/>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管理分级“权责”尚不明晰，重心有待下移</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要构建城市精准、长效的管理体系，必须建立全市联动、条块结合、横向到边、纵向到底的精细化管理体制，而重心下移，下放执法权到街道和社区，是该体制建立的重点难点。</w:t>
      </w:r>
    </w:p>
    <w:p>
      <w:pPr>
        <w:pStyle w:val="16"/>
        <w:numPr>
          <w:ilvl w:val="0"/>
          <w:numId w:val="9"/>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政企不分、监管养有待分离</w:t>
      </w:r>
    </w:p>
    <w:p>
      <w:pPr>
        <w:pStyle w:val="16"/>
        <w:shd w:val="clear" w:color="auto" w:fill="FFFFFF"/>
        <w:spacing w:before="0" w:beforeAutospacing="0" w:after="0" w:afterAutospacing="0" w:line="560" w:lineRule="exact"/>
        <w:ind w:firstLine="645"/>
        <w:rPr>
          <w:rStyle w:val="20"/>
          <w:rFonts w:ascii="仿宋" w:hAnsi="仿宋" w:eastAsia="仿宋" w:cs="仿宋"/>
          <w:b w:val="0"/>
          <w:sz w:val="32"/>
          <w:szCs w:val="32"/>
        </w:rPr>
      </w:pPr>
      <w:r>
        <w:rPr>
          <w:rStyle w:val="20"/>
          <w:rFonts w:hint="eastAsia" w:ascii="仿宋" w:hAnsi="仿宋" w:eastAsia="仿宋" w:cs="仿宋"/>
          <w:b w:val="0"/>
          <w:sz w:val="32"/>
          <w:szCs w:val="32"/>
        </w:rPr>
        <w:t>城市管理涉及“规、建、监、管、养”的诸多方面，存在即是裁判员又是运动员的现象，政府管理要放权，专注于社会管理和公共服务领域，将资源配置的决定权和企业经营权归还市场和企业。</w:t>
      </w:r>
    </w:p>
    <w:p>
      <w:pPr>
        <w:pStyle w:val="16"/>
        <w:numPr>
          <w:ilvl w:val="0"/>
          <w:numId w:val="8"/>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27" w:name="_Toc63245994"/>
      <w:r>
        <w:rPr>
          <w:rStyle w:val="20"/>
          <w:rFonts w:hint="eastAsia" w:ascii="仿宋" w:hAnsi="仿宋" w:eastAsia="仿宋" w:cs="仿宋"/>
          <w:bCs w:val="0"/>
          <w:sz w:val="32"/>
          <w:szCs w:val="32"/>
        </w:rPr>
        <w:t>城市治理机制还需理顺</w:t>
      </w:r>
      <w:bookmarkEnd w:id="27"/>
    </w:p>
    <w:p>
      <w:pPr>
        <w:pStyle w:val="16"/>
        <w:numPr>
          <w:ilvl w:val="0"/>
          <w:numId w:val="10"/>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多部门协同机制尚未建立</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相关职能部门各自为政，多头管理，职能交叉，甚至推诿扯皮的现象时有发生，形成“都管都又不管”局面，致使管理效能低下。</w:t>
      </w:r>
    </w:p>
    <w:p>
      <w:pPr>
        <w:pStyle w:val="16"/>
        <w:numPr>
          <w:ilvl w:val="0"/>
          <w:numId w:val="10"/>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群众参与机制不够顺畅</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目前，南昌市民参与城市管理的途径较为单一，市民参与度较低，距离全民城管尚存较大差距。一方面，社会公众参与有待增强。受经费、体制、方式、方法等因素的制约，城市文明的宣传教育引导不够，市民不文明行为屡见不鲜；公众参与机制不够完善，缺乏有效的公众参与平台，导致公众参与缺乏积极性、主动性、持续性。另一方面，市民参与城市管理的途径较为单一，市民参与度较低，距离全民城管尚存较大差距。相关社会组织发育滞后，市场主体、社会公众等参与的广度和深度有待拓展，社会监督机制尚不健全。</w:t>
      </w:r>
    </w:p>
    <w:p>
      <w:pPr>
        <w:pStyle w:val="16"/>
        <w:numPr>
          <w:ilvl w:val="0"/>
          <w:numId w:val="10"/>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长效机制还需巩固</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建筑垃圾管理、拆除工地扬尘、餐饮油烟整治、道路施工围挡、违章搭建治理等方面虽然取得了成效，但还需形成长效管理机制。城市管理工作发展不平衡，尤其是城乡结合部、城中村、背街小巷的市容环境卫生与重点区域、主次干道有一定的差距，问题反复，没有形成有效的长效机制；市、区、街（镇）三级常态化检查监督机制尚未完全形成。</w:t>
      </w:r>
    </w:p>
    <w:p>
      <w:pPr>
        <w:pStyle w:val="16"/>
        <w:numPr>
          <w:ilvl w:val="0"/>
          <w:numId w:val="10"/>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创新机制明显不足</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管理机制创新，是城市管理工作的重要内容，南昌市的城市管理范围日趋扩大，城市管理工作也越来越复杂，重点难点也越来越多，比如城管法庭、信用城管等机制需要更多的创新实施和探索。</w:t>
      </w:r>
    </w:p>
    <w:p>
      <w:pPr>
        <w:pStyle w:val="16"/>
        <w:numPr>
          <w:ilvl w:val="0"/>
          <w:numId w:val="8"/>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28" w:name="_Toc63245995"/>
      <w:r>
        <w:rPr>
          <w:rStyle w:val="20"/>
          <w:rFonts w:hint="eastAsia" w:ascii="仿宋" w:hAnsi="仿宋" w:eastAsia="仿宋" w:cs="仿宋"/>
          <w:bCs w:val="0"/>
          <w:sz w:val="32"/>
          <w:szCs w:val="32"/>
        </w:rPr>
        <w:t>智慧监管水平仍然滞后</w:t>
      </w:r>
      <w:bookmarkEnd w:id="28"/>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城管数字化向智慧化转变没有完全实现，相比先进城市差距明显。具体体现：一是理念亟需提升，职能覆盖过窄。在新形势新背景新机遇下，要学习新理念、利用新技术，将数字城管升级成为全新的智慧城管，实现由城市管理向城市治理的阶段性迈进。二是业务数据亟待更新。随着城区面积的扩张，城市管理中部件、事件的种类和数量都在不断增加，扩建区域和原有城区的部分重点区域迫切需要增加视频监控点位、各类传感监测设备。三是感知手段匮乏，分析手段欠缺。主动数据采集主要依赖于网格信息采集员，手段较为单一且容易受限。可利用无人机、高空瞭望等高科技设备，并结合图像识别、物联网等前沿感知技术，有效提升城市数据感知能力，实现南昌市的全方位、立体感知。</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p>
    <w:p>
      <w:pPr>
        <w:pStyle w:val="16"/>
        <w:numPr>
          <w:ilvl w:val="0"/>
          <w:numId w:val="8"/>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29" w:name="_Toc63245996"/>
      <w:r>
        <w:rPr>
          <w:rStyle w:val="20"/>
          <w:rFonts w:hint="eastAsia" w:ascii="仿宋" w:hAnsi="仿宋" w:eastAsia="仿宋" w:cs="仿宋"/>
          <w:bCs w:val="0"/>
          <w:sz w:val="32"/>
          <w:szCs w:val="32"/>
        </w:rPr>
        <w:t>功能短板弱项仍然突出</w:t>
      </w:r>
      <w:bookmarkEnd w:id="29"/>
    </w:p>
    <w:p>
      <w:pPr>
        <w:pStyle w:val="16"/>
        <w:numPr>
          <w:ilvl w:val="0"/>
          <w:numId w:val="11"/>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市政基础设施薄弱</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基础设施更新不够快，道路建设滞后城市发展，断头路仍有很多存在，雨污分流管网设施建设欠账太多，部分街巷道路积水问题依然严重，不少城区的绿化养护水平仍较粗放，道路维护精细化程度不够，城乡结合部的市政、环卫设施仍然薄弱，城市管理工作不平衡以及城市管理经费投入的不足使得修缮改造难度大。同时，新建城区的环卫设施配套建设比较滞后，公共厕所、垃圾收集站等环卫设施严重不足。</w:t>
      </w:r>
    </w:p>
    <w:p>
      <w:pPr>
        <w:pStyle w:val="16"/>
        <w:numPr>
          <w:ilvl w:val="0"/>
          <w:numId w:val="11"/>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配套服务设施欠账较多</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城市停车设施严重不足，城市家具水平不高、交通堵点还持续存在，公园绿地、广场等公共空间还很缺乏，园林绿化品味不够高。城市供水能力在高峰时接近或者超负荷运转，供水品质有待提高，污水处理设施和处理能力急需提升，污水全收集全处理亟待提升，河道截污不够彻底，仍存在黑臭水体，天然气利用领域较窄，气化率有待提高。</w:t>
      </w:r>
    </w:p>
    <w:p>
      <w:pPr>
        <w:pStyle w:val="16"/>
        <w:numPr>
          <w:ilvl w:val="0"/>
          <w:numId w:val="11"/>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市民居住环境存在较多短板</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背街小巷、城乡结合部、工矿企业住宅区等区域是城市管理的弱项所在，该类地区脏乱差现象仍然存在、城市执法难度大，街巷整治工作任务重。老旧小区公共服务、基础设施和空间环境亟待改善。街面秩序（包括渣土运输、建筑工地、农贸市场、围挡、违法建设、占道摊点等）乱象需进一步大力整治。</w:t>
      </w:r>
    </w:p>
    <w:p>
      <w:pPr>
        <w:pStyle w:val="16"/>
        <w:numPr>
          <w:ilvl w:val="0"/>
          <w:numId w:val="8"/>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30" w:name="_Toc63245997"/>
      <w:r>
        <w:rPr>
          <w:rStyle w:val="20"/>
          <w:rFonts w:hint="eastAsia" w:ascii="仿宋" w:hAnsi="仿宋" w:eastAsia="仿宋" w:cs="仿宋"/>
          <w:bCs w:val="0"/>
          <w:sz w:val="32"/>
          <w:szCs w:val="32"/>
        </w:rPr>
        <w:t>环卫保洁水平仍需提升</w:t>
      </w:r>
      <w:bookmarkEnd w:id="30"/>
    </w:p>
    <w:p>
      <w:pPr>
        <w:pStyle w:val="16"/>
        <w:numPr>
          <w:ilvl w:val="0"/>
          <w:numId w:val="12"/>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垃圾分类、终端处置设施任重而道远</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南昌市在垃圾分类和终端处置方面都处在一个比较低的水平，按照“国务院办公厅关于转发国家发改委住房城乡建设部生活垃圾分类实施方案的通知”要求，南昌市目前正在起步阶段，已经开展了规划编制、试点、配套体系建设等各项工作。该项工作将成为一项重要的、长期的、艰巨的任务。</w:t>
      </w:r>
    </w:p>
    <w:p>
      <w:pPr>
        <w:pStyle w:val="16"/>
        <w:numPr>
          <w:ilvl w:val="0"/>
          <w:numId w:val="12"/>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收运设施建设不够完整</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垃圾收运设施建设不足。城市环卫空间规划刚性不足、邻避效应激烈、资金缺口较大，导致环卫设施建设难以落地。环卫作业的公益性、行政性、垄断性、区域性较强，环卫作业的低成本、低水平维护，环卫背负的历史包袱较重，管理者的改革意识不强等，制约了环卫作业市场化的推进。</w:t>
      </w:r>
    </w:p>
    <w:p>
      <w:pPr>
        <w:pStyle w:val="16"/>
        <w:numPr>
          <w:ilvl w:val="0"/>
          <w:numId w:val="12"/>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市政设施养护水平不高</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重建设、轻管养的传统城市管理理念仍然存在，制约和影响着城市管理的方式和绩效。一是针对市政设施的改造和养护维修，有的部门之间缺乏有效的沟通，推诿扯皮，责任不清，职责不明的情况较为严重。二是养护管理模式落后，技术作业人员素质较欠缺。整体来看，养护作业人员的文化素质和技术水平较低，各种新技术、新材料、新机械得不到有效应用，技术水平和自动化程度远远跟不上时代发展的要求。三是市政养护资金投入有限。市政养护部门每年分到的资金往往不够，市政设施普遍存在老化问题，养护资金需求量大，维修经费长期不足，有相当数量的市政设施陈旧、破损、超期使用。</w:t>
      </w:r>
    </w:p>
    <w:p>
      <w:pPr>
        <w:pStyle w:val="16"/>
        <w:numPr>
          <w:ilvl w:val="0"/>
          <w:numId w:val="8"/>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31" w:name="_Toc63245998"/>
      <w:r>
        <w:rPr>
          <w:rStyle w:val="20"/>
          <w:rFonts w:hint="eastAsia" w:ascii="仿宋" w:hAnsi="仿宋" w:eastAsia="仿宋" w:cs="仿宋"/>
          <w:bCs w:val="0"/>
          <w:sz w:val="32"/>
          <w:szCs w:val="32"/>
        </w:rPr>
        <w:t>执法边界不清</w:t>
      </w:r>
      <w:r>
        <w:rPr>
          <w:rStyle w:val="20"/>
          <w:rFonts w:ascii="仿宋" w:hAnsi="仿宋" w:eastAsia="仿宋" w:cs="仿宋"/>
          <w:bCs w:val="0"/>
          <w:sz w:val="32"/>
          <w:szCs w:val="32"/>
        </w:rPr>
        <w:t>力量不足</w:t>
      </w:r>
      <w:bookmarkEnd w:id="31"/>
    </w:p>
    <w:p>
      <w:pPr>
        <w:pStyle w:val="16"/>
        <w:numPr>
          <w:ilvl w:val="0"/>
          <w:numId w:val="13"/>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职能边界尚未理清</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随着城管执法职能的不断增加，执法内容涉及城市管理的方方面面，大约有300多项，在实际工作中，前端立法、中端监测、末端执法的关系未能理顺，城管行使的是末端处罚。导致多头管理，职能交叉，甚至推诿扯皮的现象时有发生，形成“都管都又不管”局面，致使管理效能低下。</w:t>
      </w:r>
    </w:p>
    <w:p>
      <w:pPr>
        <w:pStyle w:val="16"/>
        <w:numPr>
          <w:ilvl w:val="0"/>
          <w:numId w:val="13"/>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执法力量明显不足</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城管执法队伍执法人员约1000人，协管员约3900人，执法人员与协管员比例为1：3.9，城管执法队伍年龄结构老化，城管综合执法机制和效能方面仍显不足，尤其是执法任务和力量不匹配，特别是基层执法力量薄弱。</w:t>
      </w:r>
    </w:p>
    <w:p>
      <w:pPr>
        <w:pStyle w:val="16"/>
        <w:numPr>
          <w:ilvl w:val="0"/>
          <w:numId w:val="13"/>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执法体系和机制不健全</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法规体系还不够完善配套，有法不依，执法不严和以罚代管的问题存在，部门分散执法力度不到位，给依法管理城市带来困难。在城市管理机制上，存在统筹协调不够，职责不清，职能不到位，督促检查不力和措施不落实的情况。监督制约机制不健全，以致城市管理和行政执法不理想，执法效能不高。</w:t>
      </w:r>
    </w:p>
    <w:p>
      <w:pPr>
        <w:pStyle w:val="16"/>
        <w:numPr>
          <w:ilvl w:val="0"/>
          <w:numId w:val="13"/>
        </w:numPr>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执法装备不足</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受到执法经费不足的制约，执法装备薄弱，包括执法车辆、监测仪器等方面，另一方面，城管执法队伍教育培训不足，城市管理执法人员缺乏针对性的岗位技能训练和专业培训，导致部分人员管理和执法水平低。同时，缺乏有效的奖励引导机制，城管队伍工作积极性不高。</w:t>
      </w:r>
    </w:p>
    <w:p>
      <w:pPr>
        <w:widowControl/>
        <w:jc w:val="left"/>
        <w:rPr>
          <w:rStyle w:val="20"/>
          <w:rFonts w:ascii="仿宋" w:hAnsi="仿宋" w:eastAsia="仿宋" w:cs="仿宋"/>
          <w:b w:val="0"/>
          <w:kern w:val="0"/>
          <w:sz w:val="32"/>
          <w:szCs w:val="32"/>
        </w:rPr>
      </w:pPr>
      <w:r>
        <w:rPr>
          <w:rStyle w:val="20"/>
          <w:rFonts w:ascii="仿宋" w:hAnsi="仿宋" w:eastAsia="仿宋" w:cs="仿宋"/>
          <w:b w:val="0"/>
          <w:sz w:val="32"/>
          <w:szCs w:val="32"/>
        </w:rPr>
        <w:br w:type="page"/>
      </w:r>
    </w:p>
    <w:p>
      <w:pPr>
        <w:widowControl/>
        <w:jc w:val="left"/>
        <w:rPr>
          <w:rStyle w:val="20"/>
          <w:rFonts w:ascii="仿宋" w:hAnsi="仿宋" w:eastAsia="仿宋" w:cs="仿宋"/>
          <w:b w:val="0"/>
          <w:kern w:val="0"/>
          <w:sz w:val="32"/>
          <w:szCs w:val="32"/>
        </w:rPr>
      </w:pPr>
    </w:p>
    <w:p>
      <w:pPr>
        <w:spacing w:beforeLines="50" w:afterLines="50" w:line="560" w:lineRule="exact"/>
        <w:jc w:val="center"/>
        <w:outlineLvl w:val="1"/>
        <w:rPr>
          <w:rFonts w:ascii="仿宋" w:hAnsi="仿宋" w:eastAsia="仿宋" w:cs="仿宋"/>
          <w:b/>
          <w:bCs/>
          <w:sz w:val="32"/>
          <w:szCs w:val="32"/>
        </w:rPr>
      </w:pPr>
      <w:bookmarkStart w:id="32" w:name="_Toc63245999"/>
      <w:r>
        <w:rPr>
          <w:rFonts w:hint="eastAsia" w:ascii="仿宋" w:hAnsi="仿宋" w:eastAsia="仿宋" w:cs="仿宋"/>
          <w:b/>
          <w:bCs/>
          <w:sz w:val="32"/>
          <w:szCs w:val="32"/>
        </w:rPr>
        <w:t>第三节  面临形势</w:t>
      </w:r>
      <w:bookmarkEnd w:id="32"/>
    </w:p>
    <w:p>
      <w:pPr>
        <w:pStyle w:val="16"/>
        <w:numPr>
          <w:ilvl w:val="0"/>
          <w:numId w:val="14"/>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33" w:name="_Toc63246000"/>
      <w:r>
        <w:rPr>
          <w:rStyle w:val="20"/>
          <w:rFonts w:hint="eastAsia" w:ascii="仿宋" w:hAnsi="仿宋" w:eastAsia="仿宋" w:cs="仿宋"/>
          <w:bCs w:val="0"/>
          <w:sz w:val="32"/>
          <w:szCs w:val="32"/>
        </w:rPr>
        <w:t>发展机遇</w:t>
      </w:r>
      <w:bookmarkEnd w:id="33"/>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（一）国家政策夯实改革基础。</w:t>
      </w:r>
      <w:r>
        <w:rPr>
          <w:rStyle w:val="20"/>
          <w:rFonts w:hint="eastAsia" w:ascii="仿宋" w:hAnsi="仿宋" w:eastAsia="仿宋" w:cs="仿宋"/>
          <w:b w:val="0"/>
          <w:sz w:val="32"/>
          <w:szCs w:val="32"/>
        </w:rPr>
        <w:t>党的十八大以来，党中央、国务院高度重视城市治理工作，2015年召开中央城市工作会议，明确提出要转变城市发展方式，完善城市治理体系，提高城市治理能力，并先后印发《关于深入推进城市执法体制改革改进城市管理工作的指导意见》和《关于进一步加强城市规划建设管理工作的若干意见》等重要文件，习近平总书记多次调研城市工作并作出重要指示，为推动城市发展规划了蓝图，对转变城市发展理念和发展方式，推进城市治理体系和治理能力现代化起到了极其重要的推动作用，更为南昌市城市管理工作指明了方向，提供了政策保障。</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（二）南昌发展战略提供发展新动力。</w:t>
      </w:r>
      <w:r>
        <w:rPr>
          <w:rStyle w:val="20"/>
          <w:rFonts w:hint="eastAsia" w:ascii="仿宋" w:hAnsi="仿宋" w:eastAsia="仿宋" w:cs="仿宋"/>
          <w:b w:val="0"/>
          <w:sz w:val="32"/>
          <w:szCs w:val="32"/>
        </w:rPr>
        <w:t>南昌市围绕建设美丽中国“江西样板”的标杆城市和长江中游城市群区域中心城市总目标，更加注重转变城市发展方式、更加注重彰显城市品位形象、更加注重优化城市生态环境、更加注重提升人民幸福指数，需要有高水平的城市管理做保障。市委、市政府的决策部署，既响应了中央、省对城市发展的要求，又顺应了公众追求美好生活的新期待，同时也给城市管理事业发展带来了难得的发展机遇，对推进城市基础设施建设，不断增强城市综合承载能力提供了有力的政策支撑和发展空间。</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（三）城市治理开启新模式。</w:t>
      </w:r>
      <w:r>
        <w:rPr>
          <w:rStyle w:val="20"/>
          <w:rFonts w:hint="eastAsia" w:ascii="仿宋" w:hAnsi="仿宋" w:eastAsia="仿宋" w:cs="仿宋"/>
          <w:b w:val="0"/>
          <w:sz w:val="32"/>
          <w:szCs w:val="32"/>
        </w:rPr>
        <w:t>党的十九届四中全会审议通过的《中共中央关于坚持和完善中国特色社会主义制度、推进国家治理体系和治理能力现代化若干重大问题的决定》，是党的十八届三中全会提出的“全面深化改革、推进国家治理体系和治理能力现代化”的具体化和升级版。南昌市要全面实现城市管理向城市治理的转变，必须坚持为人民管理城市的发展思想，有效调动基层组织、社会团体、广大公众参与城市管理的积极性、主动性和创造性，充分发挥市场在资源配置中的决定性作用，开启“政府主导、多元参与、良性互动、共治共享”城市治理新模式。</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（四）信息技术驱动管理升级。</w:t>
      </w:r>
      <w:r>
        <w:rPr>
          <w:rStyle w:val="20"/>
          <w:rFonts w:hint="eastAsia" w:ascii="仿宋" w:hAnsi="仿宋" w:eastAsia="仿宋" w:cs="仿宋"/>
          <w:b w:val="0"/>
          <w:sz w:val="32"/>
          <w:szCs w:val="32"/>
        </w:rPr>
        <w:t>新一轮科技革命和产业变革正在孕育兴起，与经济社会发展深度融合，对生产生活方式和城市管理模式带来前所未有的深刻影响。深入实施“互联网＋”战略，加快建设“智慧南昌”，为加强智慧城管平台建设和功能整合提供了政策和技术支撑，有利于建设综合性城市管理数据库，发展民生服务智慧应用；有利于利用互联网技术和资源创新合作机制，构建开放高效的创新资源共享网络，以协同创新牵引城市协同发展。</w:t>
      </w:r>
    </w:p>
    <w:p>
      <w:pPr>
        <w:pStyle w:val="16"/>
        <w:numPr>
          <w:ilvl w:val="0"/>
          <w:numId w:val="14"/>
        </w:numPr>
        <w:shd w:val="clear" w:color="auto" w:fill="FFFFFF"/>
        <w:spacing w:before="20" w:beforeAutospacing="0" w:after="20" w:afterAutospacing="0" w:line="560" w:lineRule="exact"/>
        <w:ind w:left="0" w:firstLine="642" w:firstLineChars="200"/>
        <w:jc w:val="both"/>
        <w:outlineLvl w:val="2"/>
        <w:rPr>
          <w:rStyle w:val="20"/>
          <w:rFonts w:ascii="仿宋" w:hAnsi="仿宋" w:eastAsia="仿宋" w:cs="仿宋"/>
          <w:bCs w:val="0"/>
          <w:sz w:val="32"/>
          <w:szCs w:val="32"/>
        </w:rPr>
      </w:pPr>
      <w:bookmarkStart w:id="34" w:name="_Toc63246001"/>
      <w:r>
        <w:rPr>
          <w:rStyle w:val="20"/>
          <w:rFonts w:hint="eastAsia" w:ascii="仿宋" w:hAnsi="仿宋" w:eastAsia="仿宋" w:cs="仿宋"/>
          <w:bCs w:val="0"/>
          <w:sz w:val="32"/>
          <w:szCs w:val="32"/>
        </w:rPr>
        <w:t>面临挑战</w:t>
      </w:r>
      <w:bookmarkEnd w:id="34"/>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（一）经济社会快速发展使资源环境约束更加突出。</w:t>
      </w:r>
      <w:r>
        <w:rPr>
          <w:rStyle w:val="20"/>
          <w:rFonts w:hint="eastAsia" w:ascii="仿宋" w:hAnsi="仿宋" w:eastAsia="仿宋" w:cs="仿宋"/>
          <w:b w:val="0"/>
          <w:sz w:val="32"/>
          <w:szCs w:val="32"/>
        </w:rPr>
        <w:t>经济发展、城市建设对资源、能源平衡和环境承载能力提出更高要求。走生态良好、绿色低碳的发展之路对城市管理提出了巨大的挑战。一方面，南昌市资源节约型生产和消费模式尚未形成，垃圾分类、减量化、资源化、无害化水平与城市发展不相适应，资源环境承载压力日益加大。另一方面，城市生态环境建设受土地资源约束，市政、绿化、环卫等设施建设用地需求的矛盾日益突出，加快固废处理设施建设、城市运行安全维护的任务越来越重。</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（二）创新转型发展不断提出新要求。</w:t>
      </w:r>
      <w:r>
        <w:rPr>
          <w:rStyle w:val="20"/>
          <w:rFonts w:hint="eastAsia" w:ascii="仿宋" w:hAnsi="仿宋" w:eastAsia="仿宋" w:cs="仿宋"/>
          <w:b w:val="0"/>
          <w:sz w:val="32"/>
          <w:szCs w:val="32"/>
        </w:rPr>
        <w:t>“十四五”时期是我国经济转型升级最关键的时期，是城市转型发展的关键时期，也是南昌加快转变经济发展方式，实现开放发展、转型发展、创新发展的强力攻坚期。随着南昌城市规模的不断扩张，人口规模的持续扩大，城市运营难度加大，如何进一步推进智慧城市，塑造南昌城市形象，提升城市综合竞争力，严峻考验着城市管理能力。</w:t>
      </w:r>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（三）城乡区域协调发展对城市管理形成新压力。</w:t>
      </w:r>
      <w:r>
        <w:rPr>
          <w:rStyle w:val="20"/>
          <w:rFonts w:hint="eastAsia" w:ascii="仿宋" w:hAnsi="仿宋" w:eastAsia="仿宋" w:cs="仿宋"/>
          <w:b w:val="0"/>
          <w:sz w:val="32"/>
          <w:szCs w:val="32"/>
        </w:rPr>
        <w:t>主城区与城乡结合部，建成区与外围组团在经济发展水平、城市的市政建设和人居环境等方面差距悬殊。城乡结合部众多的“城中村”环境卫生、社会治安等问题异常突出，固废处理水平、公共服务能力相对落后，距离城市功能和品质提升的目标有较大差距，制约了大南昌都市圈的建设。在破除城乡二元结构，提高城镇市政基础设施及环境卫生水平，建立农村生活垃圾收运处理系统，提高城镇生活垃圾处理水平等方面存在较大提升空间。</w:t>
      </w:r>
    </w:p>
    <w:p>
      <w:pPr>
        <w:pStyle w:val="16"/>
        <w:shd w:val="clear" w:color="auto" w:fill="FFFFFF"/>
        <w:spacing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（四）新形势下对城市综合管理能力提出了更高要求。</w:t>
      </w:r>
      <w:r>
        <w:rPr>
          <w:rStyle w:val="20"/>
          <w:rFonts w:hint="eastAsia" w:ascii="仿宋" w:hAnsi="仿宋" w:eastAsia="仿宋" w:cs="仿宋"/>
          <w:b w:val="0"/>
          <w:sz w:val="32"/>
          <w:szCs w:val="32"/>
        </w:rPr>
        <w:t>省委省政府提出了全面推进城市功能与品质提升三年行动，市委市政府提出彰显省会担当 唱响“南昌品牌”城市建管十大提升行动实施方案，以建设“山水名城、生态都市”为目标，着力补短板、强弱项、建机制，充分彰显省会担当，唱响城市建管“南昌品牌”，把南昌打造成为可阅读、有温度、宜居宜业的国际化、现代化的山水花园都市和建设大南昌都市圈的目标。大城管格局建立后，城市管理部门要承担更多的职责，市民群众从多角度、多层次对城市整洁、市容有序、环境美观等方面提出了更多的诉求。政府职能转变需要进一步加快，部门之间统筹协调、资源整合亟需进一步强化，街镇、社区层面的基层管理力量还需进一步充实。</w:t>
      </w:r>
    </w:p>
    <w:p>
      <w:pPr>
        <w:pStyle w:val="16"/>
        <w:shd w:val="clear" w:color="auto" w:fill="FFFFFF"/>
        <w:spacing w:before="0" w:beforeAutospacing="0" w:after="0" w:afterAutospacing="0" w:line="560" w:lineRule="exact"/>
        <w:ind w:firstLine="480" w:firstLineChars="200"/>
        <w:rPr>
          <w:rStyle w:val="20"/>
          <w:rFonts w:ascii="Times New Roman" w:hAnsi="Times New Roman" w:cs="Times New Roman"/>
          <w:b w:val="0"/>
        </w:rPr>
      </w:pPr>
      <w:r>
        <w:rPr>
          <w:rStyle w:val="20"/>
          <w:rFonts w:ascii="Times New Roman" w:hAnsi="Times New Roman" w:cs="Times New Roman"/>
          <w:b w:val="0"/>
        </w:rPr>
        <w:br w:type="page"/>
      </w:r>
    </w:p>
    <w:p>
      <w:pPr>
        <w:pStyle w:val="28"/>
        <w:numPr>
          <w:ilvl w:val="0"/>
          <w:numId w:val="1"/>
        </w:numPr>
        <w:spacing w:beforeLines="100" w:afterLines="100" w:line="560" w:lineRule="exact"/>
        <w:ind w:firstLineChars="0"/>
        <w:jc w:val="center"/>
        <w:outlineLvl w:val="0"/>
        <w:rPr>
          <w:rFonts w:ascii="Times New Roman" w:hAnsi="Times New Roman" w:eastAsia="黑体" w:cs="Times New Roman"/>
          <w:sz w:val="44"/>
          <w:szCs w:val="44"/>
        </w:rPr>
      </w:pPr>
      <w:bookmarkStart w:id="35" w:name="_Toc63246002"/>
      <w:r>
        <w:rPr>
          <w:rFonts w:hint="eastAsia" w:ascii="Times New Roman" w:hAnsi="Times New Roman" w:eastAsia="黑体" w:cs="Times New Roman"/>
          <w:sz w:val="44"/>
          <w:szCs w:val="44"/>
        </w:rPr>
        <w:t>指导思想和发展策略</w:t>
      </w:r>
      <w:bookmarkEnd w:id="35"/>
    </w:p>
    <w:p>
      <w:pPr>
        <w:spacing w:beforeLines="50" w:afterLines="50" w:line="560" w:lineRule="exact"/>
        <w:jc w:val="center"/>
        <w:outlineLvl w:val="1"/>
        <w:rPr>
          <w:rFonts w:ascii="仿宋" w:hAnsi="仿宋" w:eastAsia="仿宋" w:cs="仿宋"/>
          <w:b/>
          <w:bCs/>
          <w:sz w:val="32"/>
          <w:szCs w:val="32"/>
        </w:rPr>
      </w:pPr>
      <w:bookmarkStart w:id="36" w:name="_Toc63246003"/>
      <w:r>
        <w:rPr>
          <w:rFonts w:hint="eastAsia" w:ascii="仿宋" w:hAnsi="仿宋" w:eastAsia="仿宋" w:cs="仿宋"/>
          <w:b/>
          <w:bCs/>
          <w:sz w:val="32"/>
          <w:szCs w:val="32"/>
        </w:rPr>
        <w:t>第一节  指导思想</w:t>
      </w:r>
      <w:bookmarkEnd w:id="36"/>
    </w:p>
    <w:p>
      <w:pPr>
        <w:pStyle w:val="16"/>
        <w:numPr>
          <w:ilvl w:val="0"/>
          <w:numId w:val="15"/>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全面贯彻十九大精神，体现以人民为中心的理念</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全面贯彻党的十九大精神，以习近平新时代中国特色社会主义思想为指导，认真落实《中共中央国务院关于深入推进城市执法体制改革改进城市管理工作的指导意见》和《中共中央国务院关于进一步加强城市规划建设管理工作的若干意见》，</w:t>
      </w:r>
      <w:r>
        <w:rPr>
          <w:rStyle w:val="20"/>
          <w:rFonts w:hint="eastAsia" w:ascii="仿宋" w:hAnsi="仿宋" w:eastAsia="仿宋" w:cs="仿宋"/>
          <w:b w:val="0"/>
          <w:sz w:val="32"/>
          <w:szCs w:val="32"/>
        </w:rPr>
        <w:t>树立为人民管理城市的理念，</w:t>
      </w:r>
      <w:r>
        <w:rPr>
          <w:rStyle w:val="20"/>
          <w:rFonts w:hint="eastAsia" w:ascii="仿宋" w:hAnsi="仿宋" w:eastAsia="仿宋" w:cs="仿宋"/>
          <w:b w:val="0"/>
          <w:kern w:val="0"/>
          <w:sz w:val="32"/>
          <w:szCs w:val="32"/>
        </w:rPr>
        <w:t>贯彻“创新、协调、绿色、开放、共享”的发展理念和“绿色、低碳、循环、可持续”的城市治理理念。</w:t>
      </w:r>
    </w:p>
    <w:p>
      <w:pPr>
        <w:pStyle w:val="16"/>
        <w:numPr>
          <w:ilvl w:val="0"/>
          <w:numId w:val="15"/>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认真落实省市城市功能和品质提升三年行动的各项要求</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全面落实省委十四届七次会议、市委十一届六次会议精神，以全省城市功能与品质提升三年行动计划为统领，以南昌市城市功能与品质提升暨深入推进“美丽南昌</w:t>
      </w:r>
      <w:r>
        <w:rPr>
          <w:rStyle w:val="20"/>
          <w:rFonts w:hint="eastAsia" w:ascii="宋体" w:hAnsi="宋体" w:eastAsia="宋体" w:cs="宋体"/>
          <w:b w:val="0"/>
          <w:kern w:val="0"/>
          <w:sz w:val="32"/>
          <w:szCs w:val="32"/>
        </w:rPr>
        <w:t>•</w:t>
      </w:r>
      <w:r>
        <w:rPr>
          <w:rStyle w:val="20"/>
          <w:rFonts w:hint="eastAsia" w:ascii="仿宋" w:hAnsi="仿宋" w:eastAsia="仿宋" w:cs="仿宋"/>
          <w:b w:val="0"/>
          <w:kern w:val="0"/>
          <w:sz w:val="32"/>
          <w:szCs w:val="32"/>
        </w:rPr>
        <w:t>幸福家园”城乡环境综合整治“创特色、争一流”、彰显省会担当 唱响“南昌品牌”城市建管十大提升行动为抓手，按照“精心规划、精致建设、精细管理、精美呈现”的总体要求，以建设“山水名城、生态都市”为目标，着力补短板、强弱项、建机制，完善功能设施，改善人居环境，发挥特色优势，彰显城市品质，展现“山水相依、景城一体、诗情画意、宜居宜游”的独特魅力，以绣花功夫提升管理水平，推动“规、建、管、监、养”同步提升，着力提升城市治理体系和治理能力现代化，充分彰显省会担当，唱响城市建管“南昌品牌”，把南昌打造成为可阅读、有温度、宜居宜业的国际化、现代化的山水花园都市。</w:t>
      </w:r>
    </w:p>
    <w:p>
      <w:pPr>
        <w:pStyle w:val="16"/>
        <w:numPr>
          <w:ilvl w:val="0"/>
          <w:numId w:val="15"/>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充分重视群众对城市管理工作的期望和诉求</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通过城市治理，使城市更加健康，城市市民能看到水更清、大气更净、天更蓝；生活更加便捷，有齐备完善的各项配套设施；市容更加靓丽，有更整齐的街道，更美丽的夜景，更美好的社区；供给更加保障，用水、用气充足；特色更加彰显，有文化、有特色的魅力南昌；交通更加顺畅，能感受到交通便捷、出行顺畅；环境更加整洁，看到一个更加整齐洁净的南昌。</w:t>
      </w:r>
    </w:p>
    <w:p>
      <w:pPr>
        <w:pStyle w:val="16"/>
        <w:numPr>
          <w:ilvl w:val="0"/>
          <w:numId w:val="15"/>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充分体现新时代城市管理新技术、新手段的应用</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新时代城市管理中的新技术，一是地理信息系统，目前一些城市已经建立了基于该系统的城市规划建设管理的政务平台，二是人工智能，主要可以解决城市管理中大量的、复杂的决策分析，三是虚拟现实技术，通过虚拟模拟，尽量避免管理的风险，提高公众的参与程度。应大力推进新技术在各领域应用，以智慧城管为目标，形成全天候、系统性、现代化的城市运行安全保障系统。</w:t>
      </w:r>
    </w:p>
    <w:p>
      <w:pPr>
        <w:pStyle w:val="16"/>
        <w:numPr>
          <w:ilvl w:val="0"/>
          <w:numId w:val="15"/>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注重挖掘南昌生态、文化等地域资源特色</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从资源禀赋入手、绿色南昌为统领，凸显南昌秀美山水环境打造山水都城、现代新城。从城市形象和品牌塑造入手，红色南昌凸显雄厚的红色文化，古色南昌凸显国家历史文化名城，绿色南昌凸显秀美的山水环境。</w:t>
      </w:r>
    </w:p>
    <w:p>
      <w:pPr>
        <w:spacing w:beforeLines="50" w:afterLines="50" w:line="560" w:lineRule="exact"/>
        <w:jc w:val="center"/>
        <w:outlineLvl w:val="1"/>
        <w:rPr>
          <w:rFonts w:ascii="仿宋" w:hAnsi="仿宋" w:eastAsia="仿宋" w:cs="仿宋"/>
          <w:b/>
          <w:bCs/>
          <w:sz w:val="32"/>
          <w:szCs w:val="32"/>
        </w:rPr>
      </w:pPr>
      <w:bookmarkStart w:id="37" w:name="_Toc63246004"/>
      <w:r>
        <w:rPr>
          <w:rFonts w:hint="eastAsia" w:ascii="仿宋" w:hAnsi="仿宋" w:eastAsia="仿宋" w:cs="仿宋"/>
          <w:b/>
          <w:bCs/>
          <w:sz w:val="32"/>
          <w:szCs w:val="32"/>
        </w:rPr>
        <w:t>第二节  规划原则</w:t>
      </w:r>
      <w:bookmarkEnd w:id="37"/>
    </w:p>
    <w:p>
      <w:pPr>
        <w:pStyle w:val="16"/>
        <w:numPr>
          <w:ilvl w:val="0"/>
          <w:numId w:val="16"/>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以人为本原则</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坚持以人为本，服务民生，以公众的根本利益需求作为城市管理工作的出发点和落脚点，牢固树立“管理＋发展”“管理＋服务”和“城市管理是生产力”的理念，让城市管理融入和助力城市发展，让公众共享城市发展成果。坚持依法治市、维护公平正义。主动适应经济社会发展新常态，树立全球视野，积极吸收借鉴先进城市管理经验和做法，科学研判城市发展和治理的路线，先事预事，保障城市安全运行效率与发展质量不断提升。</w:t>
      </w:r>
    </w:p>
    <w:p>
      <w:pPr>
        <w:pStyle w:val="16"/>
        <w:numPr>
          <w:ilvl w:val="0"/>
          <w:numId w:val="16"/>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对标看齐原则</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严格贯彻落实中共中央国务院及省委省政府对于城市管理工作的相关文件精神，并向国内城市管理水平处于前列的城市（如北京、上海、广州、杭州、青岛等）看齐，学习其先进城市管理经验。</w:t>
      </w:r>
    </w:p>
    <w:p>
      <w:pPr>
        <w:pStyle w:val="16"/>
        <w:numPr>
          <w:ilvl w:val="0"/>
          <w:numId w:val="16"/>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统筹兼顾原则</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坚持系统性思维引领，围绕公共设施建设管理、公共服务质量提升、公共秩序维护、城市环境质量改善和城市管理队伍建设等方面统筹协调。统筹城市与农村发展，促进城乡发展一体化；统筹公共设施的规划、建设和运行管理，推进全过程管理和“多规合一”；统筹城市管理行政体系各级各部门，坚持以人为本、源头治理、权责一致、协调创新的原则，优化管理体制，建立城市管理、执法和司法的有机衔接。</w:t>
      </w:r>
    </w:p>
    <w:p>
      <w:pPr>
        <w:pStyle w:val="16"/>
        <w:numPr>
          <w:ilvl w:val="0"/>
          <w:numId w:val="16"/>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问题导向原则</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南昌城市管理方面存在一些短板，比如：城市容貌不够美观，街面秩序仍旧较为混乱，城中村、城乡结合部、城市出入口、铁路沿线等区域还存在脏乱差的现象，城市管理基础设施不够完善等。以问题为导向，注重南昌城市管理实际，在拓展南昌城市管理优长的基础上，对补齐短板给出具体的应对措施和工作部署。</w:t>
      </w:r>
    </w:p>
    <w:p>
      <w:pPr>
        <w:spacing w:beforeLines="50" w:afterLines="50" w:line="560" w:lineRule="exact"/>
        <w:jc w:val="center"/>
        <w:outlineLvl w:val="1"/>
        <w:rPr>
          <w:rFonts w:ascii="仿宋" w:hAnsi="仿宋" w:eastAsia="仿宋" w:cs="仿宋"/>
          <w:b/>
          <w:bCs/>
          <w:sz w:val="32"/>
          <w:szCs w:val="32"/>
        </w:rPr>
      </w:pPr>
      <w:bookmarkStart w:id="38" w:name="_Toc63246005"/>
      <w:r>
        <w:rPr>
          <w:rFonts w:hint="eastAsia" w:ascii="仿宋" w:hAnsi="仿宋" w:eastAsia="仿宋" w:cs="仿宋"/>
          <w:b/>
          <w:bCs/>
          <w:sz w:val="32"/>
          <w:szCs w:val="32"/>
        </w:rPr>
        <w:t>第三节  规划依据</w:t>
      </w:r>
      <w:bookmarkEnd w:id="38"/>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1.《中共中央国务院关于深入推进城市执法体制改革改进城市管理工作的指导意见》（2015年12月）；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2.《中共中央国务院关于进一步加强城市规划建设管理工作的若干意见》（2016年2月）；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3.《中华人民共和国国民经济和社会发展第十三个五年规划纲要》（2016年3月）；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4.《全国城市市政基础设施建设“十三五”规划》（2017年5月）；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5.《中华人民共和国城乡规划法》（2008年1月）；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6.《中共江西省委江西省人民政府关于进一步加强城市规划建设管理工作的实施意见》（2016年6月）；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7.《江西省关于深入推进城市执法体制改革改进城市管理工作的意见》（2016年6月）；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8.《江西省城市功能与品质提升三年行动方案》（2018年12月）；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9.《南昌市城市总体规划（2001-2020）》（2012年10月）；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10.《南昌市国民经济和社会发展第十三个五年规划</w:t>
      </w:r>
      <w:r>
        <w:rPr>
          <w:rStyle w:val="20"/>
          <w:rFonts w:hint="eastAsia" w:ascii="仿宋" w:hAnsi="仿宋" w:eastAsia="仿宋" w:cs="仿宋"/>
          <w:b w:val="0"/>
          <w:sz w:val="32"/>
          <w:szCs w:val="32"/>
          <w:lang w:eastAsia="zh-CN"/>
        </w:rPr>
        <w:t>纲要</w:t>
      </w:r>
      <w:r>
        <w:rPr>
          <w:rStyle w:val="20"/>
          <w:rFonts w:hint="eastAsia" w:ascii="仿宋" w:hAnsi="仿宋" w:eastAsia="仿宋" w:cs="仿宋"/>
          <w:b w:val="0"/>
          <w:sz w:val="32"/>
          <w:szCs w:val="32"/>
        </w:rPr>
        <w:t>》（2016年1月）；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11.《南昌市国土空间总体规划（2019-2035）》（在编）；</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12.《中中共南昌市委南昌市人民政府关于进一步加强城市规划建设管理工作的实施意见》（2017年8月）；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13.《中共南昌市委南昌市人民政府关于深入推进城市执法体制改革改进城市管理工作的实施意见》（2017年8月）；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14.《“美丽南昌•幸福家园”环境综合整治》（2016年12月）；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15.《南昌市城市功能和品质提升三年行动暨深入推进“美丽南昌•幸福家园”环境综合整治实施方案》（2019年2月）；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16.《2020年南昌市城市功能与品质提升暨深入推进“美丽南昌</w:t>
      </w:r>
      <w:r>
        <w:rPr>
          <w:rStyle w:val="20"/>
          <w:rFonts w:hint="eastAsia"/>
          <w:b w:val="0"/>
          <w:sz w:val="32"/>
          <w:szCs w:val="32"/>
        </w:rPr>
        <w:t>•</w:t>
      </w:r>
      <w:r>
        <w:rPr>
          <w:rStyle w:val="20"/>
          <w:rFonts w:hint="eastAsia" w:ascii="仿宋" w:hAnsi="仿宋" w:eastAsia="仿宋" w:cs="仿宋"/>
          <w:b w:val="0"/>
          <w:sz w:val="32"/>
          <w:szCs w:val="32"/>
        </w:rPr>
        <w:t>幸福家园”城乡环境综合整治“创特色、争一流”工作方案》（2020年3月）；</w:t>
      </w:r>
    </w:p>
    <w:p>
      <w:pPr>
        <w:pStyle w:val="16"/>
        <w:shd w:val="clear" w:color="auto" w:fill="FFFFFF"/>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17.《彰显省会担当 唱响“南昌品牌”城市建管十大提升行动实施方案》（2020年5月）；</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18.南昌城市管理领域各类专业规划。</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p>
    <w:p>
      <w:pPr>
        <w:spacing w:beforeLines="50" w:afterLines="50" w:line="560" w:lineRule="exact"/>
        <w:jc w:val="center"/>
        <w:outlineLvl w:val="1"/>
        <w:rPr>
          <w:rStyle w:val="20"/>
          <w:rFonts w:ascii="仿宋" w:hAnsi="仿宋" w:eastAsia="仿宋" w:cs="仿宋"/>
          <w:b w:val="0"/>
          <w:kern w:val="0"/>
          <w:sz w:val="32"/>
          <w:szCs w:val="32"/>
        </w:rPr>
      </w:pPr>
      <w:bookmarkStart w:id="39" w:name="_Toc63246006"/>
      <w:r>
        <w:rPr>
          <w:rFonts w:hint="eastAsia" w:ascii="仿宋" w:hAnsi="仿宋" w:eastAsia="仿宋" w:cs="仿宋"/>
          <w:b/>
          <w:bCs/>
          <w:sz w:val="32"/>
          <w:szCs w:val="32"/>
        </w:rPr>
        <w:t>第四节  规划策略</w:t>
      </w:r>
      <w:bookmarkEnd w:id="39"/>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坚持以人为本，按照“严治理、强智慧、补短板、提品质” 12字方针抓落实，推进“高水平治理、高质量发展、高品质生活”建设。</w:t>
      </w:r>
    </w:p>
    <w:p>
      <w:pPr>
        <w:pStyle w:val="16"/>
        <w:numPr>
          <w:ilvl w:val="0"/>
          <w:numId w:val="17"/>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严治理—做到“三全四化”，在落细落小上下功夫</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“三全”，是指全覆盖、全过程、全天候。全覆盖——各个空间、各个领域和所有人群。全过程——贯穿规、建、管全过程，全生命周期。全天候——一年365天、一天24小时的每时每刻。</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“四化”，是指法治化、社会化、智能化、标准化。其中，法治化是城市管理的根本保障；社会化，是城市管理的重要基础；智能化，是城市管理的重要手段；标准化，为精细化管理提供依据和标尺。</w:t>
      </w:r>
    </w:p>
    <w:p>
      <w:pPr>
        <w:pStyle w:val="16"/>
        <w:numPr>
          <w:ilvl w:val="0"/>
          <w:numId w:val="17"/>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强智慧—加强平台建设，并深入推进到管理的各个领域</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sz w:val="32"/>
          <w:szCs w:val="32"/>
        </w:rPr>
        <w:t>（一）</w:t>
      </w:r>
      <w:r>
        <w:rPr>
          <w:rStyle w:val="20"/>
          <w:rFonts w:hint="eastAsia" w:ascii="仿宋" w:hAnsi="仿宋" w:eastAsia="仿宋" w:cs="仿宋"/>
          <w:b w:val="0"/>
          <w:kern w:val="0"/>
          <w:sz w:val="32"/>
          <w:szCs w:val="32"/>
        </w:rPr>
        <w:t>数字城管向智慧城管转变，实现由城市管理向城市治理的阶段性迈进。</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sz w:val="32"/>
          <w:szCs w:val="32"/>
        </w:rPr>
        <w:t>（二）</w:t>
      </w:r>
      <w:r>
        <w:rPr>
          <w:rStyle w:val="20"/>
          <w:rFonts w:hint="eastAsia" w:ascii="仿宋" w:hAnsi="仿宋" w:eastAsia="仿宋" w:cs="仿宋"/>
          <w:b w:val="0"/>
          <w:kern w:val="0"/>
          <w:sz w:val="32"/>
          <w:szCs w:val="32"/>
        </w:rPr>
        <w:t>加大智慧城管设备投入、提升感知手段。</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sz w:val="32"/>
          <w:szCs w:val="32"/>
        </w:rPr>
        <w:t>（三）</w:t>
      </w:r>
      <w:r>
        <w:rPr>
          <w:rStyle w:val="20"/>
          <w:rFonts w:hint="eastAsia" w:ascii="仿宋" w:hAnsi="仿宋" w:eastAsia="仿宋" w:cs="仿宋"/>
          <w:b w:val="0"/>
          <w:kern w:val="0"/>
          <w:sz w:val="32"/>
          <w:szCs w:val="32"/>
        </w:rPr>
        <w:t xml:space="preserve">智慧化向城管全领域延伸。结合智慧南昌建设，整合城管、交通、公安、工商、自然资源、卫生等部门数据，实现数据共联共享，一网多用，普及交通、城管、交警、燃气、桥梁、工地等重点部位和区域的监控、报警、处置等，为城市提供便利的市民服务，精准快速的城市管理。 </w:t>
      </w:r>
    </w:p>
    <w:p>
      <w:pPr>
        <w:pStyle w:val="16"/>
        <w:numPr>
          <w:ilvl w:val="0"/>
          <w:numId w:val="17"/>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补短板—立足问题导向，补短板强弱项</w:t>
      </w:r>
    </w:p>
    <w:p>
      <w:pPr>
        <w:pStyle w:val="16"/>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（一）加强市政基础设施建设</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提升污水处理</w:t>
      </w:r>
      <w:r>
        <w:rPr>
          <w:rStyle w:val="20"/>
          <w:rFonts w:ascii="仿宋" w:hAnsi="仿宋" w:eastAsia="仿宋" w:cs="仿宋"/>
          <w:b w:val="0"/>
          <w:sz w:val="32"/>
          <w:szCs w:val="32"/>
        </w:rPr>
        <w:t>能力，</w:t>
      </w:r>
      <w:r>
        <w:rPr>
          <w:rStyle w:val="20"/>
          <w:rFonts w:hint="eastAsia" w:ascii="仿宋" w:hAnsi="仿宋" w:eastAsia="仿宋" w:cs="仿宋"/>
          <w:b w:val="0"/>
          <w:sz w:val="32"/>
          <w:szCs w:val="32"/>
        </w:rPr>
        <w:t>改造</w:t>
      </w:r>
      <w:r>
        <w:rPr>
          <w:rStyle w:val="20"/>
          <w:rFonts w:ascii="仿宋" w:hAnsi="仿宋" w:eastAsia="仿宋" w:cs="仿宋"/>
          <w:b w:val="0"/>
          <w:sz w:val="32"/>
          <w:szCs w:val="32"/>
        </w:rPr>
        <w:t>管网</w:t>
      </w:r>
      <w:r>
        <w:rPr>
          <w:rStyle w:val="20"/>
          <w:rFonts w:hint="eastAsia" w:ascii="仿宋" w:hAnsi="仿宋" w:eastAsia="仿宋" w:cs="仿宋"/>
          <w:b w:val="0"/>
          <w:sz w:val="32"/>
          <w:szCs w:val="32"/>
        </w:rPr>
        <w:t>漏损和</w:t>
      </w:r>
      <w:r>
        <w:rPr>
          <w:rStyle w:val="20"/>
          <w:rFonts w:ascii="仿宋" w:hAnsi="仿宋" w:eastAsia="仿宋" w:cs="仿宋"/>
          <w:b w:val="0"/>
          <w:sz w:val="32"/>
          <w:szCs w:val="32"/>
        </w:rPr>
        <w:t>雨污水混接</w:t>
      </w:r>
      <w:r>
        <w:rPr>
          <w:rStyle w:val="20"/>
          <w:rFonts w:hint="eastAsia" w:ascii="仿宋" w:hAnsi="仿宋" w:eastAsia="仿宋" w:cs="仿宋"/>
          <w:b w:val="0"/>
          <w:sz w:val="32"/>
          <w:szCs w:val="32"/>
        </w:rPr>
        <w:t>状况，解决街巷道路积水问题，加强维护精细化程度，解决好城乡结合部城市管理工作不平衡问题。</w:t>
      </w:r>
    </w:p>
    <w:p>
      <w:pPr>
        <w:pStyle w:val="16"/>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（二）加强配套设施建设</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持续提升城市停车设施、城市家具水平，提升二次</w:t>
      </w:r>
      <w:r>
        <w:rPr>
          <w:rStyle w:val="20"/>
          <w:rFonts w:ascii="仿宋" w:hAnsi="仿宋" w:eastAsia="仿宋" w:cs="仿宋"/>
          <w:b w:val="0"/>
          <w:sz w:val="32"/>
          <w:szCs w:val="32"/>
        </w:rPr>
        <w:t>供水</w:t>
      </w:r>
      <w:r>
        <w:rPr>
          <w:rStyle w:val="20"/>
          <w:rFonts w:hint="eastAsia" w:ascii="仿宋" w:hAnsi="仿宋" w:eastAsia="仿宋" w:cs="仿宋"/>
          <w:b w:val="0"/>
          <w:sz w:val="32"/>
          <w:szCs w:val="32"/>
        </w:rPr>
        <w:t>系统以及燃气</w:t>
      </w:r>
      <w:r>
        <w:rPr>
          <w:rStyle w:val="20"/>
          <w:rFonts w:ascii="仿宋" w:hAnsi="仿宋" w:eastAsia="仿宋" w:cs="仿宋"/>
          <w:b w:val="0"/>
          <w:sz w:val="32"/>
          <w:szCs w:val="32"/>
        </w:rPr>
        <w:t>保障能力</w:t>
      </w:r>
      <w:r>
        <w:rPr>
          <w:rStyle w:val="20"/>
          <w:rFonts w:hint="eastAsia" w:ascii="仿宋" w:hAnsi="仿宋" w:eastAsia="仿宋" w:cs="仿宋"/>
          <w:b w:val="0"/>
          <w:sz w:val="32"/>
          <w:szCs w:val="32"/>
        </w:rPr>
        <w:t>，提高园林绿化品味等。</w:t>
      </w:r>
    </w:p>
    <w:p>
      <w:pPr>
        <w:pStyle w:val="16"/>
        <w:shd w:val="clear" w:color="auto" w:fill="FFFFFF"/>
        <w:spacing w:before="0" w:beforeAutospacing="0" w:after="0" w:afterAutospacing="0"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（三）解决市民居住环境短板问题</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重点对背街小巷、城乡结合部、工矿企业等区域加大城市管理力度、改善老旧小区公共服务、基础设施和空间环境。加大街面秩序和乱象整治力度。</w:t>
      </w:r>
    </w:p>
    <w:p>
      <w:pPr>
        <w:pStyle w:val="16"/>
        <w:numPr>
          <w:ilvl w:val="0"/>
          <w:numId w:val="17"/>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提品质—立足惠民利民，提升生活品质</w:t>
      </w:r>
    </w:p>
    <w:p>
      <w:pPr>
        <w:pStyle w:val="16"/>
        <w:numPr>
          <w:ilvl w:val="0"/>
          <w:numId w:val="18"/>
        </w:numPr>
        <w:shd w:val="clear" w:color="auto" w:fill="FFFFFF"/>
        <w:spacing w:before="0" w:beforeAutospacing="0" w:after="0" w:afterAutospacing="0" w:line="560" w:lineRule="exact"/>
        <w:ind w:firstLine="963" w:firstLineChars="300"/>
        <w:rPr>
          <w:rStyle w:val="20"/>
          <w:rFonts w:ascii="仿宋" w:hAnsi="仿宋" w:eastAsia="仿宋" w:cs="仿宋"/>
          <w:bCs w:val="0"/>
          <w:sz w:val="32"/>
          <w:szCs w:val="32"/>
        </w:rPr>
      </w:pPr>
      <w:r>
        <w:rPr>
          <w:rStyle w:val="20"/>
          <w:rFonts w:hint="eastAsia" w:ascii="仿宋" w:hAnsi="仿宋" w:eastAsia="仿宋" w:cs="仿宋"/>
          <w:bCs w:val="0"/>
          <w:sz w:val="32"/>
          <w:szCs w:val="32"/>
        </w:rPr>
        <w:t>提升园林绿化水平</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加强公园城市建设，突出绿色理念，融合生态价值，努力把公园、绿道、邮票绿地串联起来，提高城市绿化水平。</w:t>
      </w:r>
    </w:p>
    <w:p>
      <w:pPr>
        <w:pStyle w:val="16"/>
        <w:numPr>
          <w:ilvl w:val="0"/>
          <w:numId w:val="18"/>
        </w:numPr>
        <w:shd w:val="clear" w:color="auto" w:fill="FFFFFF"/>
        <w:spacing w:before="0" w:beforeAutospacing="0" w:after="0" w:afterAutospacing="0" w:line="560" w:lineRule="exact"/>
        <w:ind w:firstLine="963" w:firstLineChars="300"/>
        <w:rPr>
          <w:rStyle w:val="20"/>
          <w:rFonts w:ascii="仿宋" w:hAnsi="仿宋" w:eastAsia="仿宋" w:cs="仿宋"/>
          <w:bCs w:val="0"/>
          <w:sz w:val="32"/>
          <w:szCs w:val="32"/>
        </w:rPr>
      </w:pPr>
      <w:r>
        <w:rPr>
          <w:rStyle w:val="20"/>
          <w:rFonts w:hint="eastAsia" w:ascii="仿宋" w:hAnsi="仿宋" w:eastAsia="仿宋" w:cs="仿宋"/>
          <w:bCs w:val="0"/>
          <w:sz w:val="32"/>
          <w:szCs w:val="32"/>
        </w:rPr>
        <w:t>提升社区居民服务功能</w:t>
      </w:r>
    </w:p>
    <w:p>
      <w:pPr>
        <w:pStyle w:val="16"/>
        <w:shd w:val="clear" w:color="auto" w:fill="FFFFFF"/>
        <w:spacing w:before="0" w:beforeAutospacing="0" w:after="0" w:afterAutospacing="0"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按照利民便民的思想，打造智慧社区，建设社区服务功能，如社区邻里中心 “1+5+X”等。</w:t>
      </w:r>
    </w:p>
    <w:p>
      <w:pPr>
        <w:pStyle w:val="16"/>
        <w:numPr>
          <w:ilvl w:val="0"/>
          <w:numId w:val="18"/>
        </w:numPr>
        <w:shd w:val="clear" w:color="auto" w:fill="FFFFFF"/>
        <w:spacing w:before="0" w:beforeAutospacing="0" w:after="0" w:afterAutospacing="0" w:line="560" w:lineRule="exact"/>
        <w:ind w:firstLine="963" w:firstLineChars="300"/>
        <w:rPr>
          <w:rStyle w:val="20"/>
          <w:rFonts w:ascii="仿宋" w:hAnsi="仿宋" w:eastAsia="仿宋" w:cs="仿宋"/>
          <w:bCs w:val="0"/>
          <w:sz w:val="32"/>
          <w:szCs w:val="32"/>
        </w:rPr>
      </w:pPr>
      <w:r>
        <w:rPr>
          <w:rStyle w:val="20"/>
          <w:rFonts w:hint="eastAsia" w:ascii="仿宋" w:hAnsi="仿宋" w:eastAsia="仿宋" w:cs="仿宋"/>
          <w:bCs w:val="0"/>
          <w:sz w:val="32"/>
          <w:szCs w:val="32"/>
        </w:rPr>
        <w:t>提升市民生活街区品质</w:t>
      </w:r>
    </w:p>
    <w:p>
      <w:pPr>
        <w:pStyle w:val="16"/>
        <w:shd w:val="clear" w:color="auto" w:fill="FFFFFF"/>
        <w:spacing w:before="0" w:beforeAutospacing="0" w:after="0" w:afterAutospacing="0" w:line="560" w:lineRule="exact"/>
        <w:ind w:firstLine="640"/>
        <w:rPr>
          <w:rStyle w:val="20"/>
          <w:rFonts w:ascii="仿宋" w:hAnsi="仿宋" w:eastAsia="仿宋" w:cs="仿宋"/>
          <w:b w:val="0"/>
          <w:sz w:val="32"/>
          <w:szCs w:val="32"/>
        </w:rPr>
      </w:pPr>
      <w:r>
        <w:rPr>
          <w:rStyle w:val="20"/>
          <w:rFonts w:hint="eastAsia" w:ascii="仿宋" w:hAnsi="仿宋" w:eastAsia="仿宋" w:cs="仿宋"/>
          <w:b w:val="0"/>
          <w:sz w:val="32"/>
          <w:szCs w:val="32"/>
        </w:rPr>
        <w:t>改造沿街较差的建筑立面，提升市民视觉美感，加强垃圾分类方式，提升整体居住质量。</w:t>
      </w:r>
    </w:p>
    <w:p>
      <w:pPr>
        <w:pStyle w:val="16"/>
        <w:shd w:val="clear" w:color="auto" w:fill="FFFFFF"/>
        <w:spacing w:before="0" w:beforeAutospacing="0" w:after="0" w:afterAutospacing="0" w:line="560" w:lineRule="exact"/>
        <w:ind w:firstLine="640"/>
        <w:rPr>
          <w:rStyle w:val="20"/>
          <w:rFonts w:ascii="仿宋" w:hAnsi="仿宋" w:eastAsia="仿宋" w:cs="仿宋"/>
          <w:b w:val="0"/>
          <w:sz w:val="32"/>
          <w:szCs w:val="32"/>
        </w:rPr>
      </w:pPr>
    </w:p>
    <w:p>
      <w:pPr>
        <w:pStyle w:val="16"/>
        <w:shd w:val="clear" w:color="auto" w:fill="FFFFFF"/>
        <w:spacing w:before="0" w:beforeAutospacing="0" w:after="0" w:afterAutospacing="0" w:line="560" w:lineRule="exact"/>
        <w:ind w:firstLine="640"/>
        <w:rPr>
          <w:rStyle w:val="20"/>
          <w:rFonts w:ascii="仿宋" w:hAnsi="仿宋" w:eastAsia="仿宋" w:cs="仿宋"/>
          <w:b w:val="0"/>
          <w:sz w:val="32"/>
          <w:szCs w:val="32"/>
        </w:rPr>
      </w:pPr>
      <w:r>
        <w:rPr>
          <w:rStyle w:val="20"/>
          <w:rFonts w:hint="eastAsia" w:ascii="仿宋" w:hAnsi="仿宋" w:eastAsia="仿宋" w:cs="仿宋"/>
          <w:b w:val="0"/>
          <w:sz w:val="32"/>
          <w:szCs w:val="32"/>
        </w:rPr>
        <w:br w:type="page"/>
      </w:r>
    </w:p>
    <w:p>
      <w:pPr>
        <w:pStyle w:val="28"/>
        <w:numPr>
          <w:ilvl w:val="0"/>
          <w:numId w:val="1"/>
        </w:numPr>
        <w:spacing w:beforeLines="100" w:afterLines="100" w:line="360" w:lineRule="auto"/>
        <w:ind w:firstLineChars="0"/>
        <w:jc w:val="center"/>
        <w:outlineLvl w:val="0"/>
        <w:rPr>
          <w:rFonts w:ascii="Times New Roman" w:hAnsi="Times New Roman" w:eastAsia="黑体" w:cs="Times New Roman"/>
          <w:sz w:val="44"/>
          <w:szCs w:val="44"/>
        </w:rPr>
      </w:pPr>
      <w:bookmarkStart w:id="40" w:name="_Toc63246007"/>
      <w:r>
        <w:rPr>
          <w:rFonts w:hint="eastAsia" w:ascii="Times New Roman" w:hAnsi="Times New Roman" w:eastAsia="黑体" w:cs="Times New Roman"/>
          <w:sz w:val="44"/>
          <w:szCs w:val="44"/>
        </w:rPr>
        <w:t>体系和目标</w:t>
      </w:r>
      <w:bookmarkEnd w:id="40"/>
    </w:p>
    <w:p>
      <w:pPr>
        <w:numPr>
          <w:ilvl w:val="0"/>
          <w:numId w:val="19"/>
        </w:numPr>
        <w:spacing w:beforeLines="50" w:afterLines="50" w:line="560" w:lineRule="exact"/>
        <w:jc w:val="center"/>
        <w:outlineLvl w:val="1"/>
        <w:rPr>
          <w:rFonts w:ascii="仿宋" w:hAnsi="仿宋" w:eastAsia="仿宋" w:cs="仿宋"/>
          <w:b/>
          <w:bCs/>
          <w:sz w:val="32"/>
          <w:szCs w:val="32"/>
        </w:rPr>
      </w:pPr>
      <w:bookmarkStart w:id="41" w:name="_Toc63246008"/>
      <w:r>
        <w:rPr>
          <w:rFonts w:hint="eastAsia" w:ascii="仿宋" w:hAnsi="仿宋" w:eastAsia="仿宋" w:cs="仿宋"/>
          <w:b/>
          <w:bCs/>
          <w:sz w:val="32"/>
          <w:szCs w:val="32"/>
        </w:rPr>
        <w:t>体系构建</w:t>
      </w:r>
      <w:bookmarkEnd w:id="41"/>
    </w:p>
    <w:p>
      <w:pPr>
        <w:pStyle w:val="16"/>
        <w:numPr>
          <w:ilvl w:val="0"/>
          <w:numId w:val="20"/>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大城管功能板块</w:t>
      </w:r>
    </w:p>
    <w:p>
      <w:pPr>
        <w:spacing w:line="560" w:lineRule="exact"/>
        <w:ind w:firstLine="420" w:firstLineChars="200"/>
        <w:rPr>
          <w:rStyle w:val="20"/>
          <w:rFonts w:ascii="仿宋" w:hAnsi="仿宋" w:eastAsia="仿宋" w:cs="仿宋"/>
          <w:b w:val="0"/>
          <w:kern w:val="0"/>
          <w:sz w:val="32"/>
          <w:szCs w:val="32"/>
        </w:rPr>
      </w:pPr>
      <w:r>
        <mc:AlternateContent>
          <mc:Choice Requires="wps">
            <w:drawing>
              <wp:anchor distT="45720" distB="45720" distL="114300" distR="114300" simplePos="0" relativeHeight="251664384" behindDoc="0" locked="0" layoutInCell="1" allowOverlap="1">
                <wp:simplePos x="0" y="0"/>
                <wp:positionH relativeFrom="column">
                  <wp:align>center</wp:align>
                </wp:positionH>
                <wp:positionV relativeFrom="paragraph">
                  <wp:posOffset>1249680</wp:posOffset>
                </wp:positionV>
                <wp:extent cx="5466715" cy="3569970"/>
                <wp:effectExtent l="4445" t="4445" r="15240" b="6985"/>
                <wp:wrapSquare wrapText="bothSides"/>
                <wp:docPr id="16" name="文本框 6"/>
                <wp:cNvGraphicFramePr/>
                <a:graphic xmlns:a="http://schemas.openxmlformats.org/drawingml/2006/main">
                  <a:graphicData uri="http://schemas.microsoft.com/office/word/2010/wordprocessingShape">
                    <wps:wsp>
                      <wps:cNvSpPr txBox="1"/>
                      <wps:spPr>
                        <a:xfrm>
                          <a:off x="0" y="0"/>
                          <a:ext cx="5466715" cy="356997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jc w:val="center"/>
                            </w:pPr>
                            <w:r>
                              <w:drawing>
                                <wp:inline distT="0" distB="0" distL="0" distR="0">
                                  <wp:extent cx="4778375" cy="2870200"/>
                                  <wp:effectExtent l="19050" t="0" r="2912"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1"/>
                                          <a:srcRect l="36408" t="31808" r="17409" b="18849"/>
                                          <a:stretch>
                                            <a:fillRect/>
                                          </a:stretch>
                                        </pic:blipFill>
                                        <pic:spPr>
                                          <a:xfrm>
                                            <a:off x="0" y="0"/>
                                            <a:ext cx="4778638" cy="2870392"/>
                                          </a:xfrm>
                                          <a:prstGeom prst="rect">
                                            <a:avLst/>
                                          </a:prstGeom>
                                          <a:ln>
                                            <a:noFill/>
                                          </a:ln>
                                        </pic:spPr>
                                      </pic:pic>
                                    </a:graphicData>
                                  </a:graphic>
                                </wp:inline>
                              </w:drawing>
                            </w:r>
                          </w:p>
                          <w:p>
                            <w:pPr>
                              <w:jc w:val="center"/>
                            </w:pPr>
                            <w:r>
                              <w:rPr>
                                <w:rFonts w:hint="eastAsia" w:ascii="仿宋" w:hAnsi="仿宋" w:eastAsia="仿宋" w:cs="仿宋"/>
                                <w:sz w:val="32"/>
                                <w:szCs w:val="32"/>
                              </w:rPr>
                              <w:t>城市管理功能板块图</w:t>
                            </w:r>
                          </w:p>
                        </w:txbxContent>
                      </wps:txbx>
                      <wps:bodyPr upright="1"/>
                    </wps:wsp>
                  </a:graphicData>
                </a:graphic>
              </wp:anchor>
            </w:drawing>
          </mc:Choice>
          <mc:Fallback>
            <w:pict>
              <v:shape id="文本框 6" o:spid="_x0000_s1026" o:spt="202" type="#_x0000_t202" style="position:absolute;left:0pt;margin-top:98.4pt;height:281.1pt;width:430.45pt;mso-position-horizontal:center;mso-wrap-distance-bottom:3.6pt;mso-wrap-distance-left:9pt;mso-wrap-distance-right:9pt;mso-wrap-distance-top:3.6pt;z-index:251664384;mso-width-relative:margin;mso-height-relative:margin;" fillcolor="#FFFFFF" filled="t" stroked="t" coordsize="21600,21600" o:gfxdata="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WAAAAZHJzL1BLAQIUABQAAAAIAIdO4kDnpPjI1wAA&#10;AAgBAAAPAAAAAAAAAAEAIAAAADgAAABkcnMvZG93bnJldi54bWxQSwECFAAUAAAACACHTuJA3sKe&#10;8AkCAAA4BAAADgAAAAAAAAABACAAAAA8AQAAZHJzL2Uyb0RvYy54bWxQSwUGAAAAAAYABgBZAQAA&#10;twUAAAAA&#10;">
                <v:fill on="t" focussize="0,0"/>
                <v:stroke color="#FFFFFF" joinstyle="miter"/>
                <v:imagedata o:title=""/>
                <o:lock v:ext="edit" aspectratio="f"/>
                <v:textbox>
                  <w:txbxContent>
                    <w:p>
                      <w:pPr>
                        <w:jc w:val="center"/>
                      </w:pPr>
                      <w:r>
                        <w:drawing>
                          <wp:inline distT="0" distB="0" distL="0" distR="0">
                            <wp:extent cx="4778375" cy="2870200"/>
                            <wp:effectExtent l="19050" t="0" r="2912" b="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1"/>
                                    <a:srcRect l="36408" t="31808" r="17409" b="18849"/>
                                    <a:stretch>
                                      <a:fillRect/>
                                    </a:stretch>
                                  </pic:blipFill>
                                  <pic:spPr>
                                    <a:xfrm>
                                      <a:off x="0" y="0"/>
                                      <a:ext cx="4778638" cy="2870392"/>
                                    </a:xfrm>
                                    <a:prstGeom prst="rect">
                                      <a:avLst/>
                                    </a:prstGeom>
                                    <a:ln>
                                      <a:noFill/>
                                    </a:ln>
                                  </pic:spPr>
                                </pic:pic>
                              </a:graphicData>
                            </a:graphic>
                          </wp:inline>
                        </w:drawing>
                      </w:r>
                    </w:p>
                    <w:p>
                      <w:pPr>
                        <w:jc w:val="center"/>
                      </w:pPr>
                      <w:r>
                        <w:rPr>
                          <w:rFonts w:hint="eastAsia" w:ascii="仿宋" w:hAnsi="仿宋" w:eastAsia="仿宋" w:cs="仿宋"/>
                          <w:sz w:val="32"/>
                          <w:szCs w:val="32"/>
                        </w:rPr>
                        <w:t>城市管理功能板块图</w:t>
                      </w:r>
                    </w:p>
                  </w:txbxContent>
                </v:textbox>
                <w10:wrap type="square"/>
              </v:shape>
            </w:pict>
          </mc:Fallback>
        </mc:AlternateContent>
      </w:r>
      <w:r>
        <w:rPr>
          <w:rStyle w:val="20"/>
          <w:rFonts w:hint="eastAsia" w:ascii="仿宋" w:hAnsi="仿宋" w:eastAsia="仿宋" w:cs="仿宋"/>
          <w:b w:val="0"/>
          <w:kern w:val="0"/>
          <w:sz w:val="32"/>
          <w:szCs w:val="32"/>
        </w:rPr>
        <w:t>建立统一高效的大城管格局，构建创新治理、靓丽市容、洁净环境、生态园林、安全公用、绿色水务、精细管养、文明执法等“八板块”的城管体系。</w:t>
      </w:r>
    </w:p>
    <w:p>
      <w:pPr>
        <w:pStyle w:val="16"/>
        <w:numPr>
          <w:ilvl w:val="0"/>
          <w:numId w:val="20"/>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城市管理空间结构</w:t>
      </w:r>
    </w:p>
    <w:p>
      <w:pPr>
        <w:spacing w:line="560" w:lineRule="exact"/>
        <w:ind w:firstLine="640" w:firstLineChars="200"/>
        <w:rPr>
          <w:rStyle w:val="20"/>
          <w:rFonts w:ascii="仿宋" w:hAnsi="仿宋" w:eastAsia="仿宋" w:cs="仿宋"/>
          <w:bCs w:val="0"/>
          <w:sz w:val="32"/>
          <w:szCs w:val="32"/>
        </w:rPr>
      </w:pPr>
      <w:r>
        <w:rPr>
          <w:rStyle w:val="20"/>
          <w:rFonts w:hint="eastAsia" w:ascii="仿宋" w:hAnsi="仿宋" w:eastAsia="仿宋" w:cs="仿宋"/>
          <w:b w:val="0"/>
          <w:kern w:val="0"/>
          <w:sz w:val="32"/>
          <w:szCs w:val="32"/>
        </w:rPr>
        <w:t>衔接城市空间结构，提出城市管理关注的重点区域，包括：城市重要节点、轴线地区，重要门户、重要展示面、历史文化地区等。</w:t>
      </w:r>
    </w:p>
    <w:p>
      <w:pPr>
        <w:pStyle w:val="16"/>
        <w:shd w:val="clear" w:color="auto" w:fill="FFFFFF"/>
        <w:tabs>
          <w:tab w:val="left" w:pos="2301"/>
        </w:tabs>
        <w:spacing w:before="20" w:beforeAutospacing="0" w:after="20" w:afterAutospacing="0" w:line="560" w:lineRule="exact"/>
        <w:jc w:val="both"/>
        <w:rPr>
          <w:rStyle w:val="20"/>
          <w:rFonts w:ascii="仿宋" w:hAnsi="仿宋" w:eastAsia="仿宋" w:cs="仿宋"/>
          <w:bCs w:val="0"/>
          <w:sz w:val="32"/>
          <w:szCs w:val="32"/>
        </w:rPr>
      </w:pPr>
      <w:r>
        <w:rPr>
          <w:rStyle w:val="20"/>
          <w:rFonts w:hint="eastAsia" w:ascii="仿宋" w:hAnsi="仿宋" w:eastAsia="仿宋" w:cs="仿宋"/>
          <w:bCs w:val="0"/>
          <w:sz w:val="32"/>
          <w:szCs w:val="32"/>
        </w:rPr>
        <w:t xml:space="preserve">     1、双核、三轴、多点  </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（1）双核：包括老城核心和红谷滩核心。</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（2）三轴：</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江北发展轴：红谷大道为主的道路沿线。</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昌抚发展轴：八一大道和井冈山</w:t>
      </w:r>
      <w:bookmarkStart w:id="109" w:name="_GoBack"/>
      <w:bookmarkEnd w:id="109"/>
      <w:r>
        <w:rPr>
          <w:rStyle w:val="20"/>
          <w:rFonts w:hint="eastAsia" w:ascii="仿宋" w:hAnsi="仿宋" w:eastAsia="仿宋" w:cs="仿宋"/>
          <w:b w:val="0"/>
          <w:kern w:val="0"/>
          <w:sz w:val="32"/>
          <w:szCs w:val="32"/>
        </w:rPr>
        <w:t>大道为主的道路沿线。</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山湖服务轴：北京路和文化大道为主的道路沿线。</w:t>
      </w:r>
    </w:p>
    <w:p>
      <w:pPr>
        <w:numPr>
          <w:ilvl w:val="0"/>
          <w:numId w:val="21"/>
        </w:num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多点：</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商业中心：九龙湖、瑶湖、朝阳、城南（洪都）、城东、蛟桥、长堎、东站、麻丘、望城。</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行政中心：省政府、市政府。</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文化中心：凤凰洲省级文化中心、新洲市级文化中心、洪都工业文化中心。</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体育中心：国际体育中心、奥林匹克体育中心。</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会展中心：绿地国际博览城、东站会展中心。</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旅游中心：湾里旅游集散中心、融创旅游集散中心。</w:t>
      </w:r>
    </w:p>
    <w:p>
      <w:pPr>
        <w:jc w:val="center"/>
        <w:rPr>
          <w:rFonts w:ascii="仿宋" w:hAnsi="仿宋" w:eastAsia="仿宋" w:cs="仿宋"/>
          <w:sz w:val="32"/>
          <w:szCs w:val="32"/>
        </w:rPr>
      </w:pPr>
      <w:r>
        <w:rPr>
          <w:rFonts w:ascii="仿宋" w:hAnsi="仿宋" w:eastAsia="仿宋" w:cs="仿宋"/>
          <w:sz w:val="32"/>
          <w:szCs w:val="32"/>
        </w:rPr>
        <w:drawing>
          <wp:inline distT="0" distB="0" distL="0" distR="0">
            <wp:extent cx="5142230" cy="4093845"/>
            <wp:effectExtent l="19050" t="0" r="680" b="0"/>
            <wp:docPr id="18" name="图片 1" descr="F:\自动接收\陈浩CH(708BCD8283E3)\空间结构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descr="F:\自动接收\陈浩CH(708BCD8283E3)\空间结构副本.jpg"/>
                    <pic:cNvPicPr>
                      <a:picLocks noChangeAspect="1" noChangeArrowheads="1"/>
                    </pic:cNvPicPr>
                  </pic:nvPicPr>
                  <pic:blipFill>
                    <a:blip r:embed="rId12" cstate="print"/>
                    <a:srcRect l="8819" t="15552" r="24553" b="9353"/>
                    <a:stretch>
                      <a:fillRect/>
                    </a:stretch>
                  </pic:blipFill>
                  <pic:spPr>
                    <a:xfrm>
                      <a:off x="0" y="0"/>
                      <a:ext cx="5142820" cy="4094328"/>
                    </a:xfrm>
                    <a:prstGeom prst="rect">
                      <a:avLst/>
                    </a:prstGeom>
                    <a:noFill/>
                  </pic:spPr>
                </pic:pic>
              </a:graphicData>
            </a:graphic>
          </wp:inline>
        </w:drawing>
      </w:r>
    </w:p>
    <w:p>
      <w:pPr>
        <w:jc w:val="center"/>
        <w:rPr>
          <w:rFonts w:ascii="仿宋" w:hAnsi="仿宋" w:eastAsia="仿宋" w:cs="仿宋"/>
          <w:sz w:val="32"/>
          <w:szCs w:val="32"/>
        </w:rPr>
      </w:pPr>
      <w:r>
        <w:rPr>
          <w:rFonts w:hint="eastAsia" w:ascii="仿宋" w:hAnsi="仿宋" w:eastAsia="仿宋" w:cs="仿宋"/>
          <w:sz w:val="32"/>
          <w:szCs w:val="32"/>
        </w:rPr>
        <w:t>城市管理空间结构图</w:t>
      </w:r>
    </w:p>
    <w:p>
      <w:pPr>
        <w:ind w:firstLine="640" w:firstLineChars="200"/>
        <w:rPr>
          <w:rStyle w:val="20"/>
          <w:rFonts w:ascii="仿宋" w:hAnsi="仿宋" w:eastAsia="仿宋" w:cs="仿宋"/>
          <w:b w:val="0"/>
          <w:kern w:val="0"/>
          <w:sz w:val="32"/>
          <w:szCs w:val="32"/>
        </w:rPr>
      </w:pP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w:t>
      </w:r>
      <w:r>
        <w:rPr>
          <w:rStyle w:val="20"/>
          <w:rFonts w:hint="eastAsia" w:ascii="仿宋" w:hAnsi="仿宋" w:eastAsia="仿宋" w:cs="仿宋"/>
          <w:bCs w:val="0"/>
          <w:sz w:val="32"/>
          <w:szCs w:val="32"/>
        </w:rPr>
        <w:t xml:space="preserve">重要门户、重要展示面、历史文化地区  </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识别城市门户地区、历史文化地区和重要的展示面。</w:t>
      </w:r>
    </w:p>
    <w:p>
      <w:pPr>
        <w:numPr>
          <w:ilvl w:val="0"/>
          <w:numId w:val="22"/>
        </w:num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一江、两河、八湖的江河湖水展示面。</w:t>
      </w:r>
    </w:p>
    <w:p>
      <w:pPr>
        <w:numPr>
          <w:ilvl w:val="0"/>
          <w:numId w:val="22"/>
        </w:numPr>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交通门户枢纽。包括：昌北机场枢纽，南昌站枢纽、南昌西枢纽、南昌东枢纽（规划），九龙湖城际枢纽（规划）、莲塘城际枢纽、儒乐湖城际枢纽（规划）等铁路门户，南昌北客运站、南昌南客运站、向塘客运站等公路门户。</w:t>
      </w:r>
    </w:p>
    <w:p>
      <w:pPr>
        <w:numPr>
          <w:ilvl w:val="0"/>
          <w:numId w:val="22"/>
        </w:num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一城、三街、七区”的历史文化区。包括：南昌市老城，万寿宫历史文化街区、绳金塔历史文化街区、进贤仓历史文化街区，滕王阁历史风貌区、八一广场历史风貌区、三眼井历史文化风貌区、东南西北四湖环境风貌区。</w:t>
      </w:r>
    </w:p>
    <w:p>
      <w:pPr>
        <w:ind w:firstLine="642" w:firstLineChars="200"/>
        <w:jc w:val="center"/>
        <w:rPr>
          <w:rStyle w:val="20"/>
          <w:rFonts w:ascii="仿宋" w:hAnsi="仿宋" w:eastAsia="仿宋" w:cs="仿宋"/>
          <w:bCs w:val="0"/>
          <w:sz w:val="32"/>
          <w:szCs w:val="32"/>
        </w:rPr>
      </w:pPr>
      <w:r>
        <w:rPr>
          <w:rFonts w:ascii="仿宋" w:hAnsi="仿宋" w:eastAsia="仿宋" w:cs="仿宋"/>
          <w:b/>
          <w:sz w:val="32"/>
          <w:szCs w:val="32"/>
        </w:rPr>
        <w:drawing>
          <wp:inline distT="0" distB="0" distL="0" distR="0">
            <wp:extent cx="4645660" cy="3893820"/>
            <wp:effectExtent l="19050" t="0" r="1943" b="0"/>
            <wp:docPr id="1" name="图片 1" descr="F:\自动接收\陈浩CH(708BCD8283E3)\重要门户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F:\自动接收\陈浩CH(708BCD8283E3)\重要门户副本.jpg"/>
                    <pic:cNvPicPr>
                      <a:picLocks noChangeAspect="1" noChangeArrowheads="1"/>
                    </pic:cNvPicPr>
                  </pic:nvPicPr>
                  <pic:blipFill>
                    <a:blip r:embed="rId13" cstate="print"/>
                    <a:srcRect l="10864" t="14631" r="22319" b="6087"/>
                    <a:stretch>
                      <a:fillRect/>
                    </a:stretch>
                  </pic:blipFill>
                  <pic:spPr>
                    <a:xfrm>
                      <a:off x="0" y="0"/>
                      <a:ext cx="4653422" cy="3899935"/>
                    </a:xfrm>
                    <a:prstGeom prst="rect">
                      <a:avLst/>
                    </a:prstGeom>
                    <a:noFill/>
                  </pic:spPr>
                </pic:pic>
              </a:graphicData>
            </a:graphic>
          </wp:inline>
        </w:drawing>
      </w:r>
    </w:p>
    <w:p>
      <w:pPr>
        <w:jc w:val="center"/>
        <w:rPr>
          <w:rFonts w:ascii="仿宋" w:hAnsi="仿宋" w:eastAsia="仿宋" w:cs="仿宋"/>
          <w:sz w:val="32"/>
          <w:szCs w:val="32"/>
        </w:rPr>
      </w:pPr>
      <w:r>
        <w:rPr>
          <w:rFonts w:hint="eastAsia" w:ascii="仿宋" w:hAnsi="仿宋" w:eastAsia="仿宋" w:cs="仿宋"/>
          <w:sz w:val="32"/>
          <w:szCs w:val="32"/>
        </w:rPr>
        <w:t>城市管理重点区域图</w:t>
      </w:r>
    </w:p>
    <w:p>
      <w:pPr>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3、管理要求</w:t>
      </w:r>
    </w:p>
    <w:p>
      <w:pPr>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该类地区是城市管理的重点区域。总体管理要求应高于其他地区，除了环境洁净、秩序整齐外，风貌方面应体现城市文化、设备方面体现城市智慧，环境方面体现公园特色，对夜景灯光也应有更高的要求。</w:t>
      </w:r>
    </w:p>
    <w:p>
      <w:pPr>
        <w:numPr>
          <w:ilvl w:val="0"/>
          <w:numId w:val="19"/>
        </w:numPr>
        <w:spacing w:beforeLines="50" w:afterLines="50" w:line="560" w:lineRule="exact"/>
        <w:jc w:val="center"/>
        <w:outlineLvl w:val="1"/>
        <w:rPr>
          <w:rFonts w:ascii="仿宋" w:hAnsi="仿宋" w:eastAsia="仿宋" w:cs="仿宋"/>
          <w:b/>
          <w:bCs/>
          <w:sz w:val="32"/>
          <w:szCs w:val="32"/>
        </w:rPr>
      </w:pPr>
      <w:bookmarkStart w:id="42" w:name="_Toc63246009"/>
      <w:r>
        <w:rPr>
          <w:rFonts w:hint="eastAsia" w:ascii="仿宋" w:hAnsi="仿宋" w:eastAsia="仿宋" w:cs="仿宋"/>
          <w:b/>
          <w:bCs/>
          <w:sz w:val="32"/>
          <w:szCs w:val="32"/>
        </w:rPr>
        <w:t>定位目标</w:t>
      </w:r>
      <w:bookmarkEnd w:id="42"/>
    </w:p>
    <w:p>
      <w:pPr>
        <w:pStyle w:val="16"/>
        <w:numPr>
          <w:ilvl w:val="0"/>
          <w:numId w:val="23"/>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远景总体定位目标</w:t>
      </w:r>
    </w:p>
    <w:p>
      <w:pPr>
        <w:pStyle w:val="16"/>
        <w:numPr>
          <w:ilvl w:val="0"/>
          <w:numId w:val="24"/>
        </w:numPr>
        <w:shd w:val="clear" w:color="auto" w:fill="FFFFFF"/>
        <w:spacing w:before="0" w:beforeAutospacing="0" w:after="0" w:afterAutospacing="0" w:line="560" w:lineRule="exact"/>
        <w:ind w:firstLine="1084" w:firstLineChars="300"/>
        <w:rPr>
          <w:rStyle w:val="20"/>
          <w:rFonts w:ascii="仿宋" w:hAnsi="仿宋" w:eastAsia="仿宋" w:cs="仿宋"/>
          <w:b w:val="0"/>
          <w:sz w:val="36"/>
          <w:szCs w:val="36"/>
        </w:rPr>
      </w:pPr>
      <w:r>
        <w:rPr>
          <w:rStyle w:val="20"/>
          <w:rFonts w:hint="eastAsia" w:ascii="仿宋" w:hAnsi="仿宋" w:eastAsia="仿宋" w:cs="仿宋"/>
          <w:bCs w:val="0"/>
          <w:sz w:val="36"/>
          <w:szCs w:val="36"/>
        </w:rPr>
        <w:t>定位：温情城市、智管城市、公园城市</w:t>
      </w:r>
    </w:p>
    <w:p>
      <w:pPr>
        <w:pStyle w:val="16"/>
        <w:shd w:val="clear" w:color="auto" w:fill="FFFFFF"/>
        <w:spacing w:before="0" w:beforeAutospacing="0" w:after="0" w:afterAutospacing="0" w:line="560" w:lineRule="exact"/>
        <w:rPr>
          <w:rStyle w:val="20"/>
          <w:rFonts w:ascii="仿宋" w:hAnsi="仿宋" w:eastAsia="仿宋" w:cs="仿宋"/>
          <w:bCs w:val="0"/>
          <w:sz w:val="32"/>
          <w:szCs w:val="32"/>
        </w:rPr>
      </w:pPr>
    </w:p>
    <w:tbl>
      <w:tblPr>
        <w:tblStyle w:val="18"/>
        <w:tblW w:w="8046"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04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046" w:type="dxa"/>
          </w:tcPr>
          <w:p>
            <w:pPr>
              <w:spacing w:line="360" w:lineRule="auto"/>
              <w:jc w:val="center"/>
              <w:rPr>
                <w:rStyle w:val="20"/>
                <w:rFonts w:ascii="Times New Roman" w:hAnsi="Times New Roman" w:eastAsia="宋体" w:cs="Times New Roman"/>
                <w:b w:val="0"/>
                <w:kern w:val="0"/>
                <w:sz w:val="24"/>
                <w:szCs w:val="24"/>
              </w:rPr>
            </w:pPr>
            <w:r>
              <w:rPr>
                <w:rStyle w:val="20"/>
                <w:rFonts w:hint="eastAsia" w:ascii="Times New Roman" w:hAnsi="Times New Roman" w:eastAsia="宋体" w:cs="Times New Roman"/>
                <w:bCs w:val="0"/>
                <w:kern w:val="0"/>
                <w:sz w:val="24"/>
                <w:szCs w:val="24"/>
              </w:rPr>
              <w:t>定位推导</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046" w:type="dxa"/>
          </w:tcPr>
          <w:p>
            <w:pPr>
              <w:spacing w:line="360" w:lineRule="auto"/>
              <w:rPr>
                <w:rStyle w:val="20"/>
                <w:rFonts w:ascii="黑体" w:hAnsi="黑体" w:eastAsia="黑体" w:cs="黑体"/>
                <w:sz w:val="24"/>
                <w:szCs w:val="24"/>
              </w:rPr>
            </w:pPr>
            <w:r>
              <w:rPr>
                <w:rStyle w:val="20"/>
                <w:rFonts w:hint="eastAsia" w:ascii="黑体" w:hAnsi="黑体" w:eastAsia="黑体" w:cs="黑体"/>
                <w:sz w:val="24"/>
                <w:szCs w:val="24"/>
              </w:rPr>
              <w:t>一、温情城市——体现政策要求</w:t>
            </w:r>
          </w:p>
          <w:p>
            <w:pPr>
              <w:spacing w:line="360" w:lineRule="auto"/>
              <w:rPr>
                <w:rStyle w:val="20"/>
                <w:rFonts w:ascii="黑体" w:hAnsi="黑体" w:eastAsia="黑体" w:cs="黑体"/>
                <w:b w:val="0"/>
                <w:bCs w:val="0"/>
                <w:szCs w:val="21"/>
              </w:rPr>
            </w:pPr>
            <w:r>
              <w:rPr>
                <w:rStyle w:val="20"/>
                <w:rFonts w:hint="eastAsia" w:ascii="黑体" w:hAnsi="黑体" w:eastAsia="黑体" w:cs="黑体"/>
                <w:b w:val="0"/>
                <w:bCs w:val="0"/>
                <w:szCs w:val="21"/>
              </w:rPr>
              <w:t>1、以人民为中心，精细化管理让城市有温度（十九大基本方略之一）</w:t>
            </w:r>
          </w:p>
          <w:p>
            <w:pPr>
              <w:spacing w:line="360" w:lineRule="auto"/>
              <w:ind w:firstLine="420"/>
              <w:rPr>
                <w:rStyle w:val="20"/>
                <w:rFonts w:ascii="黑体" w:hAnsi="黑体" w:eastAsia="黑体" w:cs="黑体"/>
                <w:b w:val="0"/>
                <w:bCs w:val="0"/>
                <w:szCs w:val="21"/>
              </w:rPr>
            </w:pPr>
            <w:r>
              <w:rPr>
                <w:rStyle w:val="20"/>
                <w:rFonts w:hint="eastAsia" w:ascii="黑体" w:hAnsi="黑体" w:eastAsia="黑体" w:cs="黑体"/>
                <w:b w:val="0"/>
                <w:bCs w:val="0"/>
                <w:szCs w:val="21"/>
              </w:rPr>
              <w:t>坚持以人为本，意味着未来的城市管理，将更关注细节，更注重人的感受，在城市管理的细节上下功夫、有温度、见情怀，做好城市管理，要着眼国家治理体系和治理能力现代化，着眼高质量发展的新要求，着眼人民群众对美好生活的向往，这是做好城市管理工作的出发点和落脚点。</w:t>
            </w:r>
          </w:p>
          <w:p>
            <w:pPr>
              <w:spacing w:line="360" w:lineRule="auto"/>
              <w:rPr>
                <w:rStyle w:val="20"/>
                <w:rFonts w:ascii="黑体" w:hAnsi="黑体" w:eastAsia="黑体" w:cs="黑体"/>
                <w:b w:val="0"/>
                <w:bCs w:val="0"/>
                <w:szCs w:val="21"/>
              </w:rPr>
            </w:pPr>
            <w:r>
              <w:rPr>
                <w:rStyle w:val="20"/>
                <w:rFonts w:hint="eastAsia" w:ascii="黑体" w:hAnsi="黑体" w:eastAsia="黑体" w:cs="黑体"/>
                <w:b w:val="0"/>
                <w:bCs w:val="0"/>
                <w:szCs w:val="21"/>
              </w:rPr>
              <w:t>2、体现了省、市政府的要求和市民的向往</w:t>
            </w:r>
          </w:p>
          <w:p>
            <w:pPr>
              <w:spacing w:line="360" w:lineRule="auto"/>
              <w:ind w:firstLine="420"/>
              <w:rPr>
                <w:rStyle w:val="20"/>
                <w:rFonts w:ascii="黑体" w:hAnsi="黑体" w:eastAsia="黑体" w:cs="黑体"/>
                <w:b w:val="0"/>
                <w:bCs w:val="0"/>
                <w:szCs w:val="21"/>
              </w:rPr>
            </w:pPr>
            <w:r>
              <w:rPr>
                <w:rStyle w:val="20"/>
                <w:rFonts w:hint="eastAsia" w:ascii="黑体" w:hAnsi="黑体" w:eastAsia="黑体" w:cs="黑体"/>
                <w:b w:val="0"/>
                <w:bCs w:val="0"/>
                <w:szCs w:val="21"/>
              </w:rPr>
              <w:t>根据彰显省会担当 唱响“南昌品牌”城市建管十大提升行动实施方案，明确提出，以建设“山水名城、生态都市”为目标，把南昌打造成为可阅读、有温度、宜居宜业的国际化、现代化的山水花园都市。</w:t>
            </w:r>
          </w:p>
          <w:p>
            <w:pPr>
              <w:spacing w:line="360" w:lineRule="auto"/>
              <w:rPr>
                <w:rStyle w:val="20"/>
                <w:rFonts w:ascii="黑体" w:hAnsi="黑体" w:eastAsia="黑体" w:cs="黑体"/>
                <w:b w:val="0"/>
                <w:bCs w:val="0"/>
                <w:szCs w:val="21"/>
              </w:rPr>
            </w:pPr>
            <w:r>
              <w:rPr>
                <w:rStyle w:val="20"/>
                <w:rFonts w:hint="eastAsia" w:ascii="黑体" w:hAnsi="黑体" w:eastAsia="黑体" w:cs="黑体"/>
                <w:b w:val="0"/>
                <w:bCs w:val="0"/>
                <w:szCs w:val="21"/>
              </w:rPr>
              <w:t>3、符合当前实际，五年内可以达到</w:t>
            </w:r>
          </w:p>
          <w:p>
            <w:pPr>
              <w:spacing w:line="360" w:lineRule="auto"/>
              <w:ind w:firstLine="420" w:firstLineChars="200"/>
              <w:rPr>
                <w:rStyle w:val="20"/>
                <w:rFonts w:ascii="黑体" w:hAnsi="黑体" w:eastAsia="黑体" w:cs="黑体"/>
                <w:b w:val="0"/>
                <w:bCs w:val="0"/>
                <w:szCs w:val="21"/>
              </w:rPr>
            </w:pPr>
            <w:r>
              <w:rPr>
                <w:rStyle w:val="20"/>
                <w:rFonts w:hint="eastAsia" w:ascii="黑体" w:hAnsi="黑体" w:eastAsia="黑体" w:cs="黑体"/>
                <w:b w:val="0"/>
                <w:bCs w:val="0"/>
                <w:szCs w:val="21"/>
              </w:rPr>
              <w:t>当前大力推进的城市功能和品质提升，通过旧城改造、老旧小区改造等补短板弱项，努力提升市民群众的获得感和满意度，使城市更有温情。</w:t>
            </w:r>
          </w:p>
          <w:p>
            <w:pPr>
              <w:spacing w:line="360" w:lineRule="auto"/>
              <w:rPr>
                <w:rStyle w:val="20"/>
                <w:rFonts w:ascii="黑体" w:hAnsi="黑体" w:eastAsia="黑体" w:cs="黑体"/>
                <w:sz w:val="24"/>
                <w:szCs w:val="24"/>
              </w:rPr>
            </w:pPr>
            <w:r>
              <w:rPr>
                <w:rStyle w:val="20"/>
                <w:rFonts w:hint="eastAsia" w:ascii="黑体" w:hAnsi="黑体" w:eastAsia="黑体" w:cs="黑体"/>
                <w:sz w:val="24"/>
                <w:szCs w:val="24"/>
              </w:rPr>
              <w:t>二、智管城市——顺应管理趋势</w:t>
            </w:r>
          </w:p>
          <w:p>
            <w:pPr>
              <w:spacing w:line="360" w:lineRule="auto"/>
              <w:rPr>
                <w:rStyle w:val="20"/>
                <w:rFonts w:ascii="黑体" w:hAnsi="黑体" w:eastAsia="黑体" w:cs="黑体"/>
                <w:b w:val="0"/>
                <w:bCs w:val="0"/>
                <w:szCs w:val="21"/>
              </w:rPr>
            </w:pPr>
            <w:r>
              <w:rPr>
                <w:rStyle w:val="20"/>
                <w:rFonts w:hint="eastAsia" w:ascii="黑体" w:hAnsi="黑体" w:eastAsia="黑体" w:cs="黑体"/>
                <w:b w:val="0"/>
                <w:bCs w:val="0"/>
                <w:szCs w:val="21"/>
              </w:rPr>
              <w:t>1、顺应城市管理技术手段发展趋势</w:t>
            </w:r>
          </w:p>
          <w:p>
            <w:pPr>
              <w:spacing w:line="360" w:lineRule="auto"/>
              <w:ind w:firstLine="420" w:firstLineChars="200"/>
              <w:rPr>
                <w:rStyle w:val="20"/>
                <w:rFonts w:ascii="黑体" w:hAnsi="黑体" w:eastAsia="黑体" w:cs="黑体"/>
                <w:b w:val="0"/>
                <w:bCs w:val="0"/>
                <w:szCs w:val="21"/>
              </w:rPr>
            </w:pPr>
            <w:r>
              <w:rPr>
                <w:rStyle w:val="20"/>
                <w:rFonts w:hint="eastAsia" w:ascii="黑体" w:hAnsi="黑体" w:eastAsia="黑体" w:cs="黑体"/>
                <w:b w:val="0"/>
                <w:bCs w:val="0"/>
                <w:szCs w:val="21"/>
              </w:rPr>
              <w:t>全国许多城市都提出了智慧城市的概念，并在此基础上提出了“大城智管”或“智慧城管”的计划，南昌应该顺势而为。</w:t>
            </w:r>
          </w:p>
          <w:p>
            <w:pPr>
              <w:spacing w:line="360" w:lineRule="auto"/>
              <w:rPr>
                <w:rStyle w:val="20"/>
                <w:rFonts w:ascii="黑体" w:hAnsi="黑体" w:eastAsia="黑体" w:cs="黑体"/>
                <w:b w:val="0"/>
                <w:bCs w:val="0"/>
                <w:szCs w:val="21"/>
              </w:rPr>
            </w:pPr>
            <w:r>
              <w:rPr>
                <w:rStyle w:val="20"/>
                <w:rFonts w:hint="eastAsia" w:ascii="黑体" w:hAnsi="黑体" w:eastAsia="黑体" w:cs="黑体"/>
                <w:b w:val="0"/>
                <w:bCs w:val="0"/>
                <w:szCs w:val="21"/>
              </w:rPr>
              <w:t>2、当前已经具备很好的基础</w:t>
            </w:r>
          </w:p>
          <w:p>
            <w:pPr>
              <w:spacing w:line="360" w:lineRule="auto"/>
              <w:ind w:firstLine="420" w:firstLineChars="200"/>
              <w:rPr>
                <w:rStyle w:val="20"/>
                <w:rFonts w:ascii="黑体" w:hAnsi="黑体" w:eastAsia="黑体" w:cs="黑体"/>
                <w:b w:val="0"/>
                <w:bCs w:val="0"/>
                <w:szCs w:val="21"/>
              </w:rPr>
            </w:pPr>
            <w:r>
              <w:rPr>
                <w:rStyle w:val="20"/>
                <w:rFonts w:hint="eastAsia" w:ascii="黑体" w:hAnsi="黑体" w:eastAsia="黑体" w:cs="黑体"/>
                <w:b w:val="0"/>
                <w:bCs w:val="0"/>
                <w:szCs w:val="21"/>
              </w:rPr>
              <w:t>在数字城管基础上，按照实施方案建设“1+1+10”智慧城管平台，依托县区数据实现智慧城管目标。</w:t>
            </w:r>
          </w:p>
          <w:p>
            <w:pPr>
              <w:spacing w:line="360" w:lineRule="auto"/>
              <w:rPr>
                <w:rStyle w:val="20"/>
                <w:rFonts w:ascii="黑体" w:hAnsi="黑体" w:eastAsia="黑体" w:cs="黑体"/>
                <w:b w:val="0"/>
                <w:bCs w:val="0"/>
                <w:szCs w:val="21"/>
              </w:rPr>
            </w:pPr>
            <w:r>
              <w:rPr>
                <w:rStyle w:val="20"/>
                <w:rFonts w:hint="eastAsia" w:ascii="黑体" w:hAnsi="黑体" w:eastAsia="黑体" w:cs="黑体"/>
                <w:b w:val="0"/>
                <w:bCs w:val="0"/>
                <w:szCs w:val="21"/>
              </w:rPr>
              <w:t>3、与国土空间规划同步构建</w:t>
            </w:r>
          </w:p>
          <w:p>
            <w:pPr>
              <w:spacing w:line="360" w:lineRule="auto"/>
              <w:ind w:firstLine="420" w:firstLineChars="200"/>
              <w:rPr>
                <w:rStyle w:val="20"/>
                <w:rFonts w:ascii="黑体" w:hAnsi="黑体" w:eastAsia="黑体" w:cs="黑体"/>
                <w:b w:val="0"/>
                <w:bCs w:val="0"/>
                <w:szCs w:val="21"/>
              </w:rPr>
            </w:pPr>
            <w:r>
              <w:rPr>
                <w:rStyle w:val="20"/>
                <w:rFonts w:hint="eastAsia" w:ascii="黑体" w:hAnsi="黑体" w:eastAsia="黑体" w:cs="黑体"/>
                <w:b w:val="0"/>
                <w:bCs w:val="0"/>
                <w:szCs w:val="21"/>
              </w:rPr>
              <w:t>国土空间规划构建一张图实施监督体系。开展规划动态检测评估预警，加强实施监管。城市管理应同步构建实现可感知、能学习、善治理、自适应的智慧规划。</w:t>
            </w:r>
          </w:p>
          <w:p>
            <w:pPr>
              <w:spacing w:line="360" w:lineRule="auto"/>
              <w:rPr>
                <w:rStyle w:val="20"/>
                <w:rFonts w:ascii="黑体" w:hAnsi="黑体" w:eastAsia="黑体" w:cs="黑体"/>
                <w:sz w:val="24"/>
                <w:szCs w:val="24"/>
              </w:rPr>
            </w:pPr>
            <w:r>
              <w:rPr>
                <w:rStyle w:val="20"/>
                <w:rFonts w:hint="eastAsia" w:ascii="黑体" w:hAnsi="黑体" w:eastAsia="黑体" w:cs="黑体"/>
                <w:sz w:val="24"/>
                <w:szCs w:val="24"/>
              </w:rPr>
              <w:t>三、公园城市——尊重资源禀赋</w:t>
            </w:r>
          </w:p>
          <w:p>
            <w:pPr>
              <w:spacing w:line="360" w:lineRule="auto"/>
              <w:rPr>
                <w:rStyle w:val="20"/>
                <w:rFonts w:ascii="黑体" w:hAnsi="黑体" w:eastAsia="黑体" w:cs="黑体"/>
                <w:b w:val="0"/>
                <w:bCs w:val="0"/>
                <w:szCs w:val="21"/>
              </w:rPr>
            </w:pPr>
            <w:r>
              <w:rPr>
                <w:rStyle w:val="20"/>
                <w:rFonts w:hint="eastAsia" w:ascii="黑体" w:hAnsi="黑体" w:eastAsia="黑体" w:cs="黑体"/>
                <w:b w:val="0"/>
                <w:bCs w:val="0"/>
                <w:szCs w:val="21"/>
              </w:rPr>
              <w:t>1、从资源禀赋入手、绿色南昌为统领，凸显南昌秀美山水环境打造山水都城、现代新城</w:t>
            </w:r>
          </w:p>
          <w:p>
            <w:pPr>
              <w:spacing w:line="360" w:lineRule="auto"/>
              <w:rPr>
                <w:rStyle w:val="20"/>
                <w:rFonts w:ascii="黑体" w:hAnsi="黑体" w:eastAsia="黑体" w:cs="黑体"/>
                <w:b w:val="0"/>
                <w:bCs w:val="0"/>
                <w:szCs w:val="21"/>
              </w:rPr>
            </w:pPr>
            <w:r>
              <w:drawing>
                <wp:anchor distT="0" distB="0" distL="114300" distR="114300" simplePos="0" relativeHeight="251659264" behindDoc="0" locked="0" layoutInCell="1" allowOverlap="1">
                  <wp:simplePos x="0" y="0"/>
                  <wp:positionH relativeFrom="column">
                    <wp:posOffset>222250</wp:posOffset>
                  </wp:positionH>
                  <wp:positionV relativeFrom="paragraph">
                    <wp:posOffset>13335</wp:posOffset>
                  </wp:positionV>
                  <wp:extent cx="4727575" cy="946150"/>
                  <wp:effectExtent l="0" t="0" r="15875" b="6350"/>
                  <wp:wrapTopAndBottom/>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pic:cNvPicPr>
                            <a:picLocks noChangeAspect="1" noChangeArrowheads="1"/>
                          </pic:cNvPicPr>
                        </pic:nvPicPr>
                        <pic:blipFill>
                          <a:blip r:embed="rId14" cstate="print"/>
                          <a:srcRect/>
                          <a:stretch>
                            <a:fillRect/>
                          </a:stretch>
                        </pic:blipFill>
                        <pic:spPr>
                          <a:xfrm>
                            <a:off x="0" y="0"/>
                            <a:ext cx="4727575" cy="946150"/>
                          </a:xfrm>
                          <a:prstGeom prst="rect">
                            <a:avLst/>
                          </a:prstGeom>
                          <a:noFill/>
                          <a:ln w="9525">
                            <a:noFill/>
                            <a:miter lim="800000"/>
                            <a:headEnd/>
                            <a:tailEnd/>
                          </a:ln>
                          <a:effectLst/>
                        </pic:spPr>
                      </pic:pic>
                    </a:graphicData>
                  </a:graphic>
                </wp:anchor>
              </w:drawing>
            </w:r>
            <w:r>
              <w:rPr>
                <w:rStyle w:val="20"/>
                <w:rFonts w:hint="eastAsia" w:ascii="黑体" w:hAnsi="黑体" w:eastAsia="黑体" w:cs="黑体"/>
                <w:b w:val="0"/>
                <w:bCs w:val="0"/>
                <w:szCs w:val="21"/>
              </w:rPr>
              <w:t>2、从城市形象和品牌塑造入手</w:t>
            </w:r>
          </w:p>
          <w:p>
            <w:pPr>
              <w:numPr>
                <w:ilvl w:val="0"/>
                <w:numId w:val="25"/>
              </w:numPr>
              <w:spacing w:line="360" w:lineRule="auto"/>
              <w:rPr>
                <w:rStyle w:val="20"/>
                <w:rFonts w:ascii="黑体" w:hAnsi="黑体" w:eastAsia="黑体" w:cs="黑体"/>
                <w:b w:val="0"/>
                <w:bCs w:val="0"/>
                <w:szCs w:val="21"/>
              </w:rPr>
            </w:pPr>
            <w:r>
              <w:rPr>
                <w:rStyle w:val="20"/>
                <w:rFonts w:hint="eastAsia" w:ascii="黑体" w:hAnsi="黑体" w:eastAsia="黑体" w:cs="黑体"/>
                <w:b w:val="0"/>
                <w:bCs w:val="0"/>
                <w:szCs w:val="21"/>
              </w:rPr>
              <w:t>凸显三色南昌中的绿色南昌。红色南昌—雄厚的红色文化，古色南昌—国家历史文化名城，绿色南昌—秀美的山水环境。</w:t>
            </w:r>
          </w:p>
          <w:p>
            <w:pPr>
              <w:spacing w:line="360" w:lineRule="auto"/>
              <w:rPr>
                <w:rStyle w:val="20"/>
                <w:rFonts w:ascii="黑体" w:hAnsi="黑体" w:eastAsia="黑体" w:cs="黑体"/>
                <w:b w:val="0"/>
                <w:bCs w:val="0"/>
                <w:szCs w:val="21"/>
              </w:rPr>
            </w:pPr>
            <w:r>
              <w:rPr>
                <w:rStyle w:val="20"/>
                <w:rFonts w:hint="eastAsia" w:ascii="黑体" w:hAnsi="黑体" w:eastAsia="黑体" w:cs="黑体"/>
                <w:b w:val="0"/>
                <w:bCs w:val="0"/>
                <w:szCs w:val="21"/>
              </w:rPr>
              <w:t>（2）落实上位规划要求。揽山入城战略：揽山临湖的山水都市；南昌大都区规划：塑造“东湖西山，半环城市半环湖”的城市空间景观特色。构建南昌山水都市的整体生态格局。</w:t>
            </w:r>
          </w:p>
        </w:tc>
      </w:tr>
    </w:tbl>
    <w:p>
      <w:pPr>
        <w:pStyle w:val="16"/>
        <w:numPr>
          <w:ilvl w:val="0"/>
          <w:numId w:val="24"/>
        </w:numPr>
        <w:shd w:val="clear" w:color="auto" w:fill="FFFFFF"/>
        <w:spacing w:before="0" w:beforeAutospacing="0" w:after="0" w:afterAutospacing="0" w:line="560" w:lineRule="exact"/>
        <w:ind w:firstLine="963" w:firstLineChars="300"/>
        <w:rPr>
          <w:rStyle w:val="20"/>
          <w:rFonts w:ascii="仿宋" w:hAnsi="仿宋" w:eastAsia="仿宋" w:cs="仿宋"/>
          <w:bCs w:val="0"/>
          <w:sz w:val="32"/>
          <w:szCs w:val="32"/>
        </w:rPr>
      </w:pPr>
      <w:r>
        <w:rPr>
          <w:rStyle w:val="20"/>
          <w:rFonts w:hint="eastAsia" w:ascii="仿宋" w:hAnsi="仿宋" w:eastAsia="仿宋" w:cs="仿宋"/>
          <w:bCs w:val="0"/>
          <w:sz w:val="32"/>
          <w:szCs w:val="32"/>
        </w:rPr>
        <w:t>定位解析</w:t>
      </w:r>
    </w:p>
    <w:p>
      <w:pPr>
        <w:spacing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1、温情城市</w:t>
      </w:r>
    </w:p>
    <w:p>
      <w:pPr>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（1）以人民为中心。</w:t>
      </w:r>
    </w:p>
    <w:p>
      <w:pPr>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（2）以群众所需为出发点，即以满足人民群众对美好生活需求作为城市管理的出发点和落脚点。</w:t>
      </w:r>
    </w:p>
    <w:p>
      <w:pPr>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（3）注重管理细节，对标国内一流城市，在城市管理的细节上下功夫、有温度、见情怀，实现居住环境、生态环境、发展环境的全面提升。</w:t>
      </w:r>
    </w:p>
    <w:p>
      <w:pPr>
        <w:spacing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2、智管城市</w:t>
      </w:r>
    </w:p>
    <w:p>
      <w:pPr>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（1）智慧城市的重要组成部分，推进“城市大脑”建设，实现数据信息共享和深度应用。推进城市治理制度创新、模式创新。</w:t>
      </w:r>
    </w:p>
    <w:p>
      <w:pPr>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2）智慧管理城市，构建市级“一个中心、一个平台、十大系统”智慧城管平台，各县区同步开展与市级联动的智慧城管建设，完善智慧城管大数据分析平台，建成一个涵盖两级平台（市、县区），覆盖四个层级（市、县区、街道、社区），城市管理全要素数据充分整合，公共数据资源互联互通、开放共享的智慧城管监管体系。</w:t>
      </w:r>
    </w:p>
    <w:p>
      <w:pPr>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（3）管理装备智能化程度高。</w:t>
      </w:r>
    </w:p>
    <w:p>
      <w:pPr>
        <w:spacing w:line="560" w:lineRule="exact"/>
        <w:ind w:firstLine="642" w:firstLineChars="200"/>
        <w:rPr>
          <w:rStyle w:val="20"/>
          <w:rFonts w:ascii="仿宋" w:hAnsi="仿宋" w:eastAsia="仿宋" w:cs="仿宋"/>
          <w:bCs w:val="0"/>
          <w:sz w:val="32"/>
          <w:szCs w:val="32"/>
        </w:rPr>
      </w:pPr>
      <w:r>
        <w:rPr>
          <w:rStyle w:val="20"/>
          <w:rFonts w:hint="eastAsia" w:ascii="仿宋" w:hAnsi="仿宋" w:eastAsia="仿宋" w:cs="仿宋"/>
          <w:bCs w:val="0"/>
          <w:sz w:val="32"/>
          <w:szCs w:val="32"/>
        </w:rPr>
        <w:t>3、公园城市</w:t>
      </w:r>
    </w:p>
    <w:p>
      <w:pPr>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（1）打造园城共融，公园化的城乡格局</w:t>
      </w:r>
    </w:p>
    <w:p>
      <w:pPr>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 xml:space="preserve"> 公园城市是全面体现以生态文明引领城市发展，构筑山水林田湖城生命共同体的最新理念。公园城市是人与城市、环境、产业高度和谐统一的大美城市。</w:t>
      </w:r>
    </w:p>
    <w:p>
      <w:pPr>
        <w:numPr>
          <w:ilvl w:val="0"/>
          <w:numId w:val="26"/>
        </w:numPr>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sz w:val="32"/>
          <w:szCs w:val="32"/>
        </w:rPr>
        <w:t>普惠绿色、网络联通</w:t>
      </w:r>
    </w:p>
    <w:p>
      <w:pPr>
        <w:spacing w:line="560" w:lineRule="exact"/>
        <w:ind w:firstLine="640" w:firstLineChars="200"/>
        <w:rPr>
          <w:rStyle w:val="20"/>
          <w:rFonts w:ascii="仿宋" w:hAnsi="仿宋" w:eastAsia="仿宋" w:cs="仿宋"/>
          <w:b w:val="0"/>
          <w:sz w:val="32"/>
          <w:szCs w:val="32"/>
        </w:rPr>
      </w:pPr>
      <w:r>
        <w:rPr>
          <w:rStyle w:val="20"/>
          <w:rFonts w:hint="eastAsia" w:ascii="仿宋" w:hAnsi="仿宋" w:eastAsia="仿宋" w:cs="仿宋"/>
          <w:b w:val="0"/>
          <w:kern w:val="0"/>
          <w:sz w:val="32"/>
          <w:szCs w:val="32"/>
        </w:rPr>
        <w:t>按照“300米见绿，500米见园”的思路，健全普惠型绿地，</w:t>
      </w:r>
      <w:r>
        <w:rPr>
          <w:rStyle w:val="20"/>
          <w:rFonts w:hint="eastAsia" w:ascii="仿宋" w:hAnsi="仿宋" w:eastAsia="仿宋" w:cs="仿宋"/>
          <w:b w:val="0"/>
          <w:sz w:val="32"/>
          <w:szCs w:val="32"/>
        </w:rPr>
        <w:t>增加连通类、社区绿地服务类指标,</w:t>
      </w:r>
      <w:r>
        <w:rPr>
          <w:rStyle w:val="20"/>
          <w:rFonts w:hint="eastAsia" w:ascii="仿宋" w:hAnsi="仿宋" w:eastAsia="仿宋" w:cs="仿宋"/>
          <w:b w:val="0"/>
          <w:kern w:val="0"/>
          <w:sz w:val="32"/>
          <w:szCs w:val="32"/>
        </w:rPr>
        <w:t>并通过绿道系统进行联通，逐步形成网络化的格局</w:t>
      </w:r>
      <w:r>
        <w:rPr>
          <w:rStyle w:val="20"/>
          <w:rFonts w:hint="eastAsia" w:ascii="仿宋" w:hAnsi="仿宋" w:eastAsia="仿宋" w:cs="仿宋"/>
          <w:b w:val="0"/>
          <w:sz w:val="32"/>
          <w:szCs w:val="32"/>
        </w:rPr>
        <w:t>。在园林城市指标的基础上进一步提升，</w:t>
      </w:r>
      <w:r>
        <w:rPr>
          <w:rStyle w:val="20"/>
          <w:rFonts w:hint="eastAsia" w:ascii="仿宋" w:hAnsi="仿宋" w:eastAsia="仿宋" w:cs="仿宋"/>
          <w:b w:val="0"/>
          <w:kern w:val="0"/>
          <w:sz w:val="32"/>
          <w:szCs w:val="32"/>
        </w:rPr>
        <w:t>创建国家生态园林城市</w:t>
      </w:r>
      <w:r>
        <w:rPr>
          <w:rStyle w:val="20"/>
          <w:rFonts w:hint="eastAsia" w:ascii="仿宋" w:hAnsi="仿宋" w:eastAsia="仿宋" w:cs="仿宋"/>
          <w:b w:val="0"/>
          <w:sz w:val="32"/>
          <w:szCs w:val="32"/>
        </w:rPr>
        <w:t>。</w:t>
      </w:r>
    </w:p>
    <w:p>
      <w:pPr>
        <w:pStyle w:val="16"/>
        <w:numPr>
          <w:ilvl w:val="0"/>
          <w:numId w:val="23"/>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近期定位目标</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推进城市“高水平治理、高质量发展、高品质生活”建设，提升市民群众的获得感和满意度，使城市更加有序安全干净、更加宜居宜业宜游、更加方便舒心美好，实现南昌城市治理达到全国一流水平，温情城市全面建成、智管城市全面运行、公园城市初现雏形。</w:t>
      </w:r>
    </w:p>
    <w:p>
      <w:pPr>
        <w:rPr>
          <w:rStyle w:val="20"/>
          <w:rFonts w:ascii="仿宋" w:hAnsi="仿宋" w:eastAsia="仿宋" w:cs="仿宋"/>
          <w:b w:val="0"/>
          <w:kern w:val="0"/>
          <w:sz w:val="32"/>
          <w:szCs w:val="32"/>
        </w:rPr>
      </w:pPr>
      <w:r>
        <w:rPr>
          <w:rFonts w:ascii="仿宋" w:hAnsi="仿宋" w:eastAsia="仿宋" w:cs="仿宋"/>
          <w:bCs/>
          <w:kern w:val="0"/>
          <w:sz w:val="32"/>
          <w:szCs w:val="32"/>
        </w:rPr>
        <w:drawing>
          <wp:inline distT="0" distB="0" distL="0" distR="0">
            <wp:extent cx="5500370" cy="3443605"/>
            <wp:effectExtent l="19050" t="0" r="5014" b="0"/>
            <wp:docPr id="10" name="图片 1" descr="C:\Users\Administrator\Desktop\南昌市城市管理发展规划-成果汇报20年3月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descr="C:\Users\Administrator\Desktop\南昌市城市管理发展规划-成果汇报20年3月31.jpg"/>
                    <pic:cNvPicPr>
                      <a:picLocks noChangeAspect="1" noChangeArrowheads="1"/>
                    </pic:cNvPicPr>
                  </pic:nvPicPr>
                  <pic:blipFill>
                    <a:blip r:embed="rId15" cstate="print"/>
                    <a:srcRect t="11585"/>
                    <a:stretch>
                      <a:fillRect/>
                    </a:stretch>
                  </pic:blipFill>
                  <pic:spPr>
                    <a:xfrm>
                      <a:off x="0" y="0"/>
                      <a:ext cx="5500436" cy="3443844"/>
                    </a:xfrm>
                    <a:prstGeom prst="rect">
                      <a:avLst/>
                    </a:prstGeom>
                    <a:noFill/>
                    <a:ln w="9525">
                      <a:noFill/>
                      <a:miter lim="800000"/>
                      <a:headEnd/>
                      <a:tailEnd/>
                    </a:ln>
                  </pic:spPr>
                </pic:pic>
              </a:graphicData>
            </a:graphic>
          </wp:inline>
        </w:drawing>
      </w:r>
    </w:p>
    <w:p>
      <w:pPr>
        <w:jc w:val="center"/>
        <w:rPr>
          <w:rFonts w:ascii="仿宋" w:hAnsi="仿宋" w:eastAsia="仿宋" w:cs="仿宋"/>
          <w:sz w:val="32"/>
          <w:szCs w:val="32"/>
        </w:rPr>
      </w:pPr>
      <w:r>
        <w:rPr>
          <w:rFonts w:hint="eastAsia" w:ascii="仿宋" w:hAnsi="仿宋" w:eastAsia="仿宋" w:cs="仿宋"/>
          <w:sz w:val="32"/>
          <w:szCs w:val="32"/>
        </w:rPr>
        <w:t>实施城市管理规划目标时间分解图</w:t>
      </w:r>
    </w:p>
    <w:p>
      <w:pPr>
        <w:pStyle w:val="16"/>
        <w:numPr>
          <w:ilvl w:val="0"/>
          <w:numId w:val="23"/>
        </w:numPr>
        <w:shd w:val="clear" w:color="auto" w:fill="FFFFFF"/>
        <w:spacing w:before="20" w:beforeAutospacing="0" w:after="20" w:afterAutospacing="0" w:line="560" w:lineRule="exact"/>
        <w:ind w:left="0" w:firstLine="642" w:firstLineChars="200"/>
        <w:jc w:val="both"/>
        <w:rPr>
          <w:rStyle w:val="20"/>
          <w:rFonts w:ascii="仿宋" w:hAnsi="仿宋" w:eastAsia="仿宋" w:cs="仿宋"/>
          <w:bCs w:val="0"/>
          <w:sz w:val="32"/>
          <w:szCs w:val="32"/>
        </w:rPr>
      </w:pPr>
      <w:r>
        <w:rPr>
          <w:rStyle w:val="20"/>
          <w:rFonts w:hint="eastAsia" w:ascii="仿宋" w:hAnsi="仿宋" w:eastAsia="仿宋" w:cs="仿宋"/>
          <w:bCs w:val="0"/>
          <w:sz w:val="32"/>
          <w:szCs w:val="32"/>
        </w:rPr>
        <w:t>具体目标和指标</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w:t>
      </w:r>
      <w:r>
        <w:rPr>
          <w:rStyle w:val="20"/>
          <w:rFonts w:hint="eastAsia" w:ascii="仿宋" w:hAnsi="仿宋" w:eastAsia="仿宋" w:cs="仿宋"/>
          <w:bCs w:val="0"/>
          <w:kern w:val="0"/>
          <w:sz w:val="32"/>
          <w:szCs w:val="32"/>
        </w:rPr>
        <w:t>综合治理智慧便民。</w:t>
      </w:r>
      <w:r>
        <w:rPr>
          <w:rStyle w:val="20"/>
          <w:rFonts w:hint="eastAsia" w:ascii="仿宋" w:hAnsi="仿宋" w:eastAsia="仿宋" w:cs="仿宋"/>
          <w:b w:val="0"/>
          <w:kern w:val="0"/>
          <w:sz w:val="32"/>
          <w:szCs w:val="32"/>
        </w:rPr>
        <w:t>以城市综合治理为目标，规划为引领，智慧化平台建设、创新管理机制为手段，加大公众参与，形成高效便民的现代城市治理体系。</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——城市容貌清爽靓丽。</w:t>
      </w:r>
      <w:r>
        <w:rPr>
          <w:rStyle w:val="20"/>
          <w:rFonts w:hint="eastAsia" w:ascii="仿宋" w:hAnsi="仿宋" w:eastAsia="仿宋" w:cs="仿宋"/>
          <w:b w:val="0"/>
          <w:kern w:val="0"/>
          <w:sz w:val="32"/>
          <w:szCs w:val="32"/>
        </w:rPr>
        <w:t>持续提升城市面貌，重点加强市容短板地区的改善力度，深入开展城市文化特色塑造，打造一个既靓丽、又有文化的城市市容。</w:t>
      </w:r>
    </w:p>
    <w:p>
      <w:pPr>
        <w:spacing w:line="560" w:lineRule="exact"/>
        <w:ind w:firstLine="642" w:firstLineChars="200"/>
        <w:jc w:val="left"/>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——环境卫生干净整洁。</w:t>
      </w:r>
      <w:r>
        <w:rPr>
          <w:rStyle w:val="20"/>
          <w:rFonts w:hint="eastAsia" w:ascii="仿宋" w:hAnsi="仿宋" w:eastAsia="仿宋" w:cs="仿宋"/>
          <w:b w:val="0"/>
          <w:kern w:val="0"/>
          <w:sz w:val="32"/>
          <w:szCs w:val="32"/>
        </w:rPr>
        <w:t>提高环境卫生管理水平，重点完成城乡生活垃圾的分类、处理及资源化利用和水环境治理，提升环卫保洁水平，打造洁净、有序的城市环境。</w:t>
      </w:r>
    </w:p>
    <w:p>
      <w:pPr>
        <w:spacing w:line="360" w:lineRule="auto"/>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——公园城市初现雏形。</w:t>
      </w:r>
      <w:r>
        <w:rPr>
          <w:rStyle w:val="20"/>
          <w:rFonts w:hint="eastAsia" w:ascii="仿宋" w:hAnsi="仿宋" w:eastAsia="仿宋" w:cs="仿宋"/>
          <w:b w:val="0"/>
          <w:kern w:val="0"/>
          <w:sz w:val="32"/>
          <w:szCs w:val="32"/>
        </w:rPr>
        <w:t>加强城市绿地系统格局生态培育，并持续提升城市公园和绿化水平，以建设“山水名城、生态都市”为目标，重点建设城市公园、绿道网络、邮票绿地，把南昌建成全域式生态花园城市，公园城市特点初现雏形。</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——城市公用</w:t>
      </w:r>
      <w:r>
        <w:rPr>
          <w:rStyle w:val="20"/>
          <w:rFonts w:ascii="仿宋" w:hAnsi="仿宋" w:eastAsia="仿宋" w:cs="仿宋"/>
          <w:bCs w:val="0"/>
          <w:kern w:val="0"/>
          <w:sz w:val="32"/>
          <w:szCs w:val="32"/>
        </w:rPr>
        <w:t>保障有力</w:t>
      </w:r>
      <w:r>
        <w:rPr>
          <w:rStyle w:val="20"/>
          <w:rFonts w:hint="eastAsia" w:ascii="仿宋" w:hAnsi="仿宋" w:eastAsia="仿宋" w:cs="仿宋"/>
          <w:bCs w:val="0"/>
          <w:kern w:val="0"/>
          <w:sz w:val="32"/>
          <w:szCs w:val="32"/>
        </w:rPr>
        <w:t>。</w:t>
      </w:r>
      <w:r>
        <w:rPr>
          <w:rStyle w:val="20"/>
          <w:rFonts w:hint="eastAsia" w:ascii="仿宋" w:hAnsi="仿宋" w:eastAsia="仿宋" w:cs="仿宋"/>
          <w:b w:val="0"/>
          <w:kern w:val="0"/>
          <w:sz w:val="30"/>
          <w:szCs w:val="30"/>
        </w:rPr>
        <w:t>增强公用设施保障能力，让市民群众生活更加方便、舒适、安全。</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——城市水务绿色安全。</w:t>
      </w:r>
      <w:r>
        <w:rPr>
          <w:rStyle w:val="20"/>
          <w:rFonts w:hint="eastAsia" w:ascii="仿宋" w:hAnsi="仿宋" w:eastAsia="仿宋" w:cs="仿宋"/>
          <w:b w:val="0"/>
          <w:kern w:val="0"/>
          <w:sz w:val="32"/>
          <w:szCs w:val="32"/>
        </w:rPr>
        <w:t>提升</w:t>
      </w:r>
      <w:r>
        <w:rPr>
          <w:rStyle w:val="20"/>
          <w:rFonts w:ascii="仿宋" w:hAnsi="仿宋" w:eastAsia="仿宋" w:cs="仿宋"/>
          <w:b w:val="0"/>
          <w:kern w:val="0"/>
          <w:sz w:val="32"/>
          <w:szCs w:val="32"/>
        </w:rPr>
        <w:t>水务规划与管理能力</w:t>
      </w:r>
      <w:r>
        <w:rPr>
          <w:rStyle w:val="20"/>
          <w:rFonts w:hint="eastAsia" w:ascii="仿宋" w:hAnsi="仿宋" w:eastAsia="仿宋" w:cs="仿宋"/>
          <w:b w:val="0"/>
          <w:kern w:val="0"/>
          <w:sz w:val="32"/>
          <w:szCs w:val="32"/>
        </w:rPr>
        <w:t>、雨水疏导和污水收集处理能力、</w:t>
      </w:r>
      <w:r>
        <w:rPr>
          <w:rStyle w:val="20"/>
          <w:rFonts w:ascii="仿宋" w:hAnsi="仿宋" w:eastAsia="仿宋" w:cs="仿宋"/>
          <w:b w:val="0"/>
          <w:kern w:val="0"/>
          <w:sz w:val="32"/>
          <w:szCs w:val="32"/>
        </w:rPr>
        <w:t>水生态</w:t>
      </w:r>
      <w:r>
        <w:rPr>
          <w:rStyle w:val="20"/>
          <w:rFonts w:hint="eastAsia" w:ascii="仿宋" w:hAnsi="仿宋" w:eastAsia="仿宋" w:cs="仿宋"/>
          <w:b w:val="0"/>
          <w:kern w:val="0"/>
          <w:sz w:val="32"/>
          <w:szCs w:val="32"/>
        </w:rPr>
        <w:t>治理能力、内涝</w:t>
      </w:r>
      <w:r>
        <w:rPr>
          <w:rStyle w:val="20"/>
          <w:rFonts w:ascii="仿宋" w:hAnsi="仿宋" w:eastAsia="仿宋" w:cs="仿宋"/>
          <w:b w:val="0"/>
          <w:kern w:val="0"/>
          <w:sz w:val="32"/>
          <w:szCs w:val="32"/>
        </w:rPr>
        <w:t>减</w:t>
      </w:r>
      <w:r>
        <w:rPr>
          <w:rStyle w:val="20"/>
          <w:rFonts w:hint="eastAsia" w:ascii="仿宋" w:hAnsi="仿宋" w:eastAsia="仿宋" w:cs="仿宋"/>
          <w:b w:val="0"/>
          <w:kern w:val="0"/>
          <w:sz w:val="32"/>
          <w:szCs w:val="32"/>
        </w:rPr>
        <w:t>灾能力</w:t>
      </w:r>
      <w:r>
        <w:rPr>
          <w:rStyle w:val="20"/>
          <w:rFonts w:ascii="仿宋" w:hAnsi="仿宋" w:eastAsia="仿宋" w:cs="仿宋"/>
          <w:b w:val="0"/>
          <w:kern w:val="0"/>
          <w:sz w:val="32"/>
          <w:szCs w:val="32"/>
        </w:rPr>
        <w:t>，</w:t>
      </w:r>
      <w:r>
        <w:rPr>
          <w:rStyle w:val="20"/>
          <w:rFonts w:hint="eastAsia" w:ascii="仿宋" w:hAnsi="仿宋" w:eastAsia="仿宋" w:cs="仿宋"/>
          <w:b w:val="0"/>
          <w:kern w:val="0"/>
          <w:sz w:val="32"/>
          <w:szCs w:val="32"/>
        </w:rPr>
        <w:t>逐步实现</w:t>
      </w:r>
      <w:r>
        <w:rPr>
          <w:rStyle w:val="20"/>
          <w:rFonts w:ascii="仿宋" w:hAnsi="仿宋" w:eastAsia="仿宋" w:cs="仿宋"/>
          <w:b w:val="0"/>
          <w:kern w:val="0"/>
          <w:sz w:val="32"/>
          <w:szCs w:val="32"/>
        </w:rPr>
        <w:t>绿色安全</w:t>
      </w:r>
      <w:r>
        <w:rPr>
          <w:rStyle w:val="20"/>
          <w:rFonts w:hint="eastAsia" w:ascii="仿宋" w:hAnsi="仿宋" w:eastAsia="仿宋" w:cs="仿宋"/>
          <w:b w:val="0"/>
          <w:kern w:val="0"/>
          <w:sz w:val="32"/>
          <w:szCs w:val="32"/>
        </w:rPr>
        <w:t>城市</w:t>
      </w:r>
      <w:r>
        <w:rPr>
          <w:rStyle w:val="20"/>
          <w:rFonts w:ascii="仿宋" w:hAnsi="仿宋" w:eastAsia="仿宋" w:cs="仿宋"/>
          <w:b w:val="0"/>
          <w:kern w:val="0"/>
          <w:sz w:val="32"/>
          <w:szCs w:val="32"/>
        </w:rPr>
        <w:t>水务</w:t>
      </w:r>
      <w:r>
        <w:rPr>
          <w:rStyle w:val="20"/>
          <w:rFonts w:hint="eastAsia" w:ascii="仿宋" w:hAnsi="仿宋" w:eastAsia="仿宋" w:cs="仿宋"/>
          <w:b w:val="0"/>
          <w:kern w:val="0"/>
          <w:sz w:val="32"/>
          <w:szCs w:val="32"/>
        </w:rPr>
        <w:t>目标。</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——管养水平全面提升。</w:t>
      </w:r>
      <w:r>
        <w:rPr>
          <w:rStyle w:val="20"/>
          <w:rFonts w:hint="eastAsia" w:ascii="仿宋" w:hAnsi="仿宋" w:eastAsia="仿宋" w:cs="仿宋"/>
          <w:b w:val="0"/>
          <w:kern w:val="0"/>
          <w:sz w:val="32"/>
          <w:szCs w:val="32"/>
        </w:rPr>
        <w:t>完善道桥、隧道、城市家具、地下管网等各类市政设施，推动设施管养水平全面提升。</w:t>
      </w:r>
    </w:p>
    <w:p>
      <w:pPr>
        <w:spacing w:line="360" w:lineRule="auto"/>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w:t>
      </w:r>
      <w:r>
        <w:rPr>
          <w:rStyle w:val="20"/>
          <w:rFonts w:hint="eastAsia" w:ascii="仿宋" w:hAnsi="仿宋" w:eastAsia="仿宋" w:cs="仿宋"/>
          <w:bCs w:val="0"/>
          <w:kern w:val="0"/>
          <w:sz w:val="32"/>
          <w:szCs w:val="32"/>
        </w:rPr>
        <w:t>综合执法公正文明。</w:t>
      </w:r>
      <w:r>
        <w:rPr>
          <w:rStyle w:val="20"/>
          <w:rFonts w:hint="eastAsia" w:ascii="仿宋" w:hAnsi="仿宋" w:eastAsia="仿宋" w:cs="仿宋"/>
          <w:b w:val="0"/>
          <w:kern w:val="0"/>
          <w:sz w:val="32"/>
          <w:szCs w:val="32"/>
        </w:rPr>
        <w:t>进一步优化城市管理综合执法体制，理清城管执法边界，加强城市管理执法队伍建设，持续加大依法执法力度，提升执法水平和公众满意度。</w:t>
      </w:r>
    </w:p>
    <w:p>
      <w:pPr>
        <w:spacing w:beforeLines="50" w:afterLines="50" w:line="560" w:lineRule="exact"/>
        <w:jc w:val="center"/>
        <w:outlineLvl w:val="1"/>
        <w:rPr>
          <w:rFonts w:ascii="仿宋" w:hAnsi="仿宋" w:eastAsia="仿宋" w:cs="仿宋"/>
          <w:sz w:val="32"/>
          <w:szCs w:val="32"/>
        </w:rPr>
      </w:pPr>
      <w:bookmarkStart w:id="43" w:name="_Toc63246010"/>
      <w:r>
        <w:rPr>
          <w:rFonts w:hint="eastAsia" w:ascii="仿宋" w:hAnsi="仿宋" w:eastAsia="仿宋" w:cs="仿宋"/>
          <w:sz w:val="32"/>
          <w:szCs w:val="32"/>
        </w:rPr>
        <w:t>南昌市</w:t>
      </w:r>
      <w:r>
        <w:rPr>
          <w:rFonts w:ascii="仿宋" w:hAnsi="仿宋" w:eastAsia="仿宋" w:cs="仿宋"/>
          <w:sz w:val="32"/>
          <w:szCs w:val="32"/>
        </w:rPr>
        <w:t>城市管理</w:t>
      </w:r>
      <w:r>
        <w:rPr>
          <w:rFonts w:hint="eastAsia" w:ascii="仿宋" w:hAnsi="仿宋" w:eastAsia="仿宋" w:cs="仿宋"/>
          <w:sz w:val="32"/>
          <w:szCs w:val="32"/>
        </w:rPr>
        <w:t>“十四五”规划</w:t>
      </w:r>
      <w:r>
        <w:rPr>
          <w:rFonts w:ascii="仿宋" w:hAnsi="仿宋" w:eastAsia="仿宋" w:cs="仿宋"/>
          <w:sz w:val="32"/>
          <w:szCs w:val="32"/>
        </w:rPr>
        <w:t>指标</w:t>
      </w:r>
      <w:r>
        <w:rPr>
          <w:rFonts w:hint="eastAsia" w:ascii="仿宋" w:hAnsi="仿宋" w:eastAsia="仿宋" w:cs="仿宋"/>
          <w:sz w:val="32"/>
          <w:szCs w:val="32"/>
        </w:rPr>
        <w:t>表</w:t>
      </w:r>
      <w:bookmarkEnd w:id="43"/>
    </w:p>
    <w:tbl>
      <w:tblPr>
        <w:tblStyle w:val="17"/>
        <w:tblW w:w="8882" w:type="dxa"/>
        <w:tblInd w:w="0" w:type="dxa"/>
        <w:tblLayout w:type="fixed"/>
        <w:tblCellMar>
          <w:top w:w="0" w:type="dxa"/>
          <w:left w:w="108" w:type="dxa"/>
          <w:bottom w:w="0" w:type="dxa"/>
          <w:right w:w="108" w:type="dxa"/>
        </w:tblCellMar>
      </w:tblPr>
      <w:tblGrid>
        <w:gridCol w:w="474"/>
        <w:gridCol w:w="1761"/>
        <w:gridCol w:w="3260"/>
        <w:gridCol w:w="698"/>
        <w:gridCol w:w="860"/>
        <w:gridCol w:w="852"/>
        <w:gridCol w:w="977"/>
      </w:tblGrid>
      <w:tr>
        <w:tblPrEx>
          <w:tblCellMar>
            <w:top w:w="0" w:type="dxa"/>
            <w:left w:w="108" w:type="dxa"/>
            <w:bottom w:w="0" w:type="dxa"/>
            <w:right w:w="108" w:type="dxa"/>
          </w:tblCellMar>
        </w:tblPrEx>
        <w:trPr>
          <w:trHeight w:val="20" w:hRule="atLeast"/>
          <w:tblHeader/>
        </w:trPr>
        <w:tc>
          <w:tcPr>
            <w:tcW w:w="474" w:type="dxa"/>
            <w:tcBorders>
              <w:top w:val="single" w:color="auto" w:sz="4" w:space="0"/>
              <w:left w:val="single" w:color="auto" w:sz="4" w:space="0"/>
              <w:bottom w:val="single" w:color="auto" w:sz="4" w:space="0"/>
              <w:right w:val="single" w:color="auto" w:sz="4" w:space="0"/>
            </w:tcBorders>
            <w:shd w:val="clear" w:color="000000" w:fill="E2EFDA"/>
            <w:noWrap/>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板块</w:t>
            </w:r>
          </w:p>
        </w:tc>
        <w:tc>
          <w:tcPr>
            <w:tcW w:w="1761" w:type="dxa"/>
            <w:tcBorders>
              <w:top w:val="single" w:color="auto" w:sz="4" w:space="0"/>
              <w:left w:val="nil"/>
              <w:bottom w:val="single" w:color="auto" w:sz="4" w:space="0"/>
              <w:right w:val="single" w:color="auto" w:sz="4" w:space="0"/>
            </w:tcBorders>
            <w:shd w:val="clear" w:color="000000" w:fill="E2EFDA"/>
            <w:noWrap/>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行业措施</w:t>
            </w:r>
          </w:p>
        </w:tc>
        <w:tc>
          <w:tcPr>
            <w:tcW w:w="3260" w:type="dxa"/>
            <w:tcBorders>
              <w:top w:val="single" w:color="auto" w:sz="4" w:space="0"/>
              <w:left w:val="nil"/>
              <w:bottom w:val="single" w:color="auto" w:sz="4" w:space="0"/>
              <w:right w:val="single" w:color="auto" w:sz="4" w:space="0"/>
            </w:tcBorders>
            <w:shd w:val="clear" w:color="000000" w:fill="E2EFDA"/>
            <w:noWrap/>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指标</w:t>
            </w:r>
          </w:p>
        </w:tc>
        <w:tc>
          <w:tcPr>
            <w:tcW w:w="698" w:type="dxa"/>
            <w:tcBorders>
              <w:top w:val="single" w:color="auto" w:sz="4" w:space="0"/>
              <w:left w:val="nil"/>
              <w:bottom w:val="single" w:color="auto" w:sz="4" w:space="0"/>
              <w:right w:val="single" w:color="auto" w:sz="4" w:space="0"/>
            </w:tcBorders>
            <w:shd w:val="clear" w:color="000000" w:fill="E2EFDA"/>
            <w:noWrap/>
            <w:vAlign w:val="center"/>
          </w:tcPr>
          <w:p>
            <w:pPr>
              <w:widowControl/>
              <w:spacing w:line="0" w:lineRule="atLeast"/>
              <w:jc w:val="center"/>
              <w:rPr>
                <w:rFonts w:ascii="微软雅黑" w:hAnsi="微软雅黑" w:eastAsia="微软雅黑" w:cs="宋体"/>
                <w:b/>
                <w:bCs/>
                <w:kern w:val="0"/>
                <w:sz w:val="18"/>
                <w:szCs w:val="28"/>
              </w:rPr>
            </w:pPr>
            <w:r>
              <w:rPr>
                <w:rFonts w:ascii="微软雅黑" w:hAnsi="微软雅黑" w:eastAsia="微软雅黑" w:cs="宋体"/>
                <w:b/>
                <w:bCs/>
                <w:kern w:val="0"/>
                <w:sz w:val="18"/>
                <w:szCs w:val="28"/>
              </w:rPr>
              <w:t>现状</w:t>
            </w:r>
          </w:p>
        </w:tc>
        <w:tc>
          <w:tcPr>
            <w:tcW w:w="860" w:type="dxa"/>
            <w:tcBorders>
              <w:top w:val="single" w:color="auto" w:sz="4" w:space="0"/>
              <w:left w:val="nil"/>
              <w:bottom w:val="single" w:color="auto" w:sz="4" w:space="0"/>
              <w:right w:val="single" w:color="auto" w:sz="4" w:space="0"/>
            </w:tcBorders>
            <w:shd w:val="clear" w:color="000000" w:fill="E2EFDA"/>
            <w:noWrap/>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2021年</w:t>
            </w:r>
          </w:p>
        </w:tc>
        <w:tc>
          <w:tcPr>
            <w:tcW w:w="852" w:type="dxa"/>
            <w:tcBorders>
              <w:top w:val="single" w:color="auto" w:sz="4" w:space="0"/>
              <w:left w:val="nil"/>
              <w:bottom w:val="single" w:color="auto" w:sz="4" w:space="0"/>
              <w:right w:val="single" w:color="auto" w:sz="4" w:space="0"/>
            </w:tcBorders>
            <w:shd w:val="clear" w:color="000000" w:fill="E2EFDA"/>
            <w:noWrap/>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2025年</w:t>
            </w:r>
          </w:p>
        </w:tc>
        <w:tc>
          <w:tcPr>
            <w:tcW w:w="977" w:type="dxa"/>
            <w:tcBorders>
              <w:top w:val="single" w:color="auto" w:sz="4" w:space="0"/>
              <w:left w:val="nil"/>
              <w:bottom w:val="single" w:color="auto" w:sz="4" w:space="0"/>
              <w:right w:val="single" w:color="auto" w:sz="4" w:space="0"/>
            </w:tcBorders>
            <w:shd w:val="clear" w:color="000000" w:fill="E2EFDA"/>
            <w:noWrap/>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属性</w:t>
            </w:r>
          </w:p>
        </w:tc>
      </w:tr>
      <w:tr>
        <w:tblPrEx>
          <w:tblCellMar>
            <w:top w:w="0" w:type="dxa"/>
            <w:left w:w="108" w:type="dxa"/>
            <w:bottom w:w="0" w:type="dxa"/>
            <w:right w:w="108" w:type="dxa"/>
          </w:tblCellMar>
        </w:tblPrEx>
        <w:trPr>
          <w:trHeight w:val="20" w:hRule="atLeast"/>
        </w:trPr>
        <w:tc>
          <w:tcPr>
            <w:tcW w:w="474" w:type="dxa"/>
            <w:vMerge w:val="restart"/>
            <w:tcBorders>
              <w:top w:val="nil"/>
              <w:left w:val="single" w:color="auto" w:sz="4" w:space="0"/>
              <w:bottom w:val="single" w:color="000000" w:sz="4" w:space="0"/>
              <w:right w:val="single" w:color="auto" w:sz="4" w:space="0"/>
            </w:tcBorders>
            <w:shd w:val="clear" w:color="000000" w:fill="C6E0B4"/>
            <w:noWrap/>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创新治理</w:t>
            </w:r>
          </w:p>
        </w:tc>
        <w:tc>
          <w:tcPr>
            <w:tcW w:w="1761"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健全规划、规章标准</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编制城市管理类专项规划（项）</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14</w:t>
            </w: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30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w:t>
            </w:r>
          </w:p>
        </w:tc>
        <w:tc>
          <w:tcPr>
            <w:tcW w:w="977"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数字城管向智慧城管升级</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数字化城管覆盖率（%）</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90</w:t>
            </w: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市级智慧城管平台建设进程（%）</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网格化办结率（%） </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95</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98</w:t>
            </w:r>
          </w:p>
        </w:tc>
        <w:tc>
          <w:tcPr>
            <w:tcW w:w="977"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创新城市治理机制</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信用城管建设进程（%）</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60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市民满意率在城市管理综合考评中的比率（%） </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60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70</w:t>
            </w:r>
          </w:p>
        </w:tc>
        <w:tc>
          <w:tcPr>
            <w:tcW w:w="977"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auto" w:fill="auto"/>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“管、监、养”改革</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城市管理监管体系机构设置进程（%）</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道路清扫</w:t>
            </w:r>
            <w:r>
              <w:rPr>
                <w:rFonts w:ascii="微软雅黑" w:hAnsi="微软雅黑" w:eastAsia="微软雅黑" w:cs="宋体"/>
                <w:kern w:val="0"/>
                <w:sz w:val="18"/>
                <w:szCs w:val="28"/>
              </w:rPr>
              <w:t>保洁</w:t>
            </w:r>
            <w:r>
              <w:rPr>
                <w:rFonts w:hint="eastAsia" w:ascii="微软雅黑" w:hAnsi="微软雅黑" w:eastAsia="微软雅黑" w:cs="宋体"/>
                <w:kern w:val="0"/>
                <w:sz w:val="18"/>
                <w:szCs w:val="28"/>
              </w:rPr>
              <w:t>市场化率（%）</w:t>
            </w:r>
          </w:p>
        </w:tc>
        <w:tc>
          <w:tcPr>
            <w:tcW w:w="698" w:type="dxa"/>
            <w:tcBorders>
              <w:top w:val="nil"/>
              <w:left w:val="nil"/>
              <w:bottom w:val="single" w:color="auto" w:sz="4" w:space="0"/>
              <w:right w:val="single" w:color="auto" w:sz="4" w:space="0"/>
            </w:tcBorders>
            <w:shd w:val="clear" w:color="auto" w:fill="auto"/>
            <w:vAlign w:val="center"/>
          </w:tcPr>
          <w:p>
            <w:pPr>
              <w:widowControl/>
              <w:spacing w:line="0" w:lineRule="atLeast"/>
              <w:jc w:val="center"/>
              <w:rPr>
                <w:rFonts w:ascii="微软雅黑" w:hAnsi="微软雅黑" w:eastAsia="微软雅黑" w:cs="宋体"/>
                <w:kern w:val="0"/>
                <w:sz w:val="18"/>
                <w:szCs w:val="28"/>
              </w:rPr>
            </w:pP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市政、园林、水务设施养护市场化率（%）</w:t>
            </w:r>
          </w:p>
        </w:tc>
        <w:tc>
          <w:tcPr>
            <w:tcW w:w="698" w:type="dxa"/>
            <w:tcBorders>
              <w:top w:val="nil"/>
              <w:left w:val="nil"/>
              <w:bottom w:val="single" w:color="auto" w:sz="4" w:space="0"/>
              <w:right w:val="single" w:color="auto" w:sz="4" w:space="0"/>
            </w:tcBorders>
            <w:shd w:val="clear" w:color="auto" w:fill="auto"/>
            <w:vAlign w:val="center"/>
          </w:tcPr>
          <w:p>
            <w:pPr>
              <w:widowControl/>
              <w:spacing w:line="0" w:lineRule="atLeast"/>
              <w:jc w:val="center"/>
              <w:rPr>
                <w:rFonts w:ascii="微软雅黑" w:hAnsi="微软雅黑" w:eastAsia="微软雅黑" w:cs="宋体"/>
                <w:kern w:val="0"/>
                <w:sz w:val="18"/>
                <w:szCs w:val="28"/>
              </w:rPr>
            </w:pP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50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restart"/>
            <w:tcBorders>
              <w:top w:val="nil"/>
              <w:left w:val="single" w:color="auto" w:sz="4" w:space="0"/>
              <w:bottom w:val="single" w:color="000000" w:sz="4" w:space="0"/>
              <w:right w:val="single" w:color="auto" w:sz="4" w:space="0"/>
            </w:tcBorders>
            <w:shd w:val="clear" w:color="000000" w:fill="C6E0B4"/>
            <w:noWrap/>
            <w:vAlign w:val="center"/>
          </w:tcPr>
          <w:p>
            <w:pPr>
              <w:widowControl/>
              <w:spacing w:line="0" w:lineRule="atLeast"/>
              <w:jc w:val="center"/>
              <w:rPr>
                <w:rFonts w:ascii="微软雅黑" w:hAnsi="微软雅黑" w:eastAsia="微软雅黑" w:cs="宋体"/>
                <w:b/>
                <w:bCs/>
                <w:kern w:val="0"/>
                <w:sz w:val="18"/>
                <w:szCs w:val="28"/>
              </w:rPr>
            </w:pPr>
          </w:p>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靓丽市容</w:t>
            </w:r>
          </w:p>
        </w:tc>
        <w:tc>
          <w:tcPr>
            <w:tcW w:w="1761" w:type="dxa"/>
            <w:vMerge w:val="restart"/>
            <w:tcBorders>
              <w:top w:val="nil"/>
              <w:left w:val="single" w:color="auto" w:sz="4" w:space="0"/>
              <w:bottom w:val="single" w:color="000000"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城市面貌和公共秩序持续提升</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违法户外广告查处率（</w:t>
            </w:r>
            <w:r>
              <w:rPr>
                <w:rFonts w:ascii="Calibri" w:hAnsi="Calibri" w:eastAsia="微软雅黑" w:cs="宋体"/>
                <w:b/>
                <w:bCs/>
                <w:kern w:val="0"/>
                <w:sz w:val="18"/>
                <w:szCs w:val="36"/>
              </w:rPr>
              <w:t>%</w:t>
            </w:r>
            <w:r>
              <w:rPr>
                <w:rFonts w:hint="eastAsia" w:ascii="宋体" w:hAnsi="宋体" w:eastAsia="宋体" w:cs="宋体"/>
                <w:b/>
                <w:bCs/>
                <w:kern w:val="0"/>
                <w:sz w:val="18"/>
                <w:szCs w:val="36"/>
              </w:rPr>
              <w:t>）</w:t>
            </w:r>
            <w:r>
              <w:rPr>
                <w:rFonts w:ascii="Calibri" w:hAnsi="Calibri" w:eastAsia="微软雅黑" w:cs="宋体"/>
                <w:b/>
                <w:bCs/>
                <w:kern w:val="0"/>
                <w:sz w:val="18"/>
                <w:szCs w:val="36"/>
              </w:rPr>
              <w:t> </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rPr>
            </w:pPr>
            <w:r>
              <w:rPr>
                <w:rFonts w:hint="eastAsia" w:ascii="等线" w:hAnsi="等线" w:eastAsia="等线" w:cs="宋体"/>
                <w:kern w:val="0"/>
                <w:sz w:val="1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98</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＞98 </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约束性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破损广告及时修复率（</w:t>
            </w:r>
            <w:r>
              <w:rPr>
                <w:rFonts w:ascii="Calibri" w:hAnsi="Calibri" w:eastAsia="微软雅黑" w:cs="宋体"/>
                <w:b/>
                <w:bCs/>
                <w:kern w:val="0"/>
                <w:sz w:val="18"/>
                <w:szCs w:val="36"/>
              </w:rPr>
              <w:t>%</w:t>
            </w:r>
            <w:r>
              <w:rPr>
                <w:rFonts w:hint="eastAsia" w:ascii="宋体" w:hAnsi="宋体" w:eastAsia="宋体" w:cs="宋体"/>
                <w:b/>
                <w:bCs/>
                <w:kern w:val="0"/>
                <w:sz w:val="18"/>
                <w:szCs w:val="36"/>
              </w:rPr>
              <w:t>）</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rPr>
            </w:pPr>
            <w:r>
              <w:rPr>
                <w:rFonts w:hint="eastAsia" w:ascii="等线" w:hAnsi="等线" w:eastAsia="等线" w:cs="宋体"/>
                <w:kern w:val="0"/>
                <w:sz w:val="1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95</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＞95</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约束性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城市夜景更加丰富</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道路照明设施完好率（</w:t>
            </w:r>
            <w:r>
              <w:rPr>
                <w:rFonts w:ascii="Calibri" w:hAnsi="Calibri" w:eastAsia="微软雅黑" w:cs="宋体"/>
                <w:b/>
                <w:bCs/>
                <w:kern w:val="0"/>
                <w:sz w:val="18"/>
                <w:szCs w:val="36"/>
              </w:rPr>
              <w:t>%</w:t>
            </w:r>
            <w:r>
              <w:rPr>
                <w:rFonts w:hint="eastAsia" w:ascii="宋体" w:hAnsi="宋体" w:eastAsia="宋体" w:cs="宋体"/>
                <w:b/>
                <w:bCs/>
                <w:kern w:val="0"/>
                <w:sz w:val="18"/>
                <w:szCs w:val="36"/>
              </w:rPr>
              <w:t>）</w:t>
            </w:r>
            <w:r>
              <w:rPr>
                <w:rFonts w:ascii="Calibri" w:hAnsi="Calibri" w:eastAsia="微软雅黑" w:cs="宋体"/>
                <w:b/>
                <w:bCs/>
                <w:kern w:val="0"/>
                <w:sz w:val="18"/>
                <w:szCs w:val="36"/>
              </w:rPr>
              <w:t> </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rPr>
            </w:pPr>
            <w:r>
              <w:rPr>
                <w:rFonts w:hint="eastAsia" w:ascii="等线" w:hAnsi="等线" w:eastAsia="等线" w:cs="宋体"/>
                <w:kern w:val="0"/>
                <w:sz w:val="1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95</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＞95 </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主干道道路照明亮灯率（</w:t>
            </w:r>
            <w:r>
              <w:rPr>
                <w:rFonts w:ascii="Calibri" w:hAnsi="Calibri" w:eastAsia="微软雅黑" w:cs="宋体"/>
                <w:b/>
                <w:bCs/>
                <w:kern w:val="0"/>
                <w:sz w:val="18"/>
                <w:szCs w:val="36"/>
              </w:rPr>
              <w:t>%</w:t>
            </w:r>
            <w:r>
              <w:rPr>
                <w:rFonts w:hint="eastAsia" w:ascii="宋体" w:hAnsi="宋体" w:eastAsia="宋体" w:cs="宋体"/>
                <w:b/>
                <w:bCs/>
                <w:kern w:val="0"/>
                <w:sz w:val="18"/>
                <w:szCs w:val="36"/>
              </w:rPr>
              <w:t>）</w:t>
            </w:r>
            <w:r>
              <w:rPr>
                <w:rFonts w:ascii="Calibri" w:hAnsi="Calibri" w:eastAsia="微软雅黑" w:cs="宋体"/>
                <w:b/>
                <w:bCs/>
                <w:kern w:val="0"/>
                <w:sz w:val="18"/>
                <w:szCs w:val="36"/>
              </w:rPr>
              <w:t> </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rPr>
            </w:pPr>
            <w:r>
              <w:rPr>
                <w:rFonts w:hint="eastAsia" w:ascii="等线" w:hAnsi="等线" w:eastAsia="等线" w:cs="宋体"/>
                <w:kern w:val="0"/>
                <w:sz w:val="1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98</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＞98 </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约束性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景观照明设施完好率（</w:t>
            </w:r>
            <w:r>
              <w:rPr>
                <w:rFonts w:ascii="Calibri" w:hAnsi="Calibri" w:eastAsia="微软雅黑" w:cs="宋体"/>
                <w:b/>
                <w:bCs/>
                <w:kern w:val="0"/>
                <w:sz w:val="18"/>
                <w:szCs w:val="36"/>
              </w:rPr>
              <w:t>%</w:t>
            </w:r>
            <w:r>
              <w:rPr>
                <w:rFonts w:hint="eastAsia" w:ascii="宋体" w:hAnsi="宋体" w:eastAsia="宋体" w:cs="宋体"/>
                <w:b/>
                <w:bCs/>
                <w:kern w:val="0"/>
                <w:sz w:val="18"/>
                <w:szCs w:val="36"/>
              </w:rPr>
              <w:t>）</w:t>
            </w:r>
            <w:r>
              <w:rPr>
                <w:rFonts w:ascii="Calibri" w:hAnsi="Calibri" w:eastAsia="微软雅黑" w:cs="宋体"/>
                <w:b/>
                <w:bCs/>
                <w:kern w:val="0"/>
                <w:sz w:val="18"/>
                <w:szCs w:val="36"/>
              </w:rPr>
              <w:t> </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rPr>
            </w:pPr>
            <w:r>
              <w:rPr>
                <w:rFonts w:hint="eastAsia" w:ascii="等线" w:hAnsi="等线" w:eastAsia="等线" w:cs="宋体"/>
                <w:kern w:val="0"/>
                <w:sz w:val="1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93</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95</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市容短板地区全面改善</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老旧小区改造（个）</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47</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261</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全覆盖</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背街小巷整治（条）</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rPr>
            </w:pPr>
            <w:r>
              <w:rPr>
                <w:rFonts w:hint="eastAsia" w:ascii="等线" w:hAnsi="等线" w:eastAsia="等线" w:cs="宋体"/>
                <w:kern w:val="0"/>
                <w:sz w:val="1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500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全覆盖</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 </w:t>
            </w:r>
          </w:p>
        </w:tc>
      </w:tr>
      <w:tr>
        <w:tblPrEx>
          <w:tblCellMar>
            <w:top w:w="0" w:type="dxa"/>
            <w:left w:w="108" w:type="dxa"/>
            <w:bottom w:w="0" w:type="dxa"/>
            <w:right w:w="108" w:type="dxa"/>
          </w:tblCellMar>
        </w:tblPrEx>
        <w:trPr>
          <w:trHeight w:val="20" w:hRule="atLeast"/>
        </w:trPr>
        <w:tc>
          <w:tcPr>
            <w:tcW w:w="474" w:type="dxa"/>
            <w:vMerge w:val="restart"/>
            <w:tcBorders>
              <w:top w:val="nil"/>
              <w:left w:val="single" w:color="auto" w:sz="4" w:space="0"/>
              <w:bottom w:val="nil"/>
              <w:right w:val="single" w:color="auto" w:sz="4" w:space="0"/>
            </w:tcBorders>
            <w:shd w:val="clear" w:color="000000" w:fill="C6E0B4"/>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洁净环境</w:t>
            </w:r>
          </w:p>
        </w:tc>
        <w:tc>
          <w:tcPr>
            <w:tcW w:w="1761" w:type="dxa"/>
            <w:vMerge w:val="restart"/>
            <w:tcBorders>
              <w:top w:val="nil"/>
              <w:left w:val="single" w:color="auto" w:sz="4" w:space="0"/>
              <w:bottom w:val="single" w:color="000000" w:sz="4" w:space="0"/>
              <w:right w:val="single" w:color="auto" w:sz="4" w:space="0"/>
            </w:tcBorders>
            <w:shd w:val="clear" w:color="000000" w:fill="E2F0D9"/>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环卫作业水平持续提升</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主次干道机械化清扫率（</w:t>
            </w:r>
            <w:r>
              <w:rPr>
                <w:rFonts w:hint="eastAsia" w:ascii="微软雅黑" w:hAnsi="微软雅黑" w:eastAsia="微软雅黑" w:cs="宋体"/>
                <w:kern w:val="0"/>
                <w:sz w:val="18"/>
                <w:szCs w:val="32"/>
              </w:rPr>
              <w:t xml:space="preserve">%）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约束性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主次干道门前管理责任制签约率（</w:t>
            </w:r>
            <w:r>
              <w:rPr>
                <w:rFonts w:hint="eastAsia" w:ascii="微软雅黑" w:hAnsi="微软雅黑" w:eastAsia="微软雅黑" w:cs="宋体"/>
                <w:kern w:val="0"/>
                <w:sz w:val="18"/>
                <w:szCs w:val="32"/>
              </w:rPr>
              <w:t xml:space="preserve">%）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000000" w:fill="E2F0D9"/>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垃圾综合治理体系完善 </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生活垃圾无害化处理率（</w:t>
            </w:r>
            <w:r>
              <w:rPr>
                <w:rFonts w:hint="eastAsia" w:ascii="微软雅黑" w:hAnsi="微软雅黑" w:eastAsia="微软雅黑" w:cs="宋体"/>
                <w:kern w:val="0"/>
                <w:sz w:val="18"/>
                <w:szCs w:val="32"/>
              </w:rPr>
              <w:t xml:space="preserve">%）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约束性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生活垃圾收集密闭化运输率（</w:t>
            </w:r>
            <w:r>
              <w:rPr>
                <w:rFonts w:hint="eastAsia" w:ascii="微软雅黑" w:hAnsi="微软雅黑" w:eastAsia="微软雅黑" w:cs="宋体"/>
                <w:kern w:val="0"/>
                <w:sz w:val="18"/>
                <w:szCs w:val="32"/>
              </w:rPr>
              <w:t xml:space="preserve">%）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约束性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生活垃圾分类收集覆盖（</w:t>
            </w:r>
            <w:r>
              <w:rPr>
                <w:rFonts w:hint="eastAsia" w:ascii="微软雅黑" w:hAnsi="微软雅黑" w:eastAsia="微软雅黑" w:cs="宋体"/>
                <w:kern w:val="0"/>
                <w:sz w:val="18"/>
                <w:szCs w:val="32"/>
              </w:rPr>
              <w:t xml:space="preserve">%）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50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70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生活垃圾回收利用率（</w:t>
            </w:r>
            <w:r>
              <w:rPr>
                <w:rFonts w:hint="eastAsia" w:ascii="微软雅黑" w:hAnsi="微软雅黑" w:eastAsia="微软雅黑" w:cs="宋体"/>
                <w:kern w:val="0"/>
                <w:sz w:val="18"/>
                <w:szCs w:val="32"/>
              </w:rPr>
              <w:t xml:space="preserve">%）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33</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36</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38</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建筑垃圾申报处置率（%）</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95</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约束性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建筑垃圾资源化利用率（%）</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70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85</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w:t>
            </w:r>
          </w:p>
        </w:tc>
      </w:tr>
      <w:tr>
        <w:tblPrEx>
          <w:tblCellMar>
            <w:top w:w="0" w:type="dxa"/>
            <w:left w:w="108" w:type="dxa"/>
            <w:bottom w:w="0" w:type="dxa"/>
            <w:right w:w="108" w:type="dxa"/>
          </w:tblCellMar>
        </w:tblPrEx>
        <w:trPr>
          <w:trHeight w:val="468"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城市厨余垃圾分类收集处理率（%）</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ascii="微软雅黑" w:hAnsi="微软雅黑" w:eastAsia="微软雅黑" w:cs="宋体"/>
                <w:kern w:val="0"/>
                <w:sz w:val="18"/>
                <w:szCs w:val="28"/>
              </w:rPr>
              <w:t>25</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ascii="微软雅黑" w:hAnsi="微软雅黑" w:eastAsia="微软雅黑" w:cs="宋体"/>
                <w:kern w:val="0"/>
                <w:sz w:val="18"/>
                <w:szCs w:val="28"/>
              </w:rPr>
              <w:t>30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生活垃圾焚烧处理率（</w:t>
            </w:r>
            <w:r>
              <w:rPr>
                <w:rFonts w:hint="eastAsia" w:ascii="微软雅黑" w:hAnsi="微软雅黑" w:eastAsia="微软雅黑" w:cs="宋体"/>
                <w:kern w:val="0"/>
                <w:sz w:val="18"/>
                <w:szCs w:val="32"/>
              </w:rPr>
              <w:t xml:space="preserve">%）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4"/>
              </w:rPr>
            </w:pPr>
            <w:r>
              <w:rPr>
                <w:rFonts w:hint="eastAsia" w:ascii="微软雅黑" w:hAnsi="微软雅黑" w:eastAsia="微软雅黑" w:cs="宋体"/>
                <w:kern w:val="0"/>
                <w:sz w:val="18"/>
                <w:szCs w:val="24"/>
              </w:rPr>
              <w:t xml:space="preserve">＞90 </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约束性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000000" w:fill="E2F0D9"/>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环境公共设施逐步完备</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公厕密度（座</w:t>
            </w:r>
            <w:r>
              <w:rPr>
                <w:rFonts w:hint="eastAsia" w:ascii="微软雅黑" w:hAnsi="微软雅黑" w:eastAsia="微软雅黑" w:cs="宋体"/>
                <w:kern w:val="0"/>
                <w:sz w:val="18"/>
                <w:szCs w:val="32"/>
              </w:rPr>
              <w:t xml:space="preserve">/平方公里）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5</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5-7</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城市中心区10</w:t>
            </w:r>
            <w:r>
              <w:rPr>
                <w:rFonts w:hint="eastAsia" w:ascii="微软雅黑" w:hAnsi="微软雅黑" w:eastAsia="微软雅黑" w:cs="宋体"/>
                <w:kern w:val="0"/>
                <w:sz w:val="18"/>
                <w:szCs w:val="32"/>
              </w:rPr>
              <w:t xml:space="preserve">分钟如厕圈覆盖率（%）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42</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50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70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000000" w:fill="E2F0D9"/>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大气环境天蓝气清</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餐饮油烟治理达标率（%）</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96.5</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98</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98</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道路扬尘治理达标率（%）</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98</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restart"/>
            <w:tcBorders>
              <w:top w:val="nil"/>
              <w:left w:val="single" w:color="auto" w:sz="4" w:space="0"/>
              <w:bottom w:val="nil"/>
              <w:right w:val="single" w:color="auto" w:sz="4" w:space="0"/>
            </w:tcBorders>
            <w:shd w:val="clear" w:color="000000" w:fill="C6E0B4"/>
            <w:noWrap/>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生态园林</w:t>
            </w:r>
          </w:p>
        </w:tc>
        <w:tc>
          <w:tcPr>
            <w:tcW w:w="1761" w:type="dxa"/>
            <w:vMerge w:val="restart"/>
            <w:tcBorders>
              <w:top w:val="nil"/>
              <w:left w:val="single" w:color="auto" w:sz="4" w:space="0"/>
              <w:bottom w:val="single" w:color="000000" w:sz="4" w:space="0"/>
              <w:right w:val="single" w:color="auto" w:sz="4" w:space="0"/>
            </w:tcBorders>
            <w:shd w:val="clear" w:color="000000" w:fill="E2F0D9"/>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 xml:space="preserve">各项指标不低于国家生态园林城市标准 </w:t>
            </w: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城市建成区绿地率（%）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39.3</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39.32</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39.36</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约束性</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城市建成区绿化覆盖率（%）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41.25</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41.33</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42</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约束性</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rPr>
                <w:rFonts w:ascii="微软雅黑" w:hAnsi="微软雅黑" w:eastAsia="微软雅黑" w:cs="宋体"/>
                <w:kern w:val="0"/>
                <w:sz w:val="18"/>
                <w:szCs w:val="28"/>
              </w:rPr>
            </w:pPr>
            <w:r>
              <w:rPr>
                <w:rFonts w:hint="eastAsia" w:ascii="微软雅黑" w:hAnsi="微软雅黑" w:eastAsia="微软雅黑" w:cs="宋体"/>
                <w:kern w:val="0"/>
                <w:sz w:val="18"/>
                <w:szCs w:val="28"/>
              </w:rPr>
              <w:t>中心城区人均公园绿地面积（</w:t>
            </w:r>
            <w:r>
              <w:rPr>
                <w:rFonts w:hint="eastAsia" w:ascii="Batang" w:hAnsi="Batang" w:eastAsia="Batang" w:cs="Batang"/>
                <w:kern w:val="0"/>
                <w:sz w:val="18"/>
                <w:szCs w:val="28"/>
              </w:rPr>
              <w:t>㎡</w:t>
            </w:r>
            <w:r>
              <w:rPr>
                <w:rFonts w:hint="eastAsia" w:ascii="微软雅黑" w:hAnsi="微软雅黑" w:eastAsia="微软雅黑" w:cs="微软雅黑"/>
                <w:kern w:val="0"/>
                <w:sz w:val="18"/>
                <w:szCs w:val="28"/>
              </w:rPr>
              <w:t>）</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12.01</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12.1</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12.6</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约束性</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tcBorders>
              <w:top w:val="nil"/>
              <w:left w:val="nil"/>
              <w:bottom w:val="single" w:color="auto" w:sz="4" w:space="0"/>
              <w:right w:val="single" w:color="auto" w:sz="4" w:space="0"/>
            </w:tcBorders>
            <w:shd w:val="clear" w:color="000000" w:fill="E2F0D9"/>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绿道建设初具规模</w:t>
            </w: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rPr>
                <w:rFonts w:ascii="微软雅黑" w:hAnsi="微软雅黑" w:eastAsia="微软雅黑" w:cs="宋体"/>
                <w:kern w:val="0"/>
                <w:sz w:val="18"/>
                <w:szCs w:val="28"/>
              </w:rPr>
            </w:pPr>
            <w:r>
              <w:rPr>
                <w:rFonts w:hint="eastAsia" w:ascii="微软雅黑" w:hAnsi="微软雅黑" w:eastAsia="微软雅黑" w:cs="宋体"/>
                <w:kern w:val="0"/>
                <w:sz w:val="18"/>
                <w:szCs w:val="28"/>
              </w:rPr>
              <w:t>城区绿道长度（公里）（全市域）</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ascii="微软雅黑" w:hAnsi="微软雅黑" w:eastAsia="微软雅黑" w:cs="宋体"/>
                <w:kern w:val="0"/>
                <w:sz w:val="18"/>
                <w:szCs w:val="28"/>
              </w:rPr>
              <w:t>222</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500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700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nil"/>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tcBorders>
              <w:top w:val="nil"/>
              <w:left w:val="nil"/>
              <w:bottom w:val="single" w:color="auto" w:sz="4" w:space="0"/>
              <w:right w:val="single" w:color="auto" w:sz="4" w:space="0"/>
            </w:tcBorders>
            <w:shd w:val="clear" w:color="000000" w:fill="E2F0D9"/>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普惠型绿地建设</w:t>
            </w: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公园绿地服务半径覆盖率（%）</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60.4</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62</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ascii="微软雅黑" w:hAnsi="微软雅黑" w:eastAsia="微软雅黑" w:cs="宋体"/>
                <w:kern w:val="0"/>
                <w:sz w:val="18"/>
                <w:szCs w:val="28"/>
              </w:rPr>
              <w:t>9</w:t>
            </w:r>
            <w:r>
              <w:rPr>
                <w:rFonts w:hint="eastAsia" w:ascii="微软雅黑" w:hAnsi="微软雅黑" w:eastAsia="微软雅黑" w:cs="宋体"/>
                <w:kern w:val="0"/>
                <w:sz w:val="18"/>
                <w:szCs w:val="28"/>
              </w:rPr>
              <w:t>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restart"/>
            <w:tcBorders>
              <w:top w:val="nil"/>
              <w:left w:val="single" w:color="auto" w:sz="4" w:space="0"/>
              <w:bottom w:val="single" w:color="000000" w:sz="4" w:space="0"/>
              <w:right w:val="single" w:color="auto" w:sz="4" w:space="0"/>
            </w:tcBorders>
            <w:shd w:val="clear" w:color="000000" w:fill="C6E0B4"/>
            <w:noWrap/>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安全公用</w:t>
            </w:r>
          </w:p>
        </w:tc>
        <w:tc>
          <w:tcPr>
            <w:tcW w:w="1761" w:type="dxa"/>
            <w:vMerge w:val="restart"/>
            <w:tcBorders>
              <w:top w:val="nil"/>
              <w:left w:val="single" w:color="auto" w:sz="4" w:space="0"/>
              <w:right w:val="single" w:color="auto" w:sz="4" w:space="0"/>
            </w:tcBorders>
            <w:shd w:val="clear" w:color="000000" w:fill="E2F0D9"/>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供水保障日趋完善</w:t>
            </w: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供水管网漏损率（%） </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16.4</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15</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约束性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left w:val="single" w:color="auto"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管网压力合格率（%） </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97</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left w:val="single" w:color="auto"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居民“一户一表”安装比例（%）</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85</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88</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95</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left w:val="single" w:color="auto"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居民用户端供水合格率（%）</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约束性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left w:val="single" w:color="auto"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二次供水设施改造率（%）</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5.9</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ascii="微软雅黑" w:hAnsi="微软雅黑" w:eastAsia="微软雅黑" w:cs="宋体"/>
                <w:kern w:val="0"/>
                <w:sz w:val="18"/>
                <w:szCs w:val="28"/>
              </w:rPr>
              <w:t>2</w:t>
            </w:r>
            <w:r>
              <w:rPr>
                <w:rFonts w:hint="eastAsia" w:ascii="微软雅黑" w:hAnsi="微软雅黑" w:eastAsia="微软雅黑" w:cs="宋体"/>
                <w:kern w:val="0"/>
                <w:sz w:val="18"/>
                <w:szCs w:val="28"/>
              </w:rPr>
              <w:t>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ascii="微软雅黑" w:hAnsi="微软雅黑" w:eastAsia="微软雅黑" w:cs="宋体"/>
                <w:kern w:val="0"/>
                <w:sz w:val="18"/>
                <w:szCs w:val="28"/>
              </w:rPr>
              <w:t>6</w:t>
            </w:r>
            <w:r>
              <w:rPr>
                <w:rFonts w:hint="eastAsia" w:ascii="微软雅黑" w:hAnsi="微软雅黑" w:eastAsia="微软雅黑" w:cs="宋体"/>
                <w:kern w:val="0"/>
                <w:sz w:val="18"/>
                <w:szCs w:val="28"/>
              </w:rPr>
              <w:t>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智能水表使用占比（%）</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28</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35</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50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000000" w:fill="E2F0D9"/>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燃气供应转型加速</w:t>
            </w: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管道燃气普及率（%）</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74.4</w:t>
            </w:r>
          </w:p>
        </w:tc>
        <w:tc>
          <w:tcPr>
            <w:tcW w:w="860"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w:t>
            </w:r>
            <w:r>
              <w:rPr>
                <w:rFonts w:ascii="微软雅黑" w:hAnsi="微软雅黑" w:eastAsia="微软雅黑" w:cs="宋体"/>
                <w:kern w:val="0"/>
                <w:sz w:val="18"/>
                <w:szCs w:val="28"/>
              </w:rPr>
              <w:t>5</w:t>
            </w:r>
          </w:p>
        </w:tc>
        <w:tc>
          <w:tcPr>
            <w:tcW w:w="852"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预期性　</w:t>
            </w:r>
          </w:p>
        </w:tc>
      </w:tr>
      <w:tr>
        <w:tblPrEx>
          <w:tblCellMar>
            <w:top w:w="0" w:type="dxa"/>
            <w:left w:w="108" w:type="dxa"/>
            <w:bottom w:w="0" w:type="dxa"/>
            <w:right w:w="108" w:type="dxa"/>
          </w:tblCellMar>
        </w:tblPrEx>
        <w:trPr>
          <w:trHeight w:val="20" w:hRule="atLeast"/>
        </w:trPr>
        <w:tc>
          <w:tcPr>
            <w:tcW w:w="474"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天然气应急保障天数（天） </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≥3 </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≥7</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约束性 </w:t>
            </w:r>
          </w:p>
        </w:tc>
      </w:tr>
      <w:tr>
        <w:tblPrEx>
          <w:tblCellMar>
            <w:top w:w="0" w:type="dxa"/>
            <w:left w:w="108" w:type="dxa"/>
            <w:bottom w:w="0" w:type="dxa"/>
            <w:right w:w="108" w:type="dxa"/>
          </w:tblCellMar>
        </w:tblPrEx>
        <w:trPr>
          <w:trHeight w:val="20" w:hRule="atLeast"/>
        </w:trPr>
        <w:tc>
          <w:tcPr>
            <w:tcW w:w="474" w:type="dxa"/>
            <w:vMerge w:val="restart"/>
            <w:tcBorders>
              <w:top w:val="single" w:color="auto" w:sz="4" w:space="0"/>
              <w:left w:val="single" w:color="auto" w:sz="4" w:space="0"/>
              <w:bottom w:val="single" w:color="000000" w:sz="4" w:space="0"/>
              <w:right w:val="single" w:color="auto" w:sz="4" w:space="0"/>
            </w:tcBorders>
            <w:shd w:val="clear" w:color="auto" w:fill="B9D2A0"/>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绿色水务</w:t>
            </w:r>
          </w:p>
        </w:tc>
        <w:tc>
          <w:tcPr>
            <w:tcW w:w="1761" w:type="dxa"/>
            <w:vMerge w:val="restart"/>
            <w:tcBorders>
              <w:top w:val="nil"/>
              <w:left w:val="single" w:color="auto" w:sz="4" w:space="0"/>
              <w:bottom w:val="single" w:color="000000" w:sz="4" w:space="0"/>
              <w:right w:val="single" w:color="auto" w:sz="4" w:space="0"/>
            </w:tcBorders>
            <w:shd w:val="clear" w:color="000000" w:fill="E2F0D9"/>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雨污水收集和处理有较大提升</w:t>
            </w:r>
          </w:p>
        </w:tc>
        <w:tc>
          <w:tcPr>
            <w:tcW w:w="3260" w:type="dxa"/>
            <w:tcBorders>
              <w:top w:val="nil"/>
              <w:left w:val="nil"/>
              <w:bottom w:val="single" w:color="auto" w:sz="4" w:space="0"/>
              <w:right w:val="single" w:color="auto" w:sz="4" w:space="0"/>
            </w:tcBorders>
            <w:shd w:val="clear" w:color="000000" w:fill="FFFFFF"/>
            <w:noWrap/>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内涝点治理率（%）</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87.3</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95</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98</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single" w:color="000000" w:sz="4" w:space="0"/>
              <w:left w:val="single" w:color="auto" w:sz="4" w:space="0"/>
              <w:bottom w:val="single" w:color="000000" w:sz="4" w:space="0"/>
              <w:right w:val="single" w:color="auto" w:sz="4" w:space="0"/>
            </w:tcBorders>
            <w:shd w:val="clear" w:color="auto" w:fill="B9D2A0"/>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noWrap/>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建成区生活污水处理厂集中处理率（%）</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ascii="微软雅黑" w:hAnsi="微软雅黑" w:eastAsia="微软雅黑" w:cs="宋体"/>
                <w:kern w:val="0"/>
                <w:sz w:val="18"/>
                <w:szCs w:val="28"/>
              </w:rPr>
              <w:t>95</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ascii="微软雅黑" w:hAnsi="微软雅黑" w:eastAsia="微软雅黑" w:cs="宋体"/>
                <w:kern w:val="0"/>
                <w:sz w:val="18"/>
                <w:szCs w:val="28"/>
              </w:rPr>
              <w:t>95.6</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w:t>
            </w:r>
            <w:r>
              <w:rPr>
                <w:rFonts w:ascii="微软雅黑" w:hAnsi="微软雅黑" w:eastAsia="微软雅黑" w:cs="宋体"/>
                <w:kern w:val="0"/>
                <w:sz w:val="18"/>
                <w:szCs w:val="28"/>
              </w:rPr>
              <w:t>6</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约束性 </w:t>
            </w:r>
          </w:p>
        </w:tc>
      </w:tr>
      <w:tr>
        <w:tblPrEx>
          <w:tblCellMar>
            <w:top w:w="0" w:type="dxa"/>
            <w:left w:w="108" w:type="dxa"/>
            <w:bottom w:w="0" w:type="dxa"/>
            <w:right w:w="108" w:type="dxa"/>
          </w:tblCellMar>
        </w:tblPrEx>
        <w:trPr>
          <w:trHeight w:val="20" w:hRule="atLeast"/>
        </w:trPr>
        <w:tc>
          <w:tcPr>
            <w:tcW w:w="474" w:type="dxa"/>
            <w:vMerge w:val="continue"/>
            <w:tcBorders>
              <w:top w:val="single" w:color="000000" w:sz="4" w:space="0"/>
              <w:left w:val="single" w:color="auto" w:sz="4" w:space="0"/>
              <w:bottom w:val="single" w:color="000000" w:sz="4" w:space="0"/>
              <w:right w:val="single" w:color="auto" w:sz="4" w:space="0"/>
            </w:tcBorders>
            <w:shd w:val="clear" w:color="auto" w:fill="B9D2A0"/>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noWrap/>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建成区生活污水集中收集率（%）</w:t>
            </w:r>
          </w:p>
        </w:tc>
        <w:tc>
          <w:tcPr>
            <w:tcW w:w="698"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ascii="微软雅黑" w:hAnsi="微软雅黑" w:eastAsia="微软雅黑" w:cs="宋体"/>
                <w:kern w:val="0"/>
                <w:sz w:val="18"/>
                <w:szCs w:val="28"/>
              </w:rPr>
              <w:t>45.58</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51.33</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ascii="微软雅黑" w:hAnsi="微软雅黑" w:eastAsia="微软雅黑" w:cs="宋体"/>
                <w:kern w:val="0"/>
                <w:sz w:val="18"/>
                <w:szCs w:val="28"/>
              </w:rPr>
              <w:t>6</w:t>
            </w:r>
            <w:r>
              <w:rPr>
                <w:rFonts w:hint="eastAsia" w:ascii="微软雅黑" w:hAnsi="微软雅黑" w:eastAsia="微软雅黑" w:cs="宋体"/>
                <w:kern w:val="0"/>
                <w:sz w:val="18"/>
                <w:szCs w:val="28"/>
              </w:rPr>
              <w:t>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top w:val="single" w:color="000000" w:sz="4" w:space="0"/>
              <w:left w:val="single" w:color="auto" w:sz="4" w:space="0"/>
              <w:bottom w:val="single" w:color="000000" w:sz="4" w:space="0"/>
              <w:right w:val="single" w:color="auto" w:sz="4" w:space="0"/>
            </w:tcBorders>
            <w:shd w:val="clear" w:color="auto" w:fill="B9D2A0"/>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中心城区污泥无害化处置率（%） </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＞90 </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约束性</w:t>
            </w:r>
          </w:p>
        </w:tc>
      </w:tr>
      <w:tr>
        <w:tblPrEx>
          <w:tblCellMar>
            <w:top w:w="0" w:type="dxa"/>
            <w:left w:w="108" w:type="dxa"/>
            <w:bottom w:w="0" w:type="dxa"/>
            <w:right w:w="108" w:type="dxa"/>
          </w:tblCellMar>
        </w:tblPrEx>
        <w:trPr>
          <w:trHeight w:val="20" w:hRule="atLeast"/>
        </w:trPr>
        <w:tc>
          <w:tcPr>
            <w:tcW w:w="474" w:type="dxa"/>
            <w:vMerge w:val="continue"/>
            <w:tcBorders>
              <w:top w:val="single" w:color="000000" w:sz="4" w:space="0"/>
              <w:left w:val="single" w:color="auto" w:sz="4" w:space="0"/>
              <w:bottom w:val="single" w:color="000000" w:sz="4" w:space="0"/>
              <w:right w:val="single" w:color="auto" w:sz="4" w:space="0"/>
            </w:tcBorders>
            <w:shd w:val="clear" w:color="auto" w:fill="B9D2A0"/>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县城污水处理厂集中处理率（%） </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85</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xml:space="preserve">约束性 </w:t>
            </w:r>
          </w:p>
        </w:tc>
      </w:tr>
      <w:tr>
        <w:tblPrEx>
          <w:tblCellMar>
            <w:top w:w="0" w:type="dxa"/>
            <w:left w:w="108" w:type="dxa"/>
            <w:bottom w:w="0" w:type="dxa"/>
            <w:right w:w="108" w:type="dxa"/>
          </w:tblCellMar>
        </w:tblPrEx>
        <w:trPr>
          <w:trHeight w:val="20" w:hRule="atLeast"/>
        </w:trPr>
        <w:tc>
          <w:tcPr>
            <w:tcW w:w="474" w:type="dxa"/>
            <w:vMerge w:val="continue"/>
            <w:tcBorders>
              <w:top w:val="single" w:color="000000" w:sz="4" w:space="0"/>
              <w:left w:val="single" w:color="auto" w:sz="4" w:space="0"/>
              <w:bottom w:val="single" w:color="000000" w:sz="4" w:space="0"/>
              <w:right w:val="single" w:color="auto" w:sz="4" w:space="0"/>
            </w:tcBorders>
            <w:shd w:val="clear" w:color="auto" w:fill="B9D2A0"/>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000000" w:fill="E2F0D9"/>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水域环境长治久清</w:t>
            </w:r>
          </w:p>
        </w:tc>
        <w:tc>
          <w:tcPr>
            <w:tcW w:w="3260" w:type="dxa"/>
            <w:vMerge w:val="restart"/>
            <w:tcBorders>
              <w:top w:val="nil"/>
              <w:left w:val="nil"/>
              <w:right w:val="single" w:color="auto" w:sz="4" w:space="0"/>
            </w:tcBorders>
            <w:shd w:val="clear" w:color="auto" w:fill="auto"/>
            <w:noWrap/>
            <w:vAlign w:val="center"/>
          </w:tcPr>
          <w:p>
            <w:pPr>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城市水环境质量优于V类比例（%）</w:t>
            </w:r>
          </w:p>
        </w:tc>
        <w:tc>
          <w:tcPr>
            <w:tcW w:w="698" w:type="dxa"/>
            <w:vMerge w:val="restart"/>
            <w:tcBorders>
              <w:top w:val="nil"/>
              <w:left w:val="nil"/>
              <w:right w:val="single" w:color="auto" w:sz="4" w:space="0"/>
            </w:tcBorders>
            <w:shd w:val="clear" w:color="000000" w:fill="FFFFFF"/>
            <w:vAlign w:val="center"/>
          </w:tcPr>
          <w:p>
            <w:pPr>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88</w:t>
            </w:r>
          </w:p>
        </w:tc>
        <w:tc>
          <w:tcPr>
            <w:tcW w:w="860" w:type="dxa"/>
            <w:vMerge w:val="restart"/>
            <w:tcBorders>
              <w:top w:val="nil"/>
              <w:left w:val="nil"/>
              <w:right w:val="single" w:color="auto" w:sz="4" w:space="0"/>
            </w:tcBorders>
            <w:shd w:val="clear" w:color="000000" w:fill="FFFFFF"/>
            <w:vAlign w:val="center"/>
          </w:tcPr>
          <w:p>
            <w:pPr>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98</w:t>
            </w:r>
          </w:p>
        </w:tc>
        <w:tc>
          <w:tcPr>
            <w:tcW w:w="852" w:type="dxa"/>
            <w:vMerge w:val="restart"/>
            <w:tcBorders>
              <w:top w:val="nil"/>
              <w:left w:val="nil"/>
              <w:right w:val="single" w:color="auto" w:sz="4" w:space="0"/>
            </w:tcBorders>
            <w:shd w:val="clear" w:color="000000" w:fill="FFFFFF"/>
            <w:vAlign w:val="center"/>
          </w:tcPr>
          <w:p>
            <w:pPr>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约束性</w:t>
            </w:r>
          </w:p>
        </w:tc>
      </w:tr>
      <w:tr>
        <w:tblPrEx>
          <w:tblCellMar>
            <w:top w:w="0" w:type="dxa"/>
            <w:left w:w="108" w:type="dxa"/>
            <w:bottom w:w="0" w:type="dxa"/>
            <w:right w:w="108" w:type="dxa"/>
          </w:tblCellMar>
        </w:tblPrEx>
        <w:trPr>
          <w:trHeight w:val="20" w:hRule="atLeast"/>
        </w:trPr>
        <w:tc>
          <w:tcPr>
            <w:tcW w:w="474" w:type="dxa"/>
            <w:vMerge w:val="continue"/>
            <w:tcBorders>
              <w:top w:val="single" w:color="000000" w:sz="4" w:space="0"/>
              <w:left w:val="single" w:color="auto" w:sz="4" w:space="0"/>
              <w:bottom w:val="single" w:color="000000" w:sz="4" w:space="0"/>
              <w:right w:val="single" w:color="auto" w:sz="4" w:space="0"/>
            </w:tcBorders>
            <w:shd w:val="clear" w:color="auto" w:fill="B9D2A0"/>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vMerge w:val="continue"/>
            <w:tcBorders>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p>
        </w:tc>
        <w:tc>
          <w:tcPr>
            <w:tcW w:w="698" w:type="dxa"/>
            <w:vMerge w:val="continue"/>
            <w:tcBorders>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p>
        </w:tc>
        <w:tc>
          <w:tcPr>
            <w:tcW w:w="860" w:type="dxa"/>
            <w:vMerge w:val="continue"/>
            <w:tcBorders>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p>
        </w:tc>
        <w:tc>
          <w:tcPr>
            <w:tcW w:w="852" w:type="dxa"/>
            <w:vMerge w:val="continue"/>
            <w:tcBorders>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微软雅黑" w:hAnsi="微软雅黑" w:eastAsia="微软雅黑" w:cs="宋体"/>
                <w:kern w:val="0"/>
                <w:sz w:val="18"/>
                <w:szCs w:val="28"/>
              </w:rPr>
            </w:pPr>
          </w:p>
        </w:tc>
      </w:tr>
      <w:tr>
        <w:tblPrEx>
          <w:tblCellMar>
            <w:top w:w="0" w:type="dxa"/>
            <w:left w:w="108" w:type="dxa"/>
            <w:bottom w:w="0" w:type="dxa"/>
            <w:right w:w="108" w:type="dxa"/>
          </w:tblCellMar>
        </w:tblPrEx>
        <w:trPr>
          <w:trHeight w:val="20" w:hRule="atLeast"/>
        </w:trPr>
        <w:tc>
          <w:tcPr>
            <w:tcW w:w="474" w:type="dxa"/>
            <w:vMerge w:val="restart"/>
            <w:tcBorders>
              <w:top w:val="nil"/>
              <w:left w:val="single" w:color="auto" w:sz="4" w:space="0"/>
              <w:right w:val="single" w:color="auto" w:sz="4" w:space="0"/>
            </w:tcBorders>
            <w:shd w:val="clear" w:color="000000" w:fill="C6E0B4"/>
            <w:noWrap/>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精细管养</w:t>
            </w:r>
          </w:p>
        </w:tc>
        <w:tc>
          <w:tcPr>
            <w:tcW w:w="1761" w:type="dxa"/>
            <w:vMerge w:val="restart"/>
            <w:tcBorders>
              <w:top w:val="nil"/>
              <w:left w:val="single" w:color="auto" w:sz="4" w:space="0"/>
              <w:bottom w:val="single" w:color="000000" w:sz="4" w:space="0"/>
              <w:right w:val="single" w:color="auto" w:sz="4" w:space="0"/>
            </w:tcBorders>
            <w:shd w:val="clear" w:color="000000" w:fill="E2EFDA"/>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城市道桥完好安全</w:t>
            </w: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Arial" w:hAnsi="Arial" w:eastAsia="等线" w:cs="Arial"/>
                <w:kern w:val="0"/>
                <w:sz w:val="18"/>
                <w:szCs w:val="28"/>
              </w:rPr>
            </w:pPr>
            <w:r>
              <w:rPr>
                <w:rFonts w:ascii="Arial" w:hAnsi="Arial" w:eastAsia="等线" w:cs="Arial"/>
                <w:kern w:val="0"/>
                <w:sz w:val="18"/>
                <w:szCs w:val="28"/>
              </w:rPr>
              <w:t>快速路、主干路、次干路道路完好率（</w:t>
            </w:r>
            <w:r>
              <w:rPr>
                <w:rFonts w:ascii="Calibri" w:hAnsi="Calibri" w:eastAsia="等线" w:cs="Arial"/>
                <w:kern w:val="0"/>
                <w:sz w:val="18"/>
                <w:szCs w:val="28"/>
              </w:rPr>
              <w:t>%</w:t>
            </w:r>
            <w:r>
              <w:rPr>
                <w:rFonts w:ascii="Arial" w:hAnsi="Arial" w:eastAsia="等线" w:cs="Arial"/>
                <w:kern w:val="0"/>
                <w:sz w:val="18"/>
                <w:szCs w:val="28"/>
              </w:rPr>
              <w:t>）</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szCs w:val="28"/>
              </w:rPr>
            </w:pPr>
            <w:r>
              <w:rPr>
                <w:rFonts w:hint="eastAsia" w:ascii="等线" w:hAnsi="等线" w:eastAsia="等线"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ascii="Calibri" w:hAnsi="Calibri" w:eastAsia="等线" w:cs="宋体"/>
                <w:kern w:val="0"/>
                <w:sz w:val="18"/>
                <w:szCs w:val="28"/>
              </w:rPr>
              <w:t>95</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ascii="Calibri" w:hAnsi="Calibri" w:eastAsia="等线" w:cs="宋体"/>
                <w:kern w:val="0"/>
                <w:sz w:val="18"/>
                <w:szCs w:val="28"/>
              </w:rPr>
              <w:t>98</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ascii="Arial" w:hAnsi="Arial" w:eastAsia="等线" w:cs="Arial"/>
                <w:kern w:val="0"/>
                <w:sz w:val="18"/>
                <w:szCs w:val="28"/>
              </w:rPr>
              <w:t>约束性</w:t>
            </w:r>
          </w:p>
        </w:tc>
      </w:tr>
      <w:tr>
        <w:tblPrEx>
          <w:tblCellMar>
            <w:top w:w="0" w:type="dxa"/>
            <w:left w:w="108" w:type="dxa"/>
            <w:bottom w:w="0" w:type="dxa"/>
            <w:right w:w="108" w:type="dxa"/>
          </w:tblCellMar>
        </w:tblPrEx>
        <w:trPr>
          <w:trHeight w:val="20" w:hRule="atLeast"/>
        </w:trPr>
        <w:tc>
          <w:tcPr>
            <w:tcW w:w="474" w:type="dxa"/>
            <w:vMerge w:val="continue"/>
            <w:tcBorders>
              <w:left w:val="single" w:color="auto"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Arial" w:hAnsi="Arial" w:eastAsia="等线" w:cs="Arial"/>
                <w:kern w:val="0"/>
                <w:sz w:val="18"/>
                <w:szCs w:val="28"/>
              </w:rPr>
            </w:pPr>
            <w:r>
              <w:rPr>
                <w:rFonts w:ascii="Arial" w:hAnsi="Arial" w:eastAsia="等线" w:cs="Arial"/>
                <w:kern w:val="0"/>
                <w:sz w:val="18"/>
                <w:szCs w:val="28"/>
              </w:rPr>
              <w:t>桥梁设施安全无重大事故率（</w:t>
            </w:r>
            <w:r>
              <w:rPr>
                <w:rFonts w:ascii="Calibri" w:hAnsi="Calibri" w:eastAsia="等线" w:cs="Arial"/>
                <w:kern w:val="0"/>
                <w:sz w:val="18"/>
                <w:szCs w:val="28"/>
              </w:rPr>
              <w:t>%</w:t>
            </w:r>
            <w:r>
              <w:rPr>
                <w:rFonts w:ascii="Arial" w:hAnsi="Arial" w:eastAsia="等线" w:cs="Arial"/>
                <w:kern w:val="0"/>
                <w:sz w:val="18"/>
                <w:szCs w:val="28"/>
              </w:rPr>
              <w:t>）</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szCs w:val="28"/>
              </w:rPr>
            </w:pPr>
            <w:r>
              <w:rPr>
                <w:rFonts w:hint="eastAsia" w:ascii="等线" w:hAnsi="等线" w:eastAsia="等线"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ascii="Calibri" w:hAnsi="Calibri" w:eastAsia="等线" w:cs="宋体"/>
                <w:kern w:val="0"/>
                <w:sz w:val="18"/>
                <w:szCs w:val="28"/>
              </w:rPr>
              <w:t>100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ascii="Calibri" w:hAnsi="Calibri" w:eastAsia="等线" w:cs="宋体"/>
                <w:kern w:val="0"/>
                <w:sz w:val="18"/>
                <w:szCs w:val="28"/>
              </w:rPr>
              <w:t>100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ascii="Arial" w:hAnsi="Arial" w:eastAsia="等线" w:cs="Arial"/>
                <w:kern w:val="0"/>
                <w:sz w:val="18"/>
                <w:szCs w:val="28"/>
              </w:rPr>
              <w:t>约束性</w:t>
            </w:r>
          </w:p>
        </w:tc>
      </w:tr>
      <w:tr>
        <w:tblPrEx>
          <w:tblCellMar>
            <w:top w:w="0" w:type="dxa"/>
            <w:left w:w="108" w:type="dxa"/>
            <w:bottom w:w="0" w:type="dxa"/>
            <w:right w:w="108" w:type="dxa"/>
          </w:tblCellMar>
        </w:tblPrEx>
        <w:trPr>
          <w:trHeight w:val="20" w:hRule="atLeast"/>
        </w:trPr>
        <w:tc>
          <w:tcPr>
            <w:tcW w:w="474" w:type="dxa"/>
            <w:vMerge w:val="continue"/>
            <w:tcBorders>
              <w:left w:val="single" w:color="auto"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Arial" w:hAnsi="Arial" w:eastAsia="等线" w:cs="Arial"/>
                <w:kern w:val="0"/>
                <w:sz w:val="18"/>
                <w:szCs w:val="28"/>
              </w:rPr>
            </w:pPr>
            <w:r>
              <w:rPr>
                <w:rFonts w:ascii="Arial" w:hAnsi="Arial" w:eastAsia="等线" w:cs="Arial"/>
                <w:kern w:val="0"/>
                <w:sz w:val="18"/>
                <w:szCs w:val="28"/>
              </w:rPr>
              <w:t>背街小巷道路完好率（</w:t>
            </w:r>
            <w:r>
              <w:rPr>
                <w:rFonts w:ascii="Calibri" w:hAnsi="Calibri" w:eastAsia="等线" w:cs="Arial"/>
                <w:kern w:val="0"/>
                <w:sz w:val="18"/>
                <w:szCs w:val="28"/>
              </w:rPr>
              <w:t>%</w:t>
            </w:r>
            <w:r>
              <w:rPr>
                <w:rFonts w:ascii="Arial" w:hAnsi="Arial" w:eastAsia="等线" w:cs="Arial"/>
                <w:kern w:val="0"/>
                <w:sz w:val="18"/>
                <w:szCs w:val="28"/>
              </w:rPr>
              <w:t>）</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szCs w:val="28"/>
              </w:rPr>
            </w:pPr>
            <w:r>
              <w:rPr>
                <w:rFonts w:hint="eastAsia" w:ascii="等线" w:hAnsi="等线" w:eastAsia="等线"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ascii="Calibri" w:hAnsi="Calibri" w:eastAsia="等线" w:cs="宋体"/>
                <w:kern w:val="0"/>
                <w:sz w:val="18"/>
                <w:szCs w:val="28"/>
              </w:rPr>
              <w:t>85</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ascii="Calibri" w:hAnsi="Calibri" w:eastAsia="等线" w:cs="宋体"/>
                <w:kern w:val="0"/>
                <w:sz w:val="18"/>
                <w:szCs w:val="28"/>
              </w:rPr>
              <w:t>90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ascii="Arial" w:hAnsi="Arial" w:eastAsia="等线" w:cs="Arial"/>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left w:val="single" w:color="auto"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tcBorders>
              <w:top w:val="nil"/>
              <w:left w:val="nil"/>
              <w:bottom w:val="single" w:color="auto" w:sz="4" w:space="0"/>
              <w:right w:val="single" w:color="auto" w:sz="4" w:space="0"/>
            </w:tcBorders>
            <w:shd w:val="clear" w:color="000000" w:fill="E2EFDA"/>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城市家具美观智能</w:t>
            </w: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Arial" w:hAnsi="Arial" w:eastAsia="等线" w:cs="Arial"/>
                <w:kern w:val="0"/>
                <w:sz w:val="18"/>
                <w:szCs w:val="28"/>
              </w:rPr>
            </w:pPr>
            <w:r>
              <w:rPr>
                <w:rFonts w:hint="eastAsia" w:ascii="Arial" w:hAnsi="Arial" w:eastAsia="等线" w:cs="Arial"/>
                <w:kern w:val="0"/>
                <w:sz w:val="18"/>
                <w:szCs w:val="28"/>
              </w:rPr>
              <w:t>建成区老旧</w:t>
            </w:r>
            <w:r>
              <w:rPr>
                <w:rFonts w:ascii="Arial" w:hAnsi="Arial" w:eastAsia="等线" w:cs="Arial"/>
                <w:kern w:val="0"/>
                <w:sz w:val="18"/>
                <w:szCs w:val="28"/>
              </w:rPr>
              <w:t>城市家具更新率（</w:t>
            </w:r>
            <w:r>
              <w:rPr>
                <w:rFonts w:ascii="Calibri" w:hAnsi="Calibri" w:eastAsia="等线" w:cs="Arial"/>
                <w:kern w:val="0"/>
                <w:sz w:val="18"/>
                <w:szCs w:val="28"/>
              </w:rPr>
              <w:t>%</w:t>
            </w:r>
            <w:r>
              <w:rPr>
                <w:rFonts w:ascii="Arial" w:hAnsi="Arial" w:eastAsia="等线" w:cs="Arial"/>
                <w:kern w:val="0"/>
                <w:sz w:val="18"/>
                <w:szCs w:val="28"/>
              </w:rPr>
              <w:t>）</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szCs w:val="28"/>
              </w:rPr>
            </w:pPr>
            <w:r>
              <w:rPr>
                <w:rFonts w:hint="eastAsia" w:ascii="等线" w:hAnsi="等线" w:eastAsia="等线"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ascii="Calibri" w:hAnsi="Calibri" w:eastAsia="等线" w:cs="宋体"/>
                <w:kern w:val="0"/>
                <w:sz w:val="18"/>
                <w:szCs w:val="28"/>
              </w:rPr>
              <w:t>50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hint="eastAsia" w:ascii="Calibri" w:hAnsi="Calibri" w:eastAsia="等线" w:cs="宋体"/>
                <w:kern w:val="0"/>
                <w:sz w:val="18"/>
                <w:szCs w:val="28"/>
              </w:rPr>
              <w:t>1</w:t>
            </w:r>
            <w:r>
              <w:rPr>
                <w:rFonts w:ascii="Calibri" w:hAnsi="Calibri" w:eastAsia="等线" w:cs="宋体"/>
                <w:kern w:val="0"/>
                <w:sz w:val="18"/>
                <w:szCs w:val="28"/>
              </w:rPr>
              <w:t>00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ascii="Arial" w:hAnsi="Arial" w:eastAsia="等线" w:cs="Arial"/>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left w:val="single" w:color="auto"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tcBorders>
              <w:top w:val="nil"/>
              <w:left w:val="nil"/>
              <w:bottom w:val="single" w:color="auto" w:sz="4" w:space="0"/>
              <w:right w:val="single" w:color="auto" w:sz="4" w:space="0"/>
            </w:tcBorders>
            <w:shd w:val="clear" w:color="000000" w:fill="E2EFDA"/>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地下管网建档有序</w:t>
            </w: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Arial" w:hAnsi="Arial" w:eastAsia="等线" w:cs="Arial"/>
                <w:kern w:val="0"/>
                <w:sz w:val="18"/>
                <w:szCs w:val="28"/>
              </w:rPr>
            </w:pPr>
            <w:r>
              <w:rPr>
                <w:rFonts w:ascii="Arial" w:hAnsi="Arial" w:eastAsia="等线" w:cs="Arial"/>
                <w:kern w:val="0"/>
                <w:sz w:val="18"/>
                <w:szCs w:val="28"/>
              </w:rPr>
              <w:t>中心城区地下管网普查建档覆盖（</w:t>
            </w:r>
            <w:r>
              <w:rPr>
                <w:rFonts w:ascii="Calibri" w:hAnsi="Calibri" w:eastAsia="等线" w:cs="Arial"/>
                <w:kern w:val="0"/>
                <w:sz w:val="18"/>
                <w:szCs w:val="28"/>
              </w:rPr>
              <w:t>%</w:t>
            </w:r>
            <w:r>
              <w:rPr>
                <w:rFonts w:ascii="Arial" w:hAnsi="Arial" w:eastAsia="等线" w:cs="Arial"/>
                <w:kern w:val="0"/>
                <w:sz w:val="18"/>
                <w:szCs w:val="28"/>
              </w:rPr>
              <w:t>）</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szCs w:val="28"/>
              </w:rPr>
            </w:pPr>
            <w:r>
              <w:rPr>
                <w:rFonts w:hint="eastAsia" w:ascii="等线" w:hAnsi="等线" w:eastAsia="等线" w:cs="宋体"/>
                <w:kern w:val="0"/>
                <w:sz w:val="18"/>
                <w:szCs w:val="28"/>
              </w:rPr>
              <w:t>44.9</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ascii="Calibri" w:hAnsi="Calibri" w:eastAsia="等线" w:cs="宋体"/>
                <w:kern w:val="0"/>
                <w:sz w:val="18"/>
                <w:szCs w:val="28"/>
              </w:rPr>
              <w:t>80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ascii="Calibri" w:hAnsi="Calibri" w:eastAsia="等线" w:cs="宋体"/>
                <w:kern w:val="0"/>
                <w:sz w:val="18"/>
                <w:szCs w:val="28"/>
              </w:rPr>
              <w:t>95</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ascii="Arial" w:hAnsi="Arial" w:eastAsia="等线" w:cs="Arial"/>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left w:val="single" w:color="auto"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nil"/>
              <w:right w:val="single" w:color="auto" w:sz="4" w:space="0"/>
            </w:tcBorders>
            <w:shd w:val="clear" w:color="000000" w:fill="E2EFDA"/>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停车</w:t>
            </w: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Arial" w:hAnsi="Arial" w:eastAsia="等线" w:cs="Arial"/>
                <w:kern w:val="0"/>
                <w:sz w:val="18"/>
                <w:szCs w:val="28"/>
              </w:rPr>
            </w:pPr>
            <w:r>
              <w:rPr>
                <w:rFonts w:hint="eastAsia" w:ascii="微软雅黑" w:hAnsi="微软雅黑" w:eastAsia="微软雅黑" w:cs="宋体"/>
                <w:kern w:val="0"/>
                <w:sz w:val="18"/>
                <w:szCs w:val="28"/>
              </w:rPr>
              <w:t>停车泊位新增数（万个）</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hint="eastAsia" w:ascii="微软雅黑" w:hAnsi="微软雅黑" w:eastAsia="微软雅黑" w:cs="宋体"/>
                <w:kern w:val="0"/>
                <w:sz w:val="18"/>
                <w:szCs w:val="28"/>
              </w:rPr>
              <w:t>12</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hint="eastAsia" w:ascii="微软雅黑" w:hAnsi="微软雅黑" w:eastAsia="微软雅黑" w:cs="宋体"/>
                <w:kern w:val="0"/>
                <w:sz w:val="18"/>
                <w:szCs w:val="28"/>
              </w:rPr>
              <w:t>-</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continue"/>
            <w:tcBorders>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left w:val="nil"/>
              <w:bottom w:val="single" w:color="auto" w:sz="4" w:space="0"/>
              <w:right w:val="single" w:color="auto" w:sz="4" w:space="0"/>
            </w:tcBorders>
            <w:shd w:val="clear" w:color="000000" w:fill="E2EFDA"/>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000000" w:fill="FFFFFF"/>
            <w:vAlign w:val="center"/>
          </w:tcPr>
          <w:p>
            <w:pPr>
              <w:widowControl/>
              <w:spacing w:line="0" w:lineRule="atLeast"/>
              <w:jc w:val="left"/>
              <w:rPr>
                <w:rFonts w:ascii="Arial" w:hAnsi="Arial" w:eastAsia="等线" w:cs="Arial"/>
                <w:kern w:val="0"/>
                <w:sz w:val="18"/>
                <w:szCs w:val="28"/>
              </w:rPr>
            </w:pPr>
            <w:r>
              <w:rPr>
                <w:rFonts w:hint="eastAsia" w:ascii="微软雅黑" w:hAnsi="微软雅黑" w:eastAsia="微软雅黑" w:cs="宋体"/>
                <w:kern w:val="0"/>
                <w:sz w:val="18"/>
                <w:szCs w:val="28"/>
              </w:rPr>
              <w:t>新建公共停车场充电设施配置比例(%）</w:t>
            </w:r>
          </w:p>
        </w:tc>
        <w:tc>
          <w:tcPr>
            <w:tcW w:w="698" w:type="dxa"/>
            <w:tcBorders>
              <w:top w:val="nil"/>
              <w:left w:val="nil"/>
              <w:bottom w:val="single" w:color="auto" w:sz="4" w:space="0"/>
              <w:right w:val="single" w:color="auto" w:sz="4" w:space="0"/>
            </w:tcBorders>
            <w:shd w:val="clear" w:color="000000" w:fill="FFFFFF"/>
            <w:noWrap/>
            <w:vAlign w:val="center"/>
          </w:tcPr>
          <w:p>
            <w:pPr>
              <w:widowControl/>
              <w:spacing w:line="0" w:lineRule="atLeast"/>
              <w:jc w:val="center"/>
              <w:rPr>
                <w:rFonts w:ascii="等线" w:hAnsi="等线" w:eastAsia="等线" w:cs="宋体"/>
                <w:kern w:val="0"/>
                <w:sz w:val="18"/>
                <w:szCs w:val="28"/>
              </w:rPr>
            </w:pPr>
          </w:p>
        </w:tc>
        <w:tc>
          <w:tcPr>
            <w:tcW w:w="860"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hint="eastAsia" w:ascii="微软雅黑" w:hAnsi="微软雅黑" w:eastAsia="微软雅黑" w:cs="宋体"/>
                <w:kern w:val="0"/>
                <w:sz w:val="18"/>
                <w:szCs w:val="28"/>
              </w:rPr>
              <w:t>10</w:t>
            </w:r>
          </w:p>
        </w:tc>
        <w:tc>
          <w:tcPr>
            <w:tcW w:w="852"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Calibri" w:hAnsi="Calibri" w:eastAsia="等线" w:cs="宋体"/>
                <w:kern w:val="0"/>
                <w:sz w:val="18"/>
                <w:szCs w:val="28"/>
              </w:rPr>
            </w:pPr>
            <w:r>
              <w:rPr>
                <w:rFonts w:hint="eastAsia" w:ascii="微软雅黑" w:hAnsi="微软雅黑" w:eastAsia="微软雅黑" w:cs="宋体"/>
                <w:kern w:val="0"/>
                <w:sz w:val="18"/>
                <w:szCs w:val="28"/>
              </w:rPr>
              <w:t>15</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hint="eastAsia" w:ascii="微软雅黑" w:hAnsi="微软雅黑" w:eastAsia="微软雅黑" w:cs="宋体"/>
                <w:kern w:val="0"/>
                <w:sz w:val="18"/>
                <w:szCs w:val="28"/>
              </w:rPr>
              <w:t xml:space="preserve">预期性 </w:t>
            </w:r>
          </w:p>
        </w:tc>
      </w:tr>
      <w:tr>
        <w:tblPrEx>
          <w:tblCellMar>
            <w:top w:w="0" w:type="dxa"/>
            <w:left w:w="108" w:type="dxa"/>
            <w:bottom w:w="0" w:type="dxa"/>
            <w:right w:w="108" w:type="dxa"/>
          </w:tblCellMar>
        </w:tblPrEx>
        <w:trPr>
          <w:trHeight w:val="20" w:hRule="atLeast"/>
        </w:trPr>
        <w:tc>
          <w:tcPr>
            <w:tcW w:w="474" w:type="dxa"/>
            <w:vMerge w:val="restart"/>
            <w:tcBorders>
              <w:top w:val="single" w:color="auto" w:sz="4" w:space="0"/>
              <w:left w:val="single" w:color="auto" w:sz="4" w:space="0"/>
              <w:bottom w:val="single" w:color="000000" w:sz="4" w:space="0"/>
              <w:right w:val="single" w:color="auto" w:sz="4" w:space="0"/>
            </w:tcBorders>
            <w:shd w:val="clear" w:color="auto" w:fill="B9D2A0"/>
            <w:vAlign w:val="center"/>
          </w:tcPr>
          <w:p>
            <w:pPr>
              <w:widowControl/>
              <w:spacing w:line="0" w:lineRule="atLeast"/>
              <w:jc w:val="center"/>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文明执法</w:t>
            </w:r>
          </w:p>
        </w:tc>
        <w:tc>
          <w:tcPr>
            <w:tcW w:w="1761" w:type="dxa"/>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执法权力清单明晰</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执法属地化实现率（%）</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w:t>
            </w:r>
            <w:r>
              <w:rPr>
                <w:rFonts w:ascii="微软雅黑" w:hAnsi="微软雅黑" w:eastAsia="微软雅黑" w:cs="宋体"/>
                <w:kern w:val="0"/>
                <w:sz w:val="18"/>
                <w:szCs w:val="28"/>
              </w:rPr>
              <w:t>8</w:t>
            </w:r>
            <w:r>
              <w:rPr>
                <w:rFonts w:hint="eastAsia" w:ascii="微软雅黑" w:hAnsi="微软雅黑" w:eastAsia="微软雅黑" w:cs="宋体"/>
                <w:kern w:val="0"/>
                <w:sz w:val="18"/>
                <w:szCs w:val="28"/>
              </w:rPr>
              <w:t>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w:t>
            </w:r>
            <w:r>
              <w:rPr>
                <w:rFonts w:ascii="微软雅黑" w:hAnsi="微软雅黑" w:eastAsia="微软雅黑" w:cs="宋体"/>
                <w:kern w:val="0"/>
                <w:sz w:val="18"/>
                <w:szCs w:val="28"/>
              </w:rPr>
              <w:t>8</w:t>
            </w:r>
            <w:r>
              <w:rPr>
                <w:rFonts w:hint="eastAsia" w:ascii="微软雅黑" w:hAnsi="微软雅黑" w:eastAsia="微软雅黑" w:cs="宋体"/>
                <w:kern w:val="0"/>
                <w:sz w:val="18"/>
                <w:szCs w:val="28"/>
              </w:rPr>
              <w:t>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ascii="Arial" w:hAnsi="Arial" w:eastAsia="等线" w:cs="Arial"/>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top w:val="single" w:color="000000" w:sz="4" w:space="0"/>
              <w:left w:val="single" w:color="auto" w:sz="4" w:space="0"/>
              <w:bottom w:val="single" w:color="000000" w:sz="4" w:space="0"/>
              <w:right w:val="single" w:color="auto" w:sz="4" w:space="0"/>
            </w:tcBorders>
            <w:shd w:val="clear" w:color="auto" w:fill="B9D2A0"/>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市民满意度明显提升</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城管违法案件及时查处率（%）</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92</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96</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ascii="Arial" w:hAnsi="Arial" w:eastAsia="等线" w:cs="Arial"/>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top w:val="single" w:color="000000" w:sz="4" w:space="0"/>
              <w:left w:val="single" w:color="auto" w:sz="4" w:space="0"/>
              <w:bottom w:val="single" w:color="000000" w:sz="4" w:space="0"/>
              <w:right w:val="single" w:color="auto" w:sz="4" w:space="0"/>
            </w:tcBorders>
            <w:shd w:val="clear" w:color="auto" w:fill="B9D2A0"/>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城市执法市民投诉处理满意率（%）</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ascii="Arial" w:hAnsi="Arial" w:eastAsia="等线" w:cs="Arial"/>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top w:val="single" w:color="000000" w:sz="4" w:space="0"/>
              <w:left w:val="single" w:color="auto" w:sz="4" w:space="0"/>
              <w:bottom w:val="single" w:color="000000" w:sz="4" w:space="0"/>
              <w:right w:val="single" w:color="auto" w:sz="4" w:space="0"/>
            </w:tcBorders>
            <w:shd w:val="clear" w:color="auto" w:fill="B9D2A0"/>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restart"/>
            <w:tcBorders>
              <w:top w:val="nil"/>
              <w:left w:val="single" w:color="auto" w:sz="4" w:space="0"/>
              <w:bottom w:val="single" w:color="000000" w:sz="4" w:space="0"/>
              <w:right w:val="single" w:color="auto" w:sz="4" w:space="0"/>
            </w:tcBorders>
            <w:shd w:val="clear" w:color="auto" w:fill="auto"/>
            <w:vAlign w:val="center"/>
          </w:tcPr>
          <w:p>
            <w:pPr>
              <w:widowControl/>
              <w:spacing w:line="0" w:lineRule="atLeast"/>
              <w:jc w:val="left"/>
              <w:rPr>
                <w:rFonts w:ascii="微软雅黑" w:hAnsi="微软雅黑" w:eastAsia="微软雅黑" w:cs="宋体"/>
                <w:b/>
                <w:bCs/>
                <w:kern w:val="0"/>
                <w:sz w:val="18"/>
                <w:szCs w:val="28"/>
              </w:rPr>
            </w:pPr>
            <w:r>
              <w:rPr>
                <w:rFonts w:hint="eastAsia" w:ascii="微软雅黑" w:hAnsi="微软雅黑" w:eastAsia="微软雅黑" w:cs="宋体"/>
                <w:b/>
                <w:bCs/>
                <w:kern w:val="0"/>
                <w:sz w:val="18"/>
                <w:szCs w:val="28"/>
              </w:rPr>
              <w:t>城市执法队伍建设加强</w:t>
            </w: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执法队伍岗前培训率（%）</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90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100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ascii="Arial" w:hAnsi="Arial" w:eastAsia="等线" w:cs="Arial"/>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top w:val="single" w:color="000000" w:sz="4" w:space="0"/>
              <w:left w:val="single" w:color="auto" w:sz="4" w:space="0"/>
              <w:bottom w:val="single" w:color="000000" w:sz="4" w:space="0"/>
              <w:right w:val="single" w:color="auto" w:sz="4" w:space="0"/>
            </w:tcBorders>
            <w:shd w:val="clear" w:color="auto" w:fill="B9D2A0"/>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城管执法人员的配备比例（万分之）</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3.5</w:t>
            </w: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4</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5</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ascii="Arial" w:hAnsi="Arial" w:eastAsia="等线" w:cs="Arial"/>
                <w:kern w:val="0"/>
                <w:sz w:val="18"/>
                <w:szCs w:val="28"/>
              </w:rPr>
              <w:t>预期性</w:t>
            </w:r>
          </w:p>
        </w:tc>
      </w:tr>
      <w:tr>
        <w:tblPrEx>
          <w:tblCellMar>
            <w:top w:w="0" w:type="dxa"/>
            <w:left w:w="108" w:type="dxa"/>
            <w:bottom w:w="0" w:type="dxa"/>
            <w:right w:w="108" w:type="dxa"/>
          </w:tblCellMar>
        </w:tblPrEx>
        <w:trPr>
          <w:trHeight w:val="20" w:hRule="atLeast"/>
        </w:trPr>
        <w:tc>
          <w:tcPr>
            <w:tcW w:w="474" w:type="dxa"/>
            <w:vMerge w:val="continue"/>
            <w:tcBorders>
              <w:top w:val="single" w:color="000000" w:sz="4" w:space="0"/>
              <w:left w:val="single" w:color="auto" w:sz="4" w:space="0"/>
              <w:bottom w:val="single" w:color="000000" w:sz="4" w:space="0"/>
              <w:right w:val="single" w:color="auto" w:sz="4" w:space="0"/>
            </w:tcBorders>
            <w:shd w:val="clear" w:color="auto" w:fill="B9D2A0"/>
            <w:vAlign w:val="center"/>
          </w:tcPr>
          <w:p>
            <w:pPr>
              <w:widowControl/>
              <w:spacing w:line="0" w:lineRule="atLeast"/>
              <w:jc w:val="left"/>
              <w:rPr>
                <w:rFonts w:ascii="微软雅黑" w:hAnsi="微软雅黑" w:eastAsia="微软雅黑" w:cs="宋体"/>
                <w:b/>
                <w:bCs/>
                <w:kern w:val="0"/>
                <w:sz w:val="18"/>
                <w:szCs w:val="28"/>
              </w:rPr>
            </w:pPr>
          </w:p>
        </w:tc>
        <w:tc>
          <w:tcPr>
            <w:tcW w:w="1761" w:type="dxa"/>
            <w:vMerge w:val="continue"/>
            <w:tcBorders>
              <w:top w:val="nil"/>
              <w:left w:val="single" w:color="auto" w:sz="4" w:space="0"/>
              <w:bottom w:val="single" w:color="000000" w:sz="4" w:space="0"/>
              <w:right w:val="single" w:color="auto" w:sz="4" w:space="0"/>
            </w:tcBorders>
            <w:vAlign w:val="center"/>
          </w:tcPr>
          <w:p>
            <w:pPr>
              <w:widowControl/>
              <w:spacing w:line="0" w:lineRule="atLeast"/>
              <w:jc w:val="left"/>
              <w:rPr>
                <w:rFonts w:ascii="微软雅黑" w:hAnsi="微软雅黑" w:eastAsia="微软雅黑" w:cs="宋体"/>
                <w:b/>
                <w:bCs/>
                <w:kern w:val="0"/>
                <w:sz w:val="18"/>
                <w:szCs w:val="28"/>
              </w:rPr>
            </w:pPr>
          </w:p>
        </w:tc>
        <w:tc>
          <w:tcPr>
            <w:tcW w:w="3260" w:type="dxa"/>
            <w:tcBorders>
              <w:top w:val="nil"/>
              <w:left w:val="nil"/>
              <w:bottom w:val="single" w:color="auto" w:sz="4" w:space="0"/>
              <w:right w:val="single" w:color="auto" w:sz="4" w:space="0"/>
            </w:tcBorders>
            <w:shd w:val="clear" w:color="auto" w:fill="auto"/>
            <w:noWrap/>
            <w:vAlign w:val="center"/>
          </w:tcPr>
          <w:p>
            <w:pPr>
              <w:widowControl/>
              <w:spacing w:line="0" w:lineRule="atLeast"/>
              <w:jc w:val="left"/>
              <w:rPr>
                <w:rFonts w:ascii="微软雅黑" w:hAnsi="微软雅黑" w:eastAsia="微软雅黑" w:cs="宋体"/>
                <w:kern w:val="0"/>
                <w:sz w:val="18"/>
                <w:szCs w:val="28"/>
              </w:rPr>
            </w:pPr>
            <w:r>
              <w:rPr>
                <w:rFonts w:hint="eastAsia" w:ascii="微软雅黑" w:hAnsi="微软雅黑" w:eastAsia="微软雅黑" w:cs="宋体"/>
                <w:kern w:val="0"/>
                <w:sz w:val="18"/>
                <w:szCs w:val="28"/>
              </w:rPr>
              <w:t>无人机监控面积覆盖率（%）</w:t>
            </w:r>
          </w:p>
        </w:tc>
        <w:tc>
          <w:tcPr>
            <w:tcW w:w="698"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　</w:t>
            </w:r>
          </w:p>
        </w:tc>
        <w:tc>
          <w:tcPr>
            <w:tcW w:w="860"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30</w:t>
            </w:r>
          </w:p>
        </w:tc>
        <w:tc>
          <w:tcPr>
            <w:tcW w:w="852" w:type="dxa"/>
            <w:tcBorders>
              <w:top w:val="nil"/>
              <w:left w:val="nil"/>
              <w:bottom w:val="single" w:color="auto" w:sz="4" w:space="0"/>
              <w:right w:val="single" w:color="auto" w:sz="4" w:space="0"/>
            </w:tcBorders>
            <w:shd w:val="clear" w:color="auto" w:fill="auto"/>
            <w:noWrap/>
            <w:vAlign w:val="center"/>
          </w:tcPr>
          <w:p>
            <w:pPr>
              <w:widowControl/>
              <w:spacing w:line="0" w:lineRule="atLeast"/>
              <w:jc w:val="center"/>
              <w:rPr>
                <w:rFonts w:ascii="微软雅黑" w:hAnsi="微软雅黑" w:eastAsia="微软雅黑" w:cs="宋体"/>
                <w:kern w:val="0"/>
                <w:sz w:val="18"/>
                <w:szCs w:val="28"/>
              </w:rPr>
            </w:pPr>
            <w:r>
              <w:rPr>
                <w:rFonts w:hint="eastAsia" w:ascii="微软雅黑" w:hAnsi="微软雅黑" w:eastAsia="微软雅黑" w:cs="宋体"/>
                <w:kern w:val="0"/>
                <w:sz w:val="18"/>
                <w:szCs w:val="28"/>
              </w:rPr>
              <w:t>80</w:t>
            </w:r>
          </w:p>
        </w:tc>
        <w:tc>
          <w:tcPr>
            <w:tcW w:w="977" w:type="dxa"/>
            <w:tcBorders>
              <w:top w:val="nil"/>
              <w:left w:val="nil"/>
              <w:bottom w:val="single" w:color="auto" w:sz="4" w:space="0"/>
              <w:right w:val="single" w:color="auto" w:sz="4" w:space="0"/>
            </w:tcBorders>
            <w:shd w:val="clear" w:color="000000" w:fill="FFFFFF"/>
            <w:vAlign w:val="center"/>
          </w:tcPr>
          <w:p>
            <w:pPr>
              <w:widowControl/>
              <w:spacing w:line="0" w:lineRule="atLeast"/>
              <w:jc w:val="center"/>
              <w:rPr>
                <w:rFonts w:ascii="Arial" w:hAnsi="Arial" w:eastAsia="等线" w:cs="Arial"/>
                <w:kern w:val="0"/>
                <w:sz w:val="18"/>
                <w:szCs w:val="28"/>
              </w:rPr>
            </w:pPr>
            <w:r>
              <w:rPr>
                <w:rFonts w:ascii="Arial" w:hAnsi="Arial" w:eastAsia="等线" w:cs="Arial"/>
                <w:kern w:val="0"/>
                <w:sz w:val="18"/>
                <w:szCs w:val="28"/>
              </w:rPr>
              <w:t>预期性</w:t>
            </w:r>
          </w:p>
        </w:tc>
      </w:tr>
    </w:tbl>
    <w:p>
      <w:pPr>
        <w:spacing w:beforeLines="50" w:afterLines="50" w:line="560" w:lineRule="exact"/>
        <w:jc w:val="left"/>
        <w:rPr>
          <w:rStyle w:val="20"/>
          <w:rFonts w:ascii="Times New Roman" w:hAnsi="Times New Roman" w:eastAsia="黑体" w:cs="Times New Roman"/>
          <w:b w:val="0"/>
          <w:kern w:val="0"/>
          <w:sz w:val="24"/>
          <w:szCs w:val="24"/>
        </w:rPr>
      </w:pPr>
    </w:p>
    <w:p>
      <w:pPr>
        <w:widowControl/>
        <w:jc w:val="left"/>
        <w:rPr>
          <w:rStyle w:val="20"/>
          <w:rFonts w:ascii="Times New Roman" w:hAnsi="Times New Roman" w:eastAsia="黑体" w:cs="Times New Roman"/>
          <w:b w:val="0"/>
          <w:kern w:val="0"/>
          <w:sz w:val="24"/>
          <w:szCs w:val="24"/>
        </w:rPr>
      </w:pPr>
      <w:r>
        <w:rPr>
          <w:rStyle w:val="20"/>
          <w:rFonts w:ascii="Times New Roman" w:hAnsi="Times New Roman" w:eastAsia="黑体" w:cs="Times New Roman"/>
          <w:b w:val="0"/>
          <w:kern w:val="0"/>
          <w:sz w:val="24"/>
          <w:szCs w:val="24"/>
        </w:rPr>
        <w:br w:type="page"/>
      </w:r>
    </w:p>
    <w:p>
      <w:pPr>
        <w:pStyle w:val="28"/>
        <w:numPr>
          <w:ilvl w:val="0"/>
          <w:numId w:val="1"/>
        </w:numPr>
        <w:spacing w:beforeLines="100" w:afterLines="100" w:line="360" w:lineRule="auto"/>
        <w:ind w:firstLineChars="0"/>
        <w:jc w:val="center"/>
        <w:outlineLvl w:val="0"/>
        <w:rPr>
          <w:rFonts w:ascii="Times New Roman" w:hAnsi="Times New Roman" w:eastAsia="黑体" w:cs="Times New Roman"/>
          <w:sz w:val="44"/>
          <w:szCs w:val="44"/>
        </w:rPr>
      </w:pPr>
      <w:bookmarkStart w:id="44" w:name="_Toc63246011"/>
      <w:r>
        <w:rPr>
          <w:rFonts w:hint="eastAsia" w:ascii="Times New Roman" w:hAnsi="Times New Roman" w:eastAsia="黑体" w:cs="Times New Roman"/>
          <w:sz w:val="44"/>
          <w:szCs w:val="44"/>
        </w:rPr>
        <w:t>重点发展任务</w:t>
      </w:r>
      <w:bookmarkEnd w:id="44"/>
    </w:p>
    <w:p>
      <w:pPr>
        <w:spacing w:beforeLines="50" w:afterLines="50" w:line="560" w:lineRule="exact"/>
        <w:jc w:val="center"/>
        <w:outlineLvl w:val="1"/>
        <w:rPr>
          <w:rFonts w:ascii="仿宋" w:hAnsi="仿宋" w:eastAsia="仿宋" w:cs="仿宋"/>
          <w:b/>
          <w:bCs/>
          <w:sz w:val="32"/>
          <w:szCs w:val="32"/>
        </w:rPr>
      </w:pPr>
      <w:bookmarkStart w:id="45" w:name="_Toc63246012"/>
      <w:r>
        <w:rPr>
          <w:rFonts w:hint="eastAsia" w:ascii="仿宋" w:hAnsi="仿宋" w:eastAsia="仿宋" w:cs="仿宋"/>
          <w:b/>
          <w:bCs/>
          <w:sz w:val="32"/>
          <w:szCs w:val="32"/>
        </w:rPr>
        <w:t>第一节 创新现代城市治理体系</w:t>
      </w:r>
      <w:bookmarkEnd w:id="45"/>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以综合治理为目标，规划为引领，智慧化平台建设、创新管理机制为手段，加大公众参与，形成高效便民的现代城市治理体系。</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以改革为牵引，以问题为导向，理顺城市管理体制机制，形成全天候、系统性、现代化的城市运行和安全保障体系。</w:t>
      </w:r>
    </w:p>
    <w:p>
      <w:pPr>
        <w:spacing w:line="560" w:lineRule="exact"/>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2021年，完成编制规划约30项；切实做好城市管理工作“重心下移”；初步构建起全市智慧城管的网络体系，智慧城管覆盖率100%；网格化管理完成80%；基本实现环卫保洁市场化，市政设施和园林绿化养护市场化率达80%以上；公众满意度在城市管理综合考评中的比重不低于70%。</w:t>
      </w:r>
    </w:p>
    <w:p>
      <w:pPr>
        <w:spacing w:line="560" w:lineRule="exact"/>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2025年，完成编制规划约10项；网格化管理完成100%，市场化率达90%；公众满意度在城市管理综合考评中的比重不低于80%； 建成“城市大脑”，实现对整座城市全方位、全过程动态监测；全市社区“互联社区”信息平台运行率达100%，居民满意率达95%以上。</w:t>
      </w:r>
    </w:p>
    <w:p>
      <w:pPr>
        <w:pStyle w:val="16"/>
        <w:numPr>
          <w:ilvl w:val="0"/>
          <w:numId w:val="27"/>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46" w:name="_Toc63246013"/>
      <w:r>
        <w:rPr>
          <w:rStyle w:val="20"/>
          <w:rFonts w:hint="eastAsia" w:ascii="仿宋" w:hAnsi="仿宋" w:eastAsia="仿宋" w:cs="仿宋"/>
          <w:bCs w:val="0"/>
          <w:sz w:val="32"/>
          <w:szCs w:val="32"/>
        </w:rPr>
        <w:t>明确功能和职责、构筑大城管格局</w:t>
      </w:r>
      <w:bookmarkEnd w:id="46"/>
    </w:p>
    <w:p>
      <w:pPr>
        <w:numPr>
          <w:ilvl w:val="0"/>
          <w:numId w:val="28"/>
        </w:numPr>
        <w:spacing w:line="560" w:lineRule="exact"/>
        <w:ind w:firstLine="642" w:firstLineChars="200"/>
        <w:rPr>
          <w:rStyle w:val="20"/>
          <w:rFonts w:ascii="仿宋" w:hAnsi="仿宋" w:eastAsia="仿宋" w:cs="仿宋"/>
          <w:bCs w:val="0"/>
          <w:kern w:val="0"/>
          <w:sz w:val="32"/>
          <w:szCs w:val="32"/>
        </w:rPr>
      </w:pPr>
      <w:r>
        <w:rPr>
          <w:rStyle w:val="20"/>
          <w:rFonts w:hint="eastAsia" w:ascii="仿宋" w:hAnsi="仿宋" w:eastAsia="仿宋" w:cs="仿宋"/>
          <w:bCs w:val="0"/>
          <w:kern w:val="0"/>
          <w:sz w:val="32"/>
          <w:szCs w:val="32"/>
        </w:rPr>
        <w:t>健全体系</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构建创新治理、靓丽市容、洁净环境、生态园林、安全公用、绿色水务、精细管养、文明执法等“八板块”的城管体系。加强对辖区内城市管理工作的业务指导、组织协调、监督检查和考核评价，形成统一决策、统一管理、统一执法的“大城管”格局。</w:t>
      </w:r>
    </w:p>
    <w:p>
      <w:pPr>
        <w:spacing w:line="560" w:lineRule="exact"/>
        <w:ind w:firstLine="642" w:firstLineChars="200"/>
        <w:rPr>
          <w:rStyle w:val="20"/>
          <w:rFonts w:ascii="仿宋" w:hAnsi="仿宋" w:eastAsia="仿宋" w:cs="仿宋"/>
          <w:bCs w:val="0"/>
          <w:kern w:val="0"/>
          <w:sz w:val="32"/>
          <w:szCs w:val="32"/>
        </w:rPr>
      </w:pPr>
      <w:r>
        <w:rPr>
          <w:rStyle w:val="20"/>
          <w:rFonts w:hint="eastAsia" w:ascii="仿宋" w:hAnsi="仿宋" w:eastAsia="仿宋" w:cs="仿宋"/>
          <w:bCs w:val="0"/>
          <w:kern w:val="0"/>
          <w:sz w:val="32"/>
          <w:szCs w:val="32"/>
        </w:rPr>
        <w:t>（二）明确职责边界</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进一步理顺市直各部门和城区的城市管理职责，建立健全有效的部门联动综合协调机制，加强城管执法部门与卫生、公安、工商、环保等专业部门的协作，建立完整的城市管理与行政执法相配套的工作体系。通过定期或者专项召开联席会议，研讨重点难点问题，通报交流执法情况，协调处理执法争议，形成高效联动、互相渗透、齐抓共管的良好工作格局。</w:t>
      </w:r>
    </w:p>
    <w:p>
      <w:pPr>
        <w:numPr>
          <w:ilvl w:val="0"/>
          <w:numId w:val="29"/>
        </w:numPr>
        <w:spacing w:line="560" w:lineRule="exact"/>
        <w:ind w:firstLine="642" w:firstLineChars="200"/>
        <w:rPr>
          <w:rStyle w:val="20"/>
          <w:rFonts w:ascii="仿宋" w:hAnsi="仿宋" w:eastAsia="仿宋" w:cs="仿宋"/>
          <w:bCs w:val="0"/>
          <w:kern w:val="0"/>
          <w:sz w:val="32"/>
          <w:szCs w:val="32"/>
        </w:rPr>
      </w:pPr>
      <w:r>
        <w:rPr>
          <w:rStyle w:val="20"/>
          <w:rFonts w:hint="eastAsia" w:ascii="仿宋" w:hAnsi="仿宋" w:eastAsia="仿宋" w:cs="仿宋"/>
          <w:bCs w:val="0"/>
          <w:kern w:val="0"/>
          <w:sz w:val="32"/>
          <w:szCs w:val="32"/>
        </w:rPr>
        <w:t>推进重心下移</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按照《南昌市城市管理工作重心下移实施方案》，强化城区政府在城市管理中的属地管理职能，切实做好城市管理工作“重心下移”，以实现城市管理精细化、长效化为目标。</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 xml:space="preserve">按照城市管理“市级为统揽，区级是关键，街道和社区是基础”的要求，构建“两级政府、三级管理、四级网络”的城市管理体系，合理划分市、区两级政府城市管理方面的事权，确立各城区政府在城市管理中的主导地位，全面提升城市管理工作行政效能与水平。 </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由市级下放至各区（县）级政府外，更多的城市管理职责、权利也将一并下移至区级政府。市级城市管理部门则只需履行城市管理中的综合组织协调、检查指导、监督考核等职责，简化为只当“裁判员”。市级政府只承担城市重大基础设施管理、专业性强的城市管理事项；其余管理事项交由各区（县）组织实施，区（县）一级主要负责执行，专注于城市管理的具体事务，当好城市管理工作的“运动员”。</w:t>
      </w:r>
    </w:p>
    <w:p>
      <w:pPr>
        <w:pStyle w:val="16"/>
        <w:numPr>
          <w:ilvl w:val="0"/>
          <w:numId w:val="27"/>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47" w:name="_Toc63246014"/>
      <w:r>
        <w:rPr>
          <w:rStyle w:val="20"/>
          <w:rFonts w:hint="eastAsia" w:ascii="仿宋" w:hAnsi="仿宋" w:eastAsia="仿宋" w:cs="仿宋"/>
          <w:bCs w:val="0"/>
          <w:sz w:val="32"/>
          <w:szCs w:val="32"/>
        </w:rPr>
        <w:t>合理编制规划、加强规划引领</w:t>
      </w:r>
      <w:bookmarkEnd w:id="47"/>
    </w:p>
    <w:p>
      <w:pPr>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要坚持“富规划、提品位、精管理”理念，继续强化城市管理顶层设计和指导，建立层次分明、门类齐全、衔接有序的城市管理领域规划体系。以《南昌市城市管理发展规划》作为城市管理总体规划，制定涉及城市治理、行政执法、城市容貌、市政设施、园林绿化、环境卫生、市政公用等7类专项规划，以总规为顶层设计，指导各类专项规划编制和实施，形成“1+</w:t>
      </w:r>
      <w:r>
        <w:rPr>
          <w:rStyle w:val="20"/>
          <w:rFonts w:ascii="仿宋" w:hAnsi="仿宋" w:eastAsia="仿宋" w:cs="仿宋"/>
          <w:b w:val="0"/>
          <w:kern w:val="0"/>
          <w:sz w:val="32"/>
          <w:szCs w:val="32"/>
        </w:rPr>
        <w:t>8</w:t>
      </w:r>
      <w:r>
        <w:rPr>
          <w:rStyle w:val="20"/>
          <w:rFonts w:hint="eastAsia" w:ascii="仿宋" w:hAnsi="仿宋" w:eastAsia="仿宋" w:cs="仿宋"/>
          <w:b w:val="0"/>
          <w:kern w:val="0"/>
          <w:sz w:val="32"/>
          <w:szCs w:val="32"/>
        </w:rPr>
        <w:t>+N” 城市管理规划体系。</w:t>
      </w:r>
    </w:p>
    <w:p>
      <w:pPr>
        <w:ind w:firstLine="640" w:firstLineChars="200"/>
        <w:rPr>
          <w:rStyle w:val="20"/>
          <w:rFonts w:ascii="仿宋" w:hAnsi="仿宋" w:eastAsia="仿宋" w:cs="仿宋"/>
          <w:b w:val="0"/>
          <w:kern w:val="0"/>
          <w:sz w:val="32"/>
          <w:szCs w:val="32"/>
        </w:rPr>
      </w:pPr>
    </w:p>
    <w:p>
      <w:pPr>
        <w:jc w:val="center"/>
        <w:rPr>
          <w:rStyle w:val="20"/>
          <w:rFonts w:ascii="仿宋" w:hAnsi="仿宋" w:eastAsia="仿宋" w:cs="仿宋"/>
          <w:b w:val="0"/>
          <w:kern w:val="0"/>
          <w:sz w:val="32"/>
          <w:szCs w:val="32"/>
        </w:rPr>
      </w:pPr>
      <w:r>
        <w:rPr>
          <w:rFonts w:ascii="仿宋" w:hAnsi="仿宋" w:eastAsia="仿宋" w:cs="仿宋"/>
          <w:bCs/>
          <w:kern w:val="0"/>
          <w:sz w:val="32"/>
          <w:szCs w:val="32"/>
        </w:rPr>
        <w:drawing>
          <wp:inline distT="0" distB="0" distL="0" distR="0">
            <wp:extent cx="5524500" cy="3352800"/>
            <wp:effectExtent l="0" t="0" r="0" b="0"/>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6"/>
                    <a:srcRect l="34880" t="27810" r="14589" b="17671"/>
                    <a:stretch>
                      <a:fillRect/>
                    </a:stretch>
                  </pic:blipFill>
                  <pic:spPr>
                    <a:xfrm>
                      <a:off x="0" y="0"/>
                      <a:ext cx="5524500" cy="3352800"/>
                    </a:xfrm>
                    <a:prstGeom prst="rect">
                      <a:avLst/>
                    </a:prstGeom>
                    <a:ln>
                      <a:noFill/>
                    </a:ln>
                  </pic:spPr>
                </pic:pic>
              </a:graphicData>
            </a:graphic>
          </wp:inline>
        </w:drawing>
      </w:r>
    </w:p>
    <w:p>
      <w:pPr>
        <w:rPr>
          <w:rStyle w:val="20"/>
          <w:rFonts w:ascii="仿宋" w:hAnsi="仿宋" w:eastAsia="仿宋" w:cs="仿宋"/>
          <w:b w:val="0"/>
          <w:kern w:val="0"/>
          <w:sz w:val="32"/>
          <w:szCs w:val="32"/>
        </w:rPr>
      </w:pPr>
    </w:p>
    <w:p>
      <w:pPr>
        <w:rPr>
          <w:rStyle w:val="20"/>
          <w:rFonts w:ascii="仿宋" w:hAnsi="仿宋" w:eastAsia="仿宋" w:cs="仿宋"/>
          <w:b w:val="0"/>
          <w:kern w:val="0"/>
          <w:sz w:val="32"/>
          <w:szCs w:val="32"/>
        </w:rPr>
      </w:pPr>
    </w:p>
    <w:p>
      <w:pPr>
        <w:rPr>
          <w:rStyle w:val="20"/>
          <w:rFonts w:ascii="仿宋" w:hAnsi="仿宋" w:eastAsia="仿宋" w:cs="仿宋"/>
          <w:b w:val="0"/>
          <w:kern w:val="0"/>
          <w:sz w:val="32"/>
          <w:szCs w:val="32"/>
        </w:rPr>
      </w:pPr>
    </w:p>
    <w:p>
      <w:pPr>
        <w:rPr>
          <w:rStyle w:val="20"/>
          <w:rFonts w:ascii="仿宋" w:hAnsi="仿宋" w:eastAsia="仿宋" w:cs="仿宋"/>
          <w:b w:val="0"/>
          <w:kern w:val="0"/>
          <w:sz w:val="32"/>
          <w:szCs w:val="32"/>
        </w:rPr>
      </w:pPr>
    </w:p>
    <w:p>
      <w:pPr>
        <w:rPr>
          <w:rStyle w:val="20"/>
          <w:rFonts w:ascii="仿宋" w:hAnsi="仿宋" w:eastAsia="仿宋" w:cs="仿宋"/>
          <w:b w:val="0"/>
          <w:kern w:val="0"/>
          <w:sz w:val="32"/>
          <w:szCs w:val="32"/>
        </w:rPr>
      </w:pPr>
    </w:p>
    <w:p>
      <w:pPr>
        <w:rPr>
          <w:rStyle w:val="20"/>
          <w:rFonts w:ascii="仿宋" w:hAnsi="仿宋" w:eastAsia="仿宋" w:cs="仿宋"/>
          <w:b w:val="0"/>
          <w:kern w:val="0"/>
          <w:sz w:val="32"/>
          <w:szCs w:val="32"/>
        </w:rPr>
      </w:pPr>
      <w:r>
        <w:rPr>
          <w:rFonts w:ascii="仿宋" w:hAnsi="仿宋" w:eastAsia="仿宋" w:cs="仿宋"/>
          <w:bCs/>
          <w:kern w:val="0"/>
          <w:sz w:val="32"/>
          <w:szCs w:val="32"/>
        </w:rPr>
        <w:drawing>
          <wp:inline distT="0" distB="0" distL="0" distR="0">
            <wp:extent cx="5502910" cy="3258185"/>
            <wp:effectExtent l="0" t="0" r="0" b="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17"/>
                    <a:srcRect l="34497" t="28847" r="15253" b="18264"/>
                    <a:stretch>
                      <a:fillRect/>
                    </a:stretch>
                  </pic:blipFill>
                  <pic:spPr>
                    <a:xfrm>
                      <a:off x="0" y="0"/>
                      <a:ext cx="5502910" cy="3258185"/>
                    </a:xfrm>
                    <a:prstGeom prst="rect">
                      <a:avLst/>
                    </a:prstGeom>
                  </pic:spPr>
                </pic:pic>
              </a:graphicData>
            </a:graphic>
          </wp:inline>
        </w:drawing>
      </w:r>
    </w:p>
    <w:p>
      <w:pPr>
        <w:jc w:val="center"/>
        <w:rPr>
          <w:rFonts w:ascii="仿宋" w:hAnsi="仿宋" w:eastAsia="仿宋" w:cs="仿宋"/>
          <w:sz w:val="32"/>
          <w:szCs w:val="32"/>
          <w:u w:val="single"/>
        </w:rPr>
      </w:pPr>
      <w:r>
        <w:rPr>
          <w:rFonts w:hint="eastAsia" w:ascii="仿宋" w:hAnsi="仿宋" w:eastAsia="仿宋" w:cs="仿宋"/>
          <w:sz w:val="32"/>
          <w:szCs w:val="32"/>
          <w:u w:val="single"/>
        </w:rPr>
        <w:t>城市管理“1+</w:t>
      </w:r>
      <w:r>
        <w:rPr>
          <w:rFonts w:ascii="仿宋" w:hAnsi="仿宋" w:eastAsia="仿宋" w:cs="仿宋"/>
          <w:sz w:val="32"/>
          <w:szCs w:val="32"/>
          <w:u w:val="single"/>
        </w:rPr>
        <w:t>8</w:t>
      </w:r>
      <w:r>
        <w:rPr>
          <w:rFonts w:hint="eastAsia" w:ascii="仿宋" w:hAnsi="仿宋" w:eastAsia="仿宋" w:cs="仿宋"/>
          <w:sz w:val="32"/>
          <w:szCs w:val="32"/>
          <w:u w:val="single"/>
        </w:rPr>
        <w:t>+N”规划体系图</w:t>
      </w:r>
    </w:p>
    <w:p>
      <w:pPr>
        <w:pStyle w:val="16"/>
        <w:numPr>
          <w:ilvl w:val="0"/>
          <w:numId w:val="27"/>
        </w:numPr>
        <w:shd w:val="clear" w:color="auto" w:fill="FFFFFF"/>
        <w:spacing w:before="0" w:beforeAutospacing="0" w:after="0" w:afterAutospacing="0" w:line="560" w:lineRule="exact"/>
        <w:ind w:left="0" w:firstLine="642" w:firstLineChars="200"/>
        <w:jc w:val="both"/>
        <w:outlineLvl w:val="2"/>
        <w:rPr>
          <w:rStyle w:val="20"/>
        </w:rPr>
      </w:pPr>
      <w:bookmarkStart w:id="48" w:name="_Toc63246015"/>
      <w:r>
        <w:rPr>
          <w:rStyle w:val="20"/>
          <w:rFonts w:hint="eastAsia" w:ascii="仿宋" w:hAnsi="仿宋" w:eastAsia="仿宋" w:cs="仿宋"/>
          <w:bCs w:val="0"/>
          <w:sz w:val="32"/>
          <w:szCs w:val="32"/>
        </w:rPr>
        <w:t>完善法律法规和标准体系</w:t>
      </w:r>
      <w:bookmarkEnd w:id="48"/>
    </w:p>
    <w:p>
      <w:pPr>
        <w:spacing w:line="560" w:lineRule="exact"/>
        <w:ind w:firstLine="642" w:firstLineChars="200"/>
        <w:rPr>
          <w:rStyle w:val="20"/>
          <w:rFonts w:ascii="仿宋" w:hAnsi="仿宋" w:eastAsia="仿宋" w:cs="仿宋"/>
          <w:bCs w:val="0"/>
          <w:kern w:val="0"/>
          <w:sz w:val="32"/>
          <w:szCs w:val="32"/>
        </w:rPr>
      </w:pPr>
      <w:r>
        <w:rPr>
          <w:rStyle w:val="20"/>
          <w:rFonts w:hint="eastAsia" w:ascii="仿宋" w:hAnsi="仿宋" w:eastAsia="仿宋" w:cs="仿宋"/>
          <w:bCs w:val="0"/>
          <w:kern w:val="0"/>
          <w:sz w:val="32"/>
          <w:szCs w:val="32"/>
        </w:rPr>
        <w:t>（一）完善法律法规。</w:t>
      </w:r>
      <w:r>
        <w:rPr>
          <w:rStyle w:val="20"/>
          <w:rFonts w:hint="eastAsia" w:ascii="仿宋" w:hAnsi="仿宋" w:eastAsia="仿宋" w:cs="仿宋"/>
          <w:b w:val="0"/>
          <w:bCs w:val="0"/>
          <w:kern w:val="0"/>
          <w:sz w:val="32"/>
          <w:szCs w:val="32"/>
        </w:rPr>
        <w:t>强化城市管理立法工作，通过建章立制推进城市管理法治化、规范化。</w:t>
      </w:r>
      <w:r>
        <w:rPr>
          <w:rStyle w:val="20"/>
          <w:rFonts w:hint="eastAsia" w:ascii="仿宋" w:hAnsi="仿宋" w:eastAsia="仿宋" w:cs="仿宋"/>
          <w:b w:val="0"/>
          <w:kern w:val="0"/>
          <w:sz w:val="32"/>
          <w:szCs w:val="32"/>
        </w:rPr>
        <w:t>进一步完善垃圾分类处理法规制度体系，出台《南昌市生活垃圾分类管理规定》；推进修订《南昌市城市管理条例》、《南昌市城市市容和环境卫生管理条例》、《南昌市公园条例》、《南昌市城市绿化管理规定条例》、《南昌市青山湖管理条例》、《南昌市城市管理相对集中行政处罚权实施办法》、《南昌市城市照明设施管理办法》等系列法规，提升城市管理地位、强化城市管理手段，为建设“法治城管”夯实基础。制定全市统一、规范的综合行政执法手册，出台规范行政执法自由裁量权规定，实现城管执法“有法可依”、“有章可循”。</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kern w:val="0"/>
          <w:sz w:val="32"/>
          <w:szCs w:val="32"/>
        </w:rPr>
        <w:t>（二）建立健全标准体系</w:t>
      </w:r>
      <w:r>
        <w:rPr>
          <w:rStyle w:val="20"/>
          <w:rFonts w:hint="eastAsia" w:ascii="仿宋" w:hAnsi="仿宋" w:eastAsia="仿宋" w:cs="仿宋"/>
          <w:b w:val="0"/>
          <w:kern w:val="0"/>
          <w:sz w:val="32"/>
          <w:szCs w:val="32"/>
        </w:rPr>
        <w:t>。健全完善城市管理标准体系建设，是推进城市功能品质三年跻身一流城市行动目标的重要举措，也是落实城市精细化管理要求的重要手段。打造“按标准抓管理、以标准促管理”的城市管理模式，以《南昌市城市管理标准（总则）》为城市管理行业规范顶层设计，立足城市管理主要业务，按照逐年更新、补充完善的目标要求，逐步健全完善并扎实推进城市管理标准体系建设工作，形成</w:t>
      </w:r>
      <w:r>
        <w:rPr>
          <w:rFonts w:ascii="仿宋" w:hAnsi="仿宋" w:eastAsia="仿宋" w:cs="仿宋"/>
          <w:bCs/>
          <w:kern w:val="0"/>
          <w:sz w:val="32"/>
          <w:szCs w:val="32"/>
        </w:rPr>
        <w:drawing>
          <wp:anchor distT="0" distB="0" distL="114300" distR="114300" simplePos="0" relativeHeight="251662336" behindDoc="0" locked="0" layoutInCell="1" allowOverlap="1">
            <wp:simplePos x="0" y="0"/>
            <wp:positionH relativeFrom="column">
              <wp:posOffset>105410</wp:posOffset>
            </wp:positionH>
            <wp:positionV relativeFrom="paragraph">
              <wp:posOffset>2682875</wp:posOffset>
            </wp:positionV>
            <wp:extent cx="5502910" cy="4011295"/>
            <wp:effectExtent l="0" t="0" r="0" b="0"/>
            <wp:wrapSquare wrapText="bothSides"/>
            <wp:docPr id="1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2"/>
                    <pic:cNvPicPr>
                      <a:picLocks noChangeAspect="1"/>
                    </pic:cNvPicPr>
                  </pic:nvPicPr>
                  <pic:blipFill>
                    <a:blip r:embed="rId18">
                      <a:extLst>
                        <a:ext uri="{28A0092B-C50C-407E-A947-70E740481C1C}">
                          <a14:useLocalDpi xmlns:a14="http://schemas.microsoft.com/office/drawing/2010/main" val="0"/>
                        </a:ext>
                      </a:extLst>
                    </a:blip>
                    <a:srcRect l="49809" t="23032" r="9462" b="24190"/>
                    <a:stretch>
                      <a:fillRect/>
                    </a:stretch>
                  </pic:blipFill>
                  <pic:spPr>
                    <a:xfrm>
                      <a:off x="0" y="0"/>
                      <a:ext cx="5502910" cy="4011295"/>
                    </a:xfrm>
                    <a:prstGeom prst="rect">
                      <a:avLst/>
                    </a:prstGeom>
                  </pic:spPr>
                </pic:pic>
              </a:graphicData>
            </a:graphic>
          </wp:anchor>
        </w:drawing>
      </w:r>
      <w:r>
        <w:rPr>
          <w:rStyle w:val="20"/>
          <w:rFonts w:hint="eastAsia" w:ascii="仿宋" w:hAnsi="仿宋" w:eastAsia="仿宋" w:cs="仿宋"/>
          <w:b w:val="0"/>
          <w:kern w:val="0"/>
          <w:sz w:val="32"/>
          <w:szCs w:val="32"/>
        </w:rPr>
        <w:t>“1+</w:t>
      </w:r>
      <w:r>
        <w:rPr>
          <w:rStyle w:val="20"/>
          <w:rFonts w:ascii="仿宋" w:hAnsi="仿宋" w:eastAsia="仿宋" w:cs="仿宋"/>
          <w:b w:val="0"/>
          <w:kern w:val="0"/>
          <w:sz w:val="32"/>
          <w:szCs w:val="32"/>
        </w:rPr>
        <w:t>8</w:t>
      </w:r>
      <w:r>
        <w:rPr>
          <w:rStyle w:val="20"/>
          <w:rFonts w:hint="eastAsia" w:ascii="仿宋" w:hAnsi="仿宋" w:eastAsia="仿宋" w:cs="仿宋"/>
          <w:b w:val="0"/>
          <w:kern w:val="0"/>
          <w:sz w:val="32"/>
          <w:szCs w:val="32"/>
        </w:rPr>
        <w:t>+N” 城市管理标准体系。</w:t>
      </w:r>
    </w:p>
    <w:p>
      <w:pPr>
        <w:widowControl/>
        <w:jc w:val="left"/>
        <w:rPr>
          <w:rFonts w:ascii="宋体" w:hAnsi="宋体" w:eastAsia="宋体" w:cs="宋体"/>
          <w:kern w:val="0"/>
          <w:sz w:val="24"/>
          <w:szCs w:val="24"/>
        </w:rPr>
      </w:pPr>
    </w:p>
    <w:p>
      <w:pPr>
        <w:jc w:val="center"/>
        <w:rPr>
          <w:rFonts w:ascii="仿宋" w:hAnsi="仿宋" w:eastAsia="仿宋" w:cs="仿宋"/>
          <w:sz w:val="32"/>
          <w:szCs w:val="32"/>
          <w:u w:val="single"/>
        </w:rPr>
      </w:pPr>
      <w:r>
        <w:rPr>
          <w:rFonts w:hint="eastAsia" w:ascii="仿宋" w:hAnsi="仿宋" w:eastAsia="仿宋" w:cs="仿宋"/>
          <w:sz w:val="32"/>
          <w:szCs w:val="32"/>
          <w:u w:val="single"/>
        </w:rPr>
        <w:t>城市管理“1+</w:t>
      </w:r>
      <w:r>
        <w:rPr>
          <w:rFonts w:ascii="仿宋" w:hAnsi="仿宋" w:eastAsia="仿宋" w:cs="仿宋"/>
          <w:sz w:val="32"/>
          <w:szCs w:val="32"/>
          <w:u w:val="single"/>
        </w:rPr>
        <w:t>8</w:t>
      </w:r>
      <w:r>
        <w:rPr>
          <w:rFonts w:hint="eastAsia" w:ascii="仿宋" w:hAnsi="仿宋" w:eastAsia="仿宋" w:cs="仿宋"/>
          <w:sz w:val="32"/>
          <w:szCs w:val="32"/>
          <w:u w:val="single"/>
        </w:rPr>
        <w:t>+N”标准体系图</w:t>
      </w:r>
    </w:p>
    <w:p>
      <w:pPr>
        <w:pStyle w:val="16"/>
        <w:numPr>
          <w:ilvl w:val="0"/>
          <w:numId w:val="27"/>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49" w:name="_Toc63246016"/>
      <w:r>
        <w:rPr>
          <w:rStyle w:val="20"/>
          <w:rFonts w:hint="eastAsia" w:ascii="仿宋" w:hAnsi="仿宋" w:eastAsia="仿宋" w:cs="仿宋"/>
          <w:bCs w:val="0"/>
          <w:sz w:val="32"/>
          <w:szCs w:val="32"/>
        </w:rPr>
        <w:t>推进城市</w:t>
      </w:r>
      <w:r>
        <w:rPr>
          <w:rStyle w:val="20"/>
          <w:rFonts w:ascii="仿宋" w:hAnsi="仿宋" w:eastAsia="仿宋" w:cs="仿宋"/>
          <w:bCs w:val="0"/>
          <w:sz w:val="32"/>
          <w:szCs w:val="32"/>
        </w:rPr>
        <w:t>管理</w:t>
      </w:r>
      <w:r>
        <w:rPr>
          <w:rStyle w:val="20"/>
          <w:rFonts w:hint="eastAsia" w:ascii="仿宋" w:hAnsi="仿宋" w:eastAsia="仿宋" w:cs="仿宋"/>
          <w:bCs w:val="0"/>
          <w:sz w:val="32"/>
          <w:szCs w:val="32"/>
        </w:rPr>
        <w:t>体制</w:t>
      </w:r>
      <w:r>
        <w:rPr>
          <w:rStyle w:val="20"/>
          <w:rFonts w:ascii="仿宋" w:hAnsi="仿宋" w:eastAsia="仿宋" w:cs="仿宋"/>
          <w:bCs w:val="0"/>
          <w:sz w:val="32"/>
          <w:szCs w:val="32"/>
        </w:rPr>
        <w:t>机制</w:t>
      </w:r>
      <w:r>
        <w:rPr>
          <w:rStyle w:val="20"/>
          <w:rFonts w:hint="eastAsia" w:ascii="仿宋" w:hAnsi="仿宋" w:eastAsia="仿宋" w:cs="仿宋"/>
          <w:bCs w:val="0"/>
          <w:sz w:val="32"/>
          <w:szCs w:val="32"/>
        </w:rPr>
        <w:t>改革</w:t>
      </w:r>
      <w:bookmarkEnd w:id="49"/>
    </w:p>
    <w:p>
      <w:pPr>
        <w:spacing w:line="560" w:lineRule="exact"/>
        <w:ind w:firstLine="642" w:firstLineChars="200"/>
        <w:jc w:val="left"/>
        <w:rPr>
          <w:rStyle w:val="20"/>
          <w:rFonts w:ascii="仿宋" w:hAnsi="仿宋" w:eastAsia="仿宋" w:cs="仿宋"/>
          <w:bCs w:val="0"/>
          <w:kern w:val="0"/>
          <w:sz w:val="32"/>
          <w:szCs w:val="32"/>
        </w:rPr>
      </w:pPr>
      <w:r>
        <w:rPr>
          <w:rStyle w:val="20"/>
          <w:rFonts w:hint="eastAsia" w:ascii="仿宋" w:hAnsi="仿宋" w:eastAsia="仿宋" w:cs="仿宋"/>
          <w:bCs w:val="0"/>
          <w:kern w:val="0"/>
          <w:sz w:val="32"/>
          <w:szCs w:val="32"/>
        </w:rPr>
        <w:t>坚持</w:t>
      </w:r>
      <w:r>
        <w:rPr>
          <w:rStyle w:val="20"/>
          <w:rFonts w:ascii="仿宋" w:hAnsi="仿宋" w:eastAsia="仿宋" w:cs="仿宋"/>
          <w:bCs w:val="0"/>
          <w:kern w:val="0"/>
          <w:sz w:val="32"/>
          <w:szCs w:val="32"/>
        </w:rPr>
        <w:t>管养分离、管监分离、</w:t>
      </w:r>
      <w:r>
        <w:rPr>
          <w:rStyle w:val="20"/>
          <w:rFonts w:hint="eastAsia" w:ascii="仿宋" w:hAnsi="仿宋" w:eastAsia="仿宋" w:cs="仿宋"/>
          <w:bCs w:val="0"/>
          <w:kern w:val="0"/>
          <w:sz w:val="32"/>
          <w:szCs w:val="32"/>
        </w:rPr>
        <w:t>重心</w:t>
      </w:r>
      <w:r>
        <w:rPr>
          <w:rStyle w:val="20"/>
          <w:rFonts w:ascii="仿宋" w:hAnsi="仿宋" w:eastAsia="仿宋" w:cs="仿宋"/>
          <w:bCs w:val="0"/>
          <w:kern w:val="0"/>
          <w:sz w:val="32"/>
          <w:szCs w:val="32"/>
        </w:rPr>
        <w:t>下移、市场化运作原则，建立健全科学合理的监管机制</w:t>
      </w:r>
      <w:r>
        <w:rPr>
          <w:rStyle w:val="20"/>
          <w:rFonts w:hint="eastAsia" w:ascii="仿宋" w:hAnsi="仿宋" w:eastAsia="仿宋" w:cs="仿宋"/>
          <w:bCs w:val="0"/>
          <w:kern w:val="0"/>
          <w:sz w:val="32"/>
          <w:szCs w:val="32"/>
        </w:rPr>
        <w:t>，</w:t>
      </w:r>
      <w:r>
        <w:rPr>
          <w:rStyle w:val="20"/>
          <w:rFonts w:ascii="仿宋" w:hAnsi="仿宋" w:eastAsia="仿宋" w:cs="仿宋"/>
          <w:bCs w:val="0"/>
          <w:kern w:val="0"/>
          <w:sz w:val="32"/>
          <w:szCs w:val="32"/>
        </w:rPr>
        <w:t>逐步推行城市管理养护工作市场化。</w:t>
      </w:r>
    </w:p>
    <w:p>
      <w:pPr>
        <w:pStyle w:val="31"/>
        <w:numPr>
          <w:ilvl w:val="0"/>
          <w:numId w:val="30"/>
        </w:numPr>
        <w:spacing w:line="560" w:lineRule="exact"/>
        <w:ind w:firstLineChars="0"/>
        <w:jc w:val="left"/>
        <w:rPr>
          <w:rStyle w:val="20"/>
          <w:rFonts w:ascii="仿宋" w:hAnsi="仿宋" w:eastAsia="仿宋" w:cs="仿宋"/>
          <w:bCs w:val="0"/>
          <w:kern w:val="0"/>
          <w:sz w:val="32"/>
          <w:szCs w:val="32"/>
        </w:rPr>
      </w:pPr>
      <w:r>
        <w:rPr>
          <w:rStyle w:val="20"/>
          <w:rFonts w:ascii="仿宋" w:hAnsi="仿宋" w:eastAsia="仿宋" w:cs="仿宋"/>
          <w:bCs w:val="0"/>
          <w:kern w:val="0"/>
          <w:sz w:val="32"/>
          <w:szCs w:val="32"/>
        </w:rPr>
        <w:t>建立健全科学合理的监管机制</w:t>
      </w:r>
      <w:r>
        <w:rPr>
          <w:rStyle w:val="20"/>
          <w:rFonts w:hint="eastAsia" w:ascii="仿宋" w:hAnsi="仿宋" w:eastAsia="仿宋" w:cs="仿宋"/>
          <w:bCs w:val="0"/>
          <w:kern w:val="0"/>
          <w:sz w:val="32"/>
          <w:szCs w:val="32"/>
        </w:rPr>
        <w:t>。</w:t>
      </w:r>
    </w:p>
    <w:p>
      <w:pPr>
        <w:spacing w:line="560" w:lineRule="exact"/>
        <w:ind w:firstLine="640" w:firstLineChars="200"/>
        <w:jc w:val="left"/>
        <w:rPr>
          <w:rFonts w:ascii="仿宋_GB2312" w:hAnsi="仿宋_GB2312" w:eastAsia="仿宋_GB2312" w:cs="仿宋_GB2312"/>
          <w:sz w:val="32"/>
          <w:szCs w:val="32"/>
        </w:rPr>
      </w:pPr>
      <w:r>
        <w:rPr>
          <w:rFonts w:hint="eastAsia" w:ascii="仿宋_GB2312" w:hAnsi="仿宋_GB2312" w:eastAsia="仿宋_GB2312" w:cs="仿宋_GB2312"/>
          <w:sz w:val="32"/>
          <w:szCs w:val="32"/>
        </w:rPr>
        <w:t>2</w:t>
      </w:r>
      <w:r>
        <w:rPr>
          <w:rFonts w:ascii="仿宋_GB2312" w:hAnsi="仿宋_GB2312" w:eastAsia="仿宋_GB2312" w:cs="仿宋_GB2312"/>
          <w:sz w:val="32"/>
          <w:szCs w:val="32"/>
        </w:rPr>
        <w:t>021</w:t>
      </w:r>
      <w:r>
        <w:rPr>
          <w:rFonts w:hint="eastAsia" w:ascii="仿宋_GB2312" w:hAnsi="仿宋_GB2312" w:eastAsia="仿宋_GB2312" w:cs="仿宋_GB2312"/>
          <w:sz w:val="32"/>
          <w:szCs w:val="32"/>
        </w:rPr>
        <w:t>年，</w:t>
      </w:r>
      <w:r>
        <w:rPr>
          <w:rFonts w:ascii="仿宋_GB2312" w:hAnsi="仿宋_GB2312" w:eastAsia="仿宋_GB2312" w:cs="仿宋_GB2312"/>
          <w:sz w:val="32"/>
          <w:szCs w:val="32"/>
        </w:rPr>
        <w:t>统筹推进全市大数据与环卫</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市政、</w:t>
      </w:r>
      <w:r>
        <w:rPr>
          <w:rFonts w:hint="eastAsia" w:ascii="仿宋_GB2312" w:hAnsi="仿宋_GB2312" w:eastAsia="仿宋_GB2312" w:cs="仿宋_GB2312"/>
          <w:sz w:val="32"/>
          <w:szCs w:val="32"/>
        </w:rPr>
        <w:t>执法</w:t>
      </w:r>
      <w:r>
        <w:rPr>
          <w:rFonts w:ascii="仿宋_GB2312" w:hAnsi="仿宋_GB2312" w:eastAsia="仿宋_GB2312" w:cs="仿宋_GB2312"/>
          <w:sz w:val="32"/>
          <w:szCs w:val="32"/>
        </w:rPr>
        <w:t>、绿化、排水、污水等监管工作深度融合，基本实现对城市管理全天候</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全过程</w:t>
      </w:r>
      <w:r>
        <w:rPr>
          <w:rFonts w:hint="eastAsia" w:ascii="仿宋_GB2312" w:hAnsi="仿宋_GB2312" w:eastAsia="仿宋_GB2312" w:cs="仿宋_GB2312"/>
          <w:sz w:val="32"/>
          <w:szCs w:val="32"/>
        </w:rPr>
        <w:t>、</w:t>
      </w:r>
      <w:r>
        <w:rPr>
          <w:rFonts w:ascii="仿宋_GB2312" w:hAnsi="仿宋_GB2312" w:eastAsia="仿宋_GB2312" w:cs="仿宋_GB2312"/>
          <w:sz w:val="32"/>
          <w:szCs w:val="32"/>
        </w:rPr>
        <w:t>全覆盖的监管</w:t>
      </w:r>
      <w:r>
        <w:rPr>
          <w:rFonts w:hint="eastAsia" w:ascii="仿宋_GB2312" w:hAnsi="仿宋_GB2312" w:eastAsia="仿宋_GB2312" w:cs="仿宋_GB2312"/>
          <w:sz w:val="32"/>
          <w:szCs w:val="32"/>
        </w:rPr>
        <w:t>检测</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健全</w:t>
      </w:r>
      <w:r>
        <w:rPr>
          <w:rFonts w:ascii="仿宋_GB2312" w:hAnsi="仿宋_GB2312" w:eastAsia="仿宋_GB2312" w:cs="仿宋_GB2312"/>
          <w:sz w:val="32"/>
          <w:szCs w:val="32"/>
        </w:rPr>
        <w:t>完善</w:t>
      </w:r>
      <w:r>
        <w:rPr>
          <w:rFonts w:hint="eastAsia" w:ascii="仿宋_GB2312" w:hAnsi="仿宋_GB2312" w:eastAsia="仿宋_GB2312" w:cs="仿宋_GB2312"/>
          <w:sz w:val="32"/>
          <w:szCs w:val="32"/>
        </w:rPr>
        <w:t>城市</w:t>
      </w:r>
      <w:r>
        <w:rPr>
          <w:rFonts w:ascii="仿宋_GB2312" w:hAnsi="仿宋_GB2312" w:eastAsia="仿宋_GB2312" w:cs="仿宋_GB2312"/>
          <w:sz w:val="32"/>
          <w:szCs w:val="32"/>
        </w:rPr>
        <w:t>管理监管</w:t>
      </w:r>
      <w:r>
        <w:rPr>
          <w:rFonts w:hint="eastAsia" w:ascii="仿宋_GB2312" w:hAnsi="仿宋_GB2312" w:eastAsia="仿宋_GB2312" w:cs="仿宋_GB2312"/>
          <w:sz w:val="32"/>
          <w:szCs w:val="32"/>
        </w:rPr>
        <w:t>标准</w:t>
      </w:r>
      <w:r>
        <w:rPr>
          <w:rFonts w:ascii="仿宋_GB2312" w:hAnsi="仿宋_GB2312" w:eastAsia="仿宋_GB2312" w:cs="仿宋_GB2312"/>
          <w:sz w:val="32"/>
          <w:szCs w:val="32"/>
        </w:rPr>
        <w:t>和监管办法，</w:t>
      </w:r>
      <w:r>
        <w:rPr>
          <w:rFonts w:hint="eastAsia" w:ascii="仿宋_GB2312" w:hAnsi="仿宋_GB2312" w:eastAsia="仿宋_GB2312" w:cs="仿宋_GB2312"/>
          <w:sz w:val="32"/>
          <w:szCs w:val="32"/>
        </w:rPr>
        <w:t>监管</w:t>
      </w:r>
      <w:r>
        <w:rPr>
          <w:rFonts w:ascii="仿宋_GB2312" w:hAnsi="仿宋_GB2312" w:eastAsia="仿宋_GB2312" w:cs="仿宋_GB2312"/>
          <w:sz w:val="32"/>
          <w:szCs w:val="32"/>
        </w:rPr>
        <w:t>体系进一步完善</w:t>
      </w:r>
      <w:r>
        <w:rPr>
          <w:rFonts w:hint="eastAsia" w:ascii="仿宋_GB2312" w:hAnsi="仿宋_GB2312" w:eastAsia="仿宋_GB2312" w:cs="仿宋_GB2312"/>
          <w:sz w:val="32"/>
          <w:szCs w:val="32"/>
        </w:rPr>
        <w:t>。2</w:t>
      </w:r>
      <w:r>
        <w:rPr>
          <w:rFonts w:ascii="仿宋_GB2312" w:hAnsi="仿宋_GB2312" w:eastAsia="仿宋_GB2312" w:cs="仿宋_GB2312"/>
          <w:sz w:val="32"/>
          <w:szCs w:val="32"/>
        </w:rPr>
        <w:t>025</w:t>
      </w:r>
      <w:r>
        <w:rPr>
          <w:rFonts w:hint="eastAsia" w:ascii="仿宋_GB2312" w:hAnsi="仿宋_GB2312" w:eastAsia="仿宋_GB2312" w:cs="仿宋_GB2312"/>
          <w:sz w:val="32"/>
          <w:szCs w:val="32"/>
        </w:rPr>
        <w:t>年，基本形成</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线上</w:t>
      </w:r>
      <w:r>
        <w:rPr>
          <w:rFonts w:ascii="仿宋_GB2312" w:hAnsi="仿宋_GB2312" w:eastAsia="仿宋_GB2312" w:cs="仿宋_GB2312"/>
          <w:sz w:val="32"/>
          <w:szCs w:val="32"/>
        </w:rPr>
        <w:t>检测、线下监管、</w:t>
      </w:r>
      <w:r>
        <w:rPr>
          <w:rFonts w:hint="eastAsia" w:ascii="仿宋_GB2312" w:hAnsi="仿宋_GB2312" w:eastAsia="仿宋_GB2312" w:cs="仿宋_GB2312"/>
          <w:sz w:val="32"/>
          <w:szCs w:val="32"/>
        </w:rPr>
        <w:t>纵向联网</w:t>
      </w:r>
      <w:r>
        <w:rPr>
          <w:rFonts w:ascii="仿宋_GB2312" w:hAnsi="仿宋_GB2312" w:eastAsia="仿宋_GB2312" w:cs="仿宋_GB2312"/>
          <w:sz w:val="32"/>
          <w:szCs w:val="32"/>
        </w:rPr>
        <w:t>、</w:t>
      </w:r>
      <w:r>
        <w:rPr>
          <w:rFonts w:hint="eastAsia" w:ascii="仿宋_GB2312" w:hAnsi="仿宋_GB2312" w:eastAsia="仿宋_GB2312" w:cs="仿宋_GB2312"/>
          <w:sz w:val="32"/>
          <w:szCs w:val="32"/>
        </w:rPr>
        <w:t>横向</w:t>
      </w:r>
      <w:r>
        <w:rPr>
          <w:rFonts w:ascii="仿宋_GB2312" w:hAnsi="仿宋_GB2312" w:eastAsia="仿宋_GB2312" w:cs="仿宋_GB2312"/>
          <w:sz w:val="32"/>
          <w:szCs w:val="32"/>
        </w:rPr>
        <w:t>协同”</w:t>
      </w:r>
      <w:r>
        <w:rPr>
          <w:rFonts w:hint="eastAsia" w:ascii="仿宋_GB2312" w:hAnsi="仿宋_GB2312" w:eastAsia="仿宋_GB2312" w:cs="仿宋_GB2312"/>
          <w:sz w:val="32"/>
          <w:szCs w:val="32"/>
        </w:rPr>
        <w:t>的</w:t>
      </w:r>
      <w:r>
        <w:rPr>
          <w:rFonts w:ascii="仿宋_GB2312" w:hAnsi="仿宋_GB2312" w:eastAsia="仿宋_GB2312" w:cs="仿宋_GB2312"/>
          <w:sz w:val="32"/>
          <w:szCs w:val="32"/>
        </w:rPr>
        <w:t>城市管理检测监管机制。</w:t>
      </w:r>
    </w:p>
    <w:p>
      <w:pPr>
        <w:spacing w:line="560" w:lineRule="exact"/>
        <w:ind w:firstLine="642" w:firstLineChars="200"/>
        <w:jc w:val="left"/>
        <w:rPr>
          <w:rStyle w:val="20"/>
          <w:rFonts w:ascii="仿宋" w:hAnsi="仿宋" w:eastAsia="仿宋" w:cs="仿宋"/>
          <w:b w:val="0"/>
          <w:kern w:val="0"/>
          <w:sz w:val="32"/>
          <w:szCs w:val="32"/>
        </w:rPr>
      </w:pPr>
      <w:r>
        <w:rPr>
          <w:rFonts w:hint="eastAsia" w:ascii="仿宋_GB2312" w:hAnsi="仿宋_GB2312" w:eastAsia="仿宋_GB2312" w:cs="仿宋_GB2312"/>
          <w:b/>
          <w:bCs/>
          <w:sz w:val="32"/>
          <w:szCs w:val="32"/>
        </w:rPr>
        <w:t>构建行业监管体系。</w:t>
      </w:r>
      <w:r>
        <w:rPr>
          <w:rFonts w:hint="eastAsia" w:ascii="仿宋_GB2312" w:hAnsi="仿宋_GB2312" w:eastAsia="仿宋_GB2312" w:cs="仿宋_GB2312"/>
          <w:sz w:val="32"/>
          <w:szCs w:val="32"/>
        </w:rPr>
        <w:t>市区两级要加快建立市政设施、公园</w:t>
      </w:r>
      <w:r>
        <w:rPr>
          <w:rFonts w:ascii="仿宋_GB2312" w:hAnsi="仿宋_GB2312" w:eastAsia="仿宋_GB2312" w:cs="仿宋_GB2312"/>
          <w:sz w:val="32"/>
          <w:szCs w:val="32"/>
        </w:rPr>
        <w:t>广场、</w:t>
      </w:r>
      <w:r>
        <w:rPr>
          <w:rFonts w:hint="eastAsia" w:ascii="仿宋_GB2312" w:hAnsi="仿宋_GB2312" w:eastAsia="仿宋_GB2312" w:cs="仿宋_GB2312"/>
          <w:sz w:val="32"/>
          <w:szCs w:val="32"/>
        </w:rPr>
        <w:t>园林绿化、市容环卫、市政公用等行业监管机构，充实监管力量，依法对城市管理各行业的工作流程、质量、效能等进行监督管理；整合现有检验检测技术资源，统筹组建市级检测机构；支持社会力量发展第三方检测或监测事业；畅通投诉渠道；构建“权责一致、专业高效、覆盖全面、科学权威”的城市管理监管体系。</w:t>
      </w:r>
      <w:r>
        <w:rPr>
          <w:rFonts w:hint="eastAsia" w:ascii="仿宋_GB2312" w:hAnsi="仿宋_GB2312" w:eastAsia="仿宋_GB2312" w:cs="仿宋_GB2312"/>
          <w:b/>
          <w:bCs/>
          <w:sz w:val="32"/>
          <w:szCs w:val="32"/>
        </w:rPr>
        <w:t>加强监管队伍建设。</w:t>
      </w:r>
      <w:r>
        <w:rPr>
          <w:rFonts w:hint="eastAsia" w:ascii="仿宋_GB2312" w:hAnsi="仿宋_GB2312" w:eastAsia="仿宋_GB2312" w:cs="仿宋_GB2312"/>
          <w:sz w:val="32"/>
          <w:szCs w:val="32"/>
        </w:rPr>
        <w:t>建立高级专业技术人才聘用制度，加强对行业监管人员和执法人员的教育培训，对特定岗位建立质量监督员考核制度，推行质量检测员资格准入制度。</w:t>
      </w:r>
      <w:r>
        <w:rPr>
          <w:rFonts w:hint="eastAsia" w:ascii="仿宋_GB2312" w:hAnsi="仿宋_GB2312" w:eastAsia="仿宋_GB2312" w:cs="仿宋_GB2312"/>
          <w:b/>
          <w:bCs/>
          <w:sz w:val="32"/>
          <w:szCs w:val="32"/>
        </w:rPr>
        <w:t>完善监管技术手段。</w:t>
      </w:r>
      <w:r>
        <w:rPr>
          <w:rFonts w:hint="eastAsia" w:ascii="仿宋_GB2312" w:hAnsi="仿宋_GB2312" w:eastAsia="仿宋_GB2312" w:cs="仿宋_GB2312"/>
          <w:sz w:val="32"/>
          <w:szCs w:val="32"/>
        </w:rPr>
        <w:t>加快智慧城管系统和设施快速检测能力建设步伐。推动县区以及养护企业完善和使用信息化系统，加强技术保障、装备设施配置，逐步配齐市政、环卫、绿化等领域内的空洞检测、管道视频检测、弯沉试验、水质检测、垃圾处理厂恶臭气体检测等检测设备，进一步增强监管监测能力和监测水平。</w:t>
      </w:r>
      <w:r>
        <w:rPr>
          <w:rFonts w:hint="eastAsia" w:ascii="仿宋_GB2312" w:hAnsi="仿宋_GB2312" w:eastAsia="仿宋_GB2312" w:cs="仿宋_GB2312"/>
          <w:b/>
          <w:bCs/>
          <w:sz w:val="32"/>
          <w:szCs w:val="32"/>
        </w:rPr>
        <w:t>注重基础设施运行监测。</w:t>
      </w:r>
      <w:r>
        <w:rPr>
          <w:rFonts w:hint="eastAsia" w:ascii="仿宋_GB2312" w:hAnsi="仿宋_GB2312" w:eastAsia="仿宋_GB2312" w:cs="仿宋_GB2312"/>
          <w:sz w:val="32"/>
          <w:szCs w:val="32"/>
        </w:rPr>
        <w:t>完善城市管理行业监管制度设计，建立设施精准编号和质量溯源制度以及养护企业第一责任制，健全城市管理基础设施安全风险评估制度,加强基础设施运行监测和预报预警能力，加快建立最严格的覆盖全过程的监管制度和运行监测机制，实现基础设施安全稳定运行。</w:t>
      </w:r>
      <w:r>
        <w:rPr>
          <w:rFonts w:hint="eastAsia" w:ascii="仿宋_GB2312" w:hAnsi="仿宋_GB2312" w:eastAsia="仿宋_GB2312" w:cs="仿宋_GB2312"/>
          <w:b/>
          <w:bCs/>
          <w:sz w:val="32"/>
          <w:szCs w:val="32"/>
        </w:rPr>
        <w:t>建立健全监管考核机制。</w:t>
      </w:r>
    </w:p>
    <w:p>
      <w:pPr>
        <w:pStyle w:val="31"/>
        <w:numPr>
          <w:ilvl w:val="0"/>
          <w:numId w:val="30"/>
        </w:numPr>
        <w:spacing w:line="560" w:lineRule="exact"/>
        <w:ind w:firstLineChars="0"/>
        <w:jc w:val="left"/>
        <w:rPr>
          <w:rStyle w:val="20"/>
          <w:rFonts w:ascii="仿宋" w:hAnsi="仿宋" w:eastAsia="仿宋" w:cs="仿宋"/>
          <w:b w:val="0"/>
          <w:kern w:val="0"/>
          <w:sz w:val="32"/>
          <w:szCs w:val="32"/>
        </w:rPr>
      </w:pPr>
      <w:r>
        <w:rPr>
          <w:rStyle w:val="20"/>
          <w:rFonts w:ascii="仿宋" w:hAnsi="仿宋" w:eastAsia="仿宋" w:cs="仿宋"/>
          <w:bCs w:val="0"/>
          <w:kern w:val="0"/>
          <w:sz w:val="32"/>
          <w:szCs w:val="32"/>
        </w:rPr>
        <w:t>逐步推行城市管理养护工作市场化</w:t>
      </w:r>
      <w:r>
        <w:rPr>
          <w:rStyle w:val="20"/>
          <w:rFonts w:hint="eastAsia" w:ascii="仿宋" w:hAnsi="仿宋" w:eastAsia="仿宋" w:cs="仿宋"/>
          <w:bCs w:val="0"/>
          <w:kern w:val="0"/>
          <w:sz w:val="32"/>
          <w:szCs w:val="32"/>
        </w:rPr>
        <w:t>。</w:t>
      </w:r>
    </w:p>
    <w:p>
      <w:pPr>
        <w:spacing w:line="560" w:lineRule="exact"/>
        <w:ind w:firstLine="641"/>
        <w:rPr>
          <w:rStyle w:val="20"/>
          <w:rFonts w:ascii="仿宋" w:hAnsi="仿宋" w:eastAsia="仿宋" w:cs="仿宋"/>
          <w:b w:val="0"/>
          <w:kern w:val="0"/>
          <w:sz w:val="32"/>
          <w:szCs w:val="32"/>
        </w:rPr>
      </w:pPr>
      <w:r>
        <w:rPr>
          <w:rFonts w:hint="eastAsia" w:ascii="仿宋" w:hAnsi="仿宋" w:eastAsia="仿宋" w:cs="仿宋"/>
          <w:sz w:val="32"/>
          <w:szCs w:val="32"/>
        </w:rPr>
        <w:t>按照重心下移、管养分离、市场运作原则，持续深入推进环卫清扫保洁、绿化养护、垃圾清运、路灯照明管理、市政设施养护市场化改革，做到“花钱养事、不花钱养人”，构建多元参与的城市治理机制。2021</w:t>
      </w:r>
      <w:r>
        <w:rPr>
          <w:rFonts w:ascii="仿宋" w:hAnsi="仿宋" w:eastAsia="仿宋" w:cs="仿宋"/>
          <w:sz w:val="32"/>
          <w:szCs w:val="32"/>
        </w:rPr>
        <w:t>全市建成区内所有</w:t>
      </w:r>
      <w:r>
        <w:rPr>
          <w:rFonts w:hint="eastAsia" w:ascii="仿宋" w:hAnsi="仿宋" w:eastAsia="仿宋" w:cs="仿宋"/>
          <w:sz w:val="32"/>
          <w:szCs w:val="32"/>
        </w:rPr>
        <w:t>道路清扫</w:t>
      </w:r>
      <w:r>
        <w:rPr>
          <w:rFonts w:ascii="仿宋" w:hAnsi="仿宋" w:eastAsia="仿宋" w:cs="仿宋"/>
          <w:sz w:val="32"/>
          <w:szCs w:val="32"/>
        </w:rPr>
        <w:t>保洁市场化率达到</w:t>
      </w:r>
      <w:r>
        <w:rPr>
          <w:rFonts w:hint="eastAsia" w:ascii="仿宋" w:hAnsi="仿宋" w:eastAsia="仿宋" w:cs="仿宋"/>
          <w:sz w:val="32"/>
          <w:szCs w:val="32"/>
        </w:rPr>
        <w:t>100</w:t>
      </w:r>
      <w:r>
        <w:rPr>
          <w:rFonts w:ascii="仿宋" w:hAnsi="仿宋" w:eastAsia="仿宋" w:cs="仿宋"/>
          <w:sz w:val="32"/>
          <w:szCs w:val="32"/>
        </w:rPr>
        <w:t>%，</w:t>
      </w:r>
      <w:r>
        <w:rPr>
          <w:rFonts w:hint="eastAsia" w:ascii="仿宋" w:hAnsi="仿宋" w:eastAsia="仿宋" w:cs="仿宋"/>
          <w:sz w:val="32"/>
          <w:szCs w:val="32"/>
        </w:rPr>
        <w:t>市政</w:t>
      </w:r>
      <w:r>
        <w:rPr>
          <w:rFonts w:ascii="仿宋" w:hAnsi="仿宋" w:eastAsia="仿宋" w:cs="仿宋"/>
          <w:sz w:val="32"/>
          <w:szCs w:val="32"/>
        </w:rPr>
        <w:t>、园林、水务设施养护市场化率达到</w:t>
      </w:r>
      <w:r>
        <w:rPr>
          <w:rFonts w:hint="eastAsia" w:ascii="仿宋" w:hAnsi="仿宋" w:eastAsia="仿宋" w:cs="仿宋"/>
          <w:sz w:val="32"/>
          <w:szCs w:val="32"/>
        </w:rPr>
        <w:t>50</w:t>
      </w:r>
      <w:r>
        <w:rPr>
          <w:rFonts w:ascii="仿宋" w:hAnsi="仿宋" w:eastAsia="仿宋" w:cs="仿宋"/>
          <w:sz w:val="32"/>
          <w:szCs w:val="32"/>
        </w:rPr>
        <w:t>%以上</w:t>
      </w:r>
      <w:r>
        <w:rPr>
          <w:rFonts w:hint="eastAsia" w:ascii="仿宋" w:hAnsi="仿宋" w:eastAsia="仿宋" w:cs="仿宋"/>
          <w:sz w:val="32"/>
          <w:szCs w:val="32"/>
        </w:rPr>
        <w:t>。到2025年实现市场化率达</w:t>
      </w:r>
      <w:r>
        <w:rPr>
          <w:rFonts w:ascii="仿宋" w:hAnsi="仿宋" w:eastAsia="仿宋" w:cs="仿宋"/>
          <w:sz w:val="32"/>
          <w:szCs w:val="32"/>
        </w:rPr>
        <w:t>10</w:t>
      </w:r>
      <w:r>
        <w:rPr>
          <w:rFonts w:hint="eastAsia" w:ascii="仿宋" w:hAnsi="仿宋" w:eastAsia="仿宋" w:cs="仿宋"/>
          <w:sz w:val="32"/>
          <w:szCs w:val="32"/>
        </w:rPr>
        <w:t>0%。</w:t>
      </w:r>
    </w:p>
    <w:p>
      <w:pPr>
        <w:spacing w:line="560" w:lineRule="exact"/>
        <w:ind w:firstLine="641"/>
        <w:rPr>
          <w:rFonts w:ascii="仿宋_GB2312" w:hAnsi="仿宋_GB2312" w:eastAsia="仿宋_GB2312" w:cs="仿宋_GB2312"/>
          <w:sz w:val="32"/>
          <w:szCs w:val="32"/>
        </w:rPr>
      </w:pPr>
      <w:r>
        <w:rPr>
          <w:rFonts w:hint="eastAsia" w:ascii="仿宋_GB2312" w:hAnsi="仿宋_GB2312" w:eastAsia="仿宋_GB2312" w:cs="仿宋_GB2312"/>
          <w:b/>
          <w:bCs/>
          <w:sz w:val="32"/>
          <w:szCs w:val="32"/>
        </w:rPr>
        <w:t>建立市场化运行机制。</w:t>
      </w:r>
      <w:r>
        <w:rPr>
          <w:rFonts w:hint="eastAsia" w:ascii="仿宋" w:hAnsi="仿宋" w:eastAsia="仿宋" w:cs="仿宋"/>
          <w:sz w:val="32"/>
          <w:szCs w:val="32"/>
        </w:rPr>
        <w:t>建立长效稳定的养护资金投入机制；按照市场定价机制，重新核准养护作业经费标准；建立养护市场准入制度，制定养护作业招投标办法；完善市政设施养护作业技术标准、养护作业规程等规范性文件；坚持国有企业主导，发挥国有养护企业的主体作用</w:t>
      </w:r>
      <w:r>
        <w:rPr>
          <w:rFonts w:hint="eastAsia" w:ascii="仿宋_GB2312" w:hAnsi="仿宋_GB2312" w:eastAsia="仿宋_GB2312" w:cs="仿宋_GB2312"/>
          <w:sz w:val="32"/>
          <w:szCs w:val="32"/>
        </w:rPr>
        <w:t>。</w:t>
      </w:r>
      <w:r>
        <w:rPr>
          <w:rFonts w:hint="eastAsia" w:ascii="仿宋_GB2312" w:hAnsi="仿宋_GB2312" w:eastAsia="仿宋_GB2312" w:cs="仿宋_GB2312"/>
          <w:b/>
          <w:bCs/>
          <w:sz w:val="32"/>
          <w:szCs w:val="32"/>
        </w:rPr>
        <w:t>大力培育市场化主体。</w:t>
      </w:r>
      <w:r>
        <w:rPr>
          <w:rFonts w:hint="eastAsia" w:ascii="仿宋_GB2312" w:hAnsi="仿宋_GB2312" w:eastAsia="仿宋_GB2312" w:cs="仿宋_GB2312"/>
          <w:sz w:val="32"/>
          <w:szCs w:val="32"/>
        </w:rPr>
        <w:t>积极推动从事养护作业的事业单位改制成股份制企业，做强市环卫集团；引进外来企业与本地国企合作，在资产处置、人员配备、养护业务供给、养护技术培训等方面加大政策扶持力度，统一实行合同化管理，利用五年时间，逐步培育发展成为独立参与市场竞争的主体。</w:t>
      </w:r>
      <w:r>
        <w:rPr>
          <w:rFonts w:hint="eastAsia" w:ascii="仿宋_GB2312" w:hAnsi="仿宋_GB2312" w:eastAsia="仿宋_GB2312" w:cs="仿宋_GB2312"/>
          <w:b/>
          <w:bCs/>
          <w:sz w:val="32"/>
          <w:szCs w:val="32"/>
        </w:rPr>
        <w:t>稳步推进市场化进程。</w:t>
      </w:r>
      <w:r>
        <w:rPr>
          <w:rFonts w:hint="eastAsia" w:ascii="仿宋_GB2312" w:hAnsi="仿宋_GB2312" w:eastAsia="仿宋_GB2312" w:cs="仿宋_GB2312"/>
          <w:sz w:val="32"/>
          <w:szCs w:val="32"/>
        </w:rPr>
        <w:t>坚持“循序渐进”，按照分级负责，分级实施原则，逐渐开放养护市场。通过搭建政府采购平台，完善政府采购评审专家库，测算养护作业指导价等，推行公开招投标，引入外来企业参与竞争。在市政、绿化、水务、环卫养护作业中引入价格机制、竞争机制、激励机制、供求机制，优胜劣汰，择优选择养护企业，确保降低养护成本, 提高养护效率和质量。</w:t>
      </w:r>
    </w:p>
    <w:p>
      <w:pPr>
        <w:pStyle w:val="16"/>
        <w:numPr>
          <w:ilvl w:val="0"/>
          <w:numId w:val="27"/>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50" w:name="_Toc63246017"/>
      <w:r>
        <w:rPr>
          <w:rStyle w:val="20"/>
          <w:rFonts w:hint="eastAsia" w:ascii="仿宋" w:hAnsi="仿宋" w:eastAsia="仿宋" w:cs="仿宋"/>
          <w:bCs w:val="0"/>
          <w:sz w:val="32"/>
          <w:szCs w:val="32"/>
        </w:rPr>
        <w:t>创新城市治理机制</w:t>
      </w:r>
      <w:bookmarkEnd w:id="50"/>
    </w:p>
    <w:p>
      <w:pPr>
        <w:spacing w:line="560" w:lineRule="exact"/>
        <w:ind w:firstLine="642" w:firstLineChars="200"/>
        <w:jc w:val="left"/>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（一）畅通共管共治渠道。</w:t>
      </w:r>
      <w:r>
        <w:rPr>
          <w:rStyle w:val="20"/>
          <w:rFonts w:hint="eastAsia" w:ascii="仿宋" w:hAnsi="仿宋" w:eastAsia="仿宋" w:cs="仿宋"/>
          <w:b w:val="0"/>
          <w:kern w:val="0"/>
          <w:sz w:val="32"/>
          <w:szCs w:val="32"/>
        </w:rPr>
        <w:t xml:space="preserve">充分利用市长信箱、局长信箱、城管局网站、12345市长热线、12319热线、行风热线等传统方式以及官方微博、微信公众号等社交媒体，开发城管APP应用等，通过专家咨询、座谈会、论证会、听证会、网络征询、问卷调查等多种渠道，采取公众开放日、主题体验活动等方式问情于民、问需于民、问计于民、问绩于民，保障公众的知情权、参与权、表达权、监督权；强化市民投诉举报的处理反馈，形成有效的市民诉求解决机制；建立健全社会问卷调查、第三方监督等机制，充分发挥广大群众在城市管理中的监督作用。完善城市管理社会综合评价体系，逐步提高公众满意度在综合考评结果的比重，到2025年，公众满意度在城市管理综合考评中的比重不低于70%。 </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（二）优化公众参与机制。</w:t>
      </w:r>
      <w:r>
        <w:rPr>
          <w:rStyle w:val="20"/>
          <w:rFonts w:hint="eastAsia" w:ascii="仿宋" w:hAnsi="仿宋" w:eastAsia="仿宋" w:cs="仿宋"/>
          <w:b w:val="0"/>
          <w:kern w:val="0"/>
          <w:sz w:val="32"/>
          <w:szCs w:val="32"/>
        </w:rPr>
        <w:t xml:space="preserve">城市管理覆盖范围和管理难度迅速增大，需要加大公众参与机制。重视调动社会公众参与城市管理的积极性、主动性和创造性；通过多元主体协商共治，达到城市管理和发展的目标。发扬“主人翁”精神，增强社会各界住在南昌、热爱南昌、美化南昌的荣誉感和责任感，构建“政府主导、多方协同、多元参与、合作共治”格局。面向社会公开推选城市管理局公众委员，邀请专家学者、先进模范、市民百姓等公众代表，广泛深度参与城市管理决策、监督和评价，把公众参与、专家论证、风险评估、合法性审查、集体讨论决定，确定为城市管理主管部门拟定城市管理决策草案的必经过程。建立健全城市管理志愿服务宣传动员、组织管理、激励扶持等制度和组织协调机制，定期组织志愿者参与法规标准推广普及、城市环境治理宣传、交通和市容秩序劝导等工作，提供环卫工人法律援助等；成立各类行业协会，引导行业协会参与城市管理决策论证，指导协会开展行业检查和行业诚信建设工作；采取公众开放日、主题体验活动等方式，引导社会组织、市场中介机构参与城市治理；积极培育社会组织发展，采取项目合作、业务指导、行业支持等方式，形成多元共治、良性互动的城市治理模式。 </w:t>
      </w:r>
    </w:p>
    <w:p>
      <w:pPr>
        <w:ind w:firstLine="642" w:firstLineChars="200"/>
        <w:rPr>
          <w:rFonts w:ascii="仿宋" w:hAnsi="仿宋" w:eastAsia="仿宋" w:cs="仿宋"/>
          <w:sz w:val="32"/>
          <w:szCs w:val="32"/>
        </w:rPr>
      </w:pPr>
      <w:r>
        <w:rPr>
          <w:rStyle w:val="20"/>
          <w:rFonts w:hint="eastAsia" w:ascii="仿宋" w:hAnsi="仿宋" w:eastAsia="仿宋" w:cs="仿宋"/>
          <w:bCs w:val="0"/>
          <w:kern w:val="0"/>
          <w:sz w:val="32"/>
          <w:szCs w:val="32"/>
        </w:rPr>
        <w:t>（三）探索建立信用+城管治理模式。</w:t>
      </w:r>
      <w:r>
        <w:rPr>
          <w:rFonts w:hint="eastAsia" w:ascii="仿宋" w:hAnsi="仿宋" w:eastAsia="仿宋" w:cs="仿宋"/>
          <w:sz w:val="32"/>
          <w:szCs w:val="32"/>
        </w:rPr>
        <w:t>紧紧围绕构建“大城管”格局，坚持 “惩戒失信、褒奖诚信、协同联动、有序推进”原则 ，突出应用导向、需求导向、创新导向“三大”导向，着力推进城市管理工作与城市管理领域信用体系建设工作融合发展。通过巩固城市管理失信联合惩戒工作成效，积极探索开展信用承诺制、守信联合激励“信易+”工作机制和信用分级分类监管工作机制，建立“事前承诺、事中监督、事后评价”的全过程、链条式信用监管工作机制，构造“承诺有标准、标准必公示，公示有通道、通道必监督 ，监督有评价、评价必考核，考核有结果、结果必应用”的工作闭环，建立健全南昌城市管理领域以信用为基础的新型监管体制机制。</w:t>
      </w:r>
    </w:p>
    <w:p>
      <w:pPr>
        <w:ind w:firstLine="640" w:firstLineChars="200"/>
        <w:rPr>
          <w:rStyle w:val="20"/>
          <w:rFonts w:ascii="仿宋" w:hAnsi="仿宋" w:eastAsia="仿宋" w:cs="仿宋"/>
          <w:b w:val="0"/>
          <w:kern w:val="0"/>
          <w:sz w:val="32"/>
          <w:szCs w:val="32"/>
        </w:rPr>
      </w:pPr>
      <w:r>
        <w:rPr>
          <w:rFonts w:hint="eastAsia" w:ascii="仿宋" w:hAnsi="仿宋" w:eastAsia="仿宋" w:cs="仿宋"/>
          <w:sz w:val="32"/>
          <w:szCs w:val="32"/>
        </w:rPr>
        <w:t>探索构建“信用+城管”大治理模式，依托南昌市智慧城管指挥服务中心建设，建设融管理、考核、服务“三位一体”的南昌市城市管理领域公共信用信息平台，至2025年，推动并基本完成南昌市智慧城管公共信用信息平台与南昌市公共信用信息平台的互连互通、数据共享，实现城市管理领域公共信用信息管理系统全覆盖，实现南昌市城市管理领域信用体系建设数字化、智慧化。</w:t>
      </w:r>
    </w:p>
    <w:p>
      <w:pPr>
        <w:spacing w:line="560" w:lineRule="exact"/>
        <w:ind w:firstLine="642" w:firstLineChars="200"/>
        <w:jc w:val="left"/>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（四）探索精细化管理机制。</w:t>
      </w:r>
      <w:r>
        <w:rPr>
          <w:rStyle w:val="20"/>
          <w:rFonts w:hint="eastAsia" w:ascii="仿宋" w:hAnsi="仿宋" w:eastAsia="仿宋" w:cs="仿宋"/>
          <w:b w:val="0"/>
          <w:kern w:val="0"/>
          <w:sz w:val="32"/>
          <w:szCs w:val="32"/>
        </w:rPr>
        <w:t>城市精细化管理要体现在落细落小上下功夫，在全社会共同参与上下功夫，在全面从严上下功夫，推动城市管理全覆盖、全过程、全天候（“三全”），全覆盖，就是要把精细化管理要求覆盖到各个空间、各个领域和所有人群。全过程，就是要把精细化管理要求贯穿到城市规划、建设、管理全过程，实施全生命周期的精细化管理。全天候，就是要把精细化管理要求体现在一年365天、一天24小时的每时每刻。</w:t>
      </w:r>
    </w:p>
    <w:p>
      <w:pPr>
        <w:pStyle w:val="16"/>
        <w:numPr>
          <w:ilvl w:val="0"/>
          <w:numId w:val="27"/>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51" w:name="_Toc63246018"/>
      <w:r>
        <w:rPr>
          <w:rStyle w:val="20"/>
          <w:rFonts w:hint="eastAsia" w:ascii="仿宋" w:hAnsi="仿宋" w:eastAsia="仿宋" w:cs="仿宋"/>
          <w:bCs w:val="0"/>
          <w:sz w:val="32"/>
          <w:szCs w:val="32"/>
        </w:rPr>
        <w:t>提升智慧城管水平</w:t>
      </w:r>
      <w:bookmarkEnd w:id="51"/>
    </w:p>
    <w:p>
      <w:pPr>
        <w:pStyle w:val="16"/>
        <w:shd w:val="clear" w:color="auto" w:fill="FFFFFF"/>
        <w:spacing w:before="0" w:beforeAutospacing="0" w:after="0" w:afterAutospacing="0" w:line="560" w:lineRule="exact"/>
        <w:ind w:firstLine="642" w:firstLineChars="200"/>
        <w:rPr>
          <w:rStyle w:val="20"/>
          <w:rFonts w:ascii="仿宋" w:hAnsi="仿宋" w:eastAsia="仿宋" w:cs="仿宋"/>
          <w:b w:val="0"/>
          <w:sz w:val="32"/>
          <w:szCs w:val="32"/>
        </w:rPr>
      </w:pPr>
      <w:r>
        <w:rPr>
          <w:rStyle w:val="20"/>
          <w:rFonts w:hint="eastAsia" w:ascii="仿宋" w:hAnsi="仿宋" w:eastAsia="仿宋" w:cs="仿宋"/>
          <w:bCs w:val="0"/>
          <w:sz w:val="32"/>
          <w:szCs w:val="32"/>
        </w:rPr>
        <w:t>（一）加强智慧城管平台建设。</w:t>
      </w:r>
      <w:r>
        <w:rPr>
          <w:rStyle w:val="20"/>
          <w:rFonts w:hint="eastAsia" w:ascii="仿宋" w:hAnsi="仿宋" w:eastAsia="仿宋" w:cs="仿宋"/>
          <w:b w:val="0"/>
          <w:sz w:val="32"/>
          <w:szCs w:val="32"/>
        </w:rPr>
        <w:t>通过智慧城管监督指挥中心（城市运行监督中心）项目建设，推进智慧化管理全领域覆盖，建成一个涵盖两级平台（市、县区），覆盖四个层级（市、县区、街道、社区），城市管理全要素数据充分整合，公共数据资源互联互通、开放共享的智慧城管监管体系，实现智管城市目标。</w:t>
      </w:r>
    </w:p>
    <w:p>
      <w:pPr>
        <w:spacing w:line="560" w:lineRule="exact"/>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2021年，推进市级层面智慧城管“一个中心，一个平台，十大系统”平台建设工作，各县区同步开展与市级联动的智慧城管建设，实现市级与县区级城市管理平台互联互通，初步构建起全市智慧城管的网络体系；2022-2024年，市级层面在已完成的“一个中心，一个平台，十个业务系统”的基础上，继续深入开发，重点围绕系统平台功能升级扩容、监督和考核功能完善等方面开展工作，县区层面在初步实现数字城管平台智慧化升级的基础上，根据实际情况，县区各业务系统还可继续延伸再开发，以城市管理业务需求为导向，重点建设专项业务应用平台，并与市级相应系统对接，鼓励有条件的县区进一步拓展智慧城管平台功能，加强公共服务平台、城管指挥调度平台、分析预警和辅助决策平台和监督考核平台等平台的建设；2025年，建成一个涵盖两级平台（市、县区），覆盖四个层级（市、县区、街道、社区），城市管理全要素数据充分整合，公共数据资源互联互通、开放共享的智慧城管监管体系，即建成“城市大脑”，实现对整座城市全方位、全过程动态监测。</w:t>
      </w:r>
    </w:p>
    <w:p>
      <w:pPr>
        <w:jc w:val="center"/>
        <w:rPr>
          <w:rStyle w:val="20"/>
          <w:rFonts w:ascii="仿宋" w:hAnsi="仿宋" w:eastAsia="仿宋" w:cs="仿宋"/>
          <w:b w:val="0"/>
          <w:kern w:val="0"/>
          <w:sz w:val="32"/>
          <w:szCs w:val="32"/>
        </w:rPr>
      </w:pPr>
      <w:r>
        <w:drawing>
          <wp:inline distT="0" distB="0" distL="0" distR="0">
            <wp:extent cx="5080635" cy="2673350"/>
            <wp:effectExtent l="19050" t="0" r="5715"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9" cstate="print"/>
                    <a:stretch>
                      <a:fillRect/>
                    </a:stretch>
                  </pic:blipFill>
                  <pic:spPr>
                    <a:xfrm>
                      <a:off x="0" y="0"/>
                      <a:ext cx="5080635" cy="2673350"/>
                    </a:xfrm>
                    <a:prstGeom prst="rect">
                      <a:avLst/>
                    </a:prstGeom>
                    <a:noFill/>
                    <a:ln w="9525">
                      <a:noFill/>
                    </a:ln>
                  </pic:spPr>
                </pic:pic>
              </a:graphicData>
            </a:graphic>
          </wp:inline>
        </w:drawing>
      </w:r>
    </w:p>
    <w:p>
      <w:pPr>
        <w:spacing w:line="560" w:lineRule="exact"/>
        <w:ind w:firstLine="642" w:firstLineChars="200"/>
        <w:jc w:val="left"/>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（二）推动网格化管理。</w:t>
      </w:r>
      <w:r>
        <w:rPr>
          <w:rStyle w:val="20"/>
          <w:rFonts w:hint="eastAsia" w:ascii="仿宋" w:hAnsi="仿宋" w:eastAsia="仿宋" w:cs="仿宋"/>
          <w:b w:val="0"/>
          <w:bCs w:val="0"/>
          <w:kern w:val="0"/>
          <w:sz w:val="32"/>
          <w:szCs w:val="32"/>
        </w:rPr>
        <w:t>在</w:t>
      </w:r>
      <w:r>
        <w:rPr>
          <w:rStyle w:val="20"/>
          <w:rFonts w:hint="eastAsia" w:ascii="仿宋" w:hAnsi="仿宋" w:eastAsia="仿宋" w:cs="仿宋"/>
          <w:b w:val="0"/>
          <w:kern w:val="0"/>
          <w:sz w:val="32"/>
          <w:szCs w:val="32"/>
        </w:rPr>
        <w:t>建立“一个中心、一个平台、十个业务系统”智慧城管平台基础上，加强城市网格化管理，推动城市管理网格化和扁平化管理，试点建立“一长四员”工作机制，即网格长、执法员、保洁员、设施养护员、绿化养护员，探索组建“城市管家”队伍。建立城市管理与社会治理相融合机制，开发城市综合治理APP，整合信息资源、增强工作合力、提升综合管理效能。</w:t>
      </w:r>
    </w:p>
    <w:p>
      <w:pPr>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以治理平台为支撑打造高效的城乡综合治理网格化管理系统。建立市级网格化管理议事决策制度、运行机制、标准规范，统筹整合相关公共管理资源，指导区（县）直部门网格化建设工作，建立市网格化监管平台，对全市网格化管理工作进行综合评价、监督考核。各区（县）相关部门负责所辖领域网格化管理，将专业力量下沉到网格。各区（县）政府是所辖区域内城乡网格化管理的责任主体，负责统筹协调网格化平台建设运行，按照“条块联动、属地为主”的原则，构建“网中有格、格中有责、责任到人”的综合治理网格化运行体系。明确各级平台、各类网格、各个岗位的工作职责、工作流程和考评标准，完善各级运行管理制度，建立“分级管理、闭环处置、协同联动”的工作机制，建立“信息收集、审核派发、问题处置、信息反馈、核查办结、跟踪督办”的闭环处理工作流程，实现常态化、精细化、制度化管理。建立覆盖市、区（县）、街道（乡镇）、社区四级城乡治理综合网格化信息平台，全市统一网格划分、数据采集、系统开发等技术标准，规范管理内容、工作流程、考评指标。加强对人口、场所、事件、部件、社会组织等各类基础信息的采集录入，完善网格化管理基础数据。</w:t>
      </w:r>
    </w:p>
    <w:p>
      <w:pPr>
        <w:ind w:firstLine="640" w:firstLineChars="200"/>
        <w:jc w:val="left"/>
        <w:rPr>
          <w:rStyle w:val="20"/>
          <w:rFonts w:ascii="仿宋" w:hAnsi="仿宋" w:eastAsia="仿宋" w:cs="仿宋"/>
          <w:b w:val="0"/>
          <w:kern w:val="0"/>
          <w:sz w:val="32"/>
          <w:szCs w:val="32"/>
        </w:rPr>
      </w:pPr>
      <w:r>
        <w:rPr>
          <w:rStyle w:val="20"/>
          <w:rFonts w:ascii="仿宋" w:hAnsi="仿宋" w:eastAsia="仿宋" w:cs="仿宋"/>
          <w:b w:val="0"/>
          <w:kern w:val="0"/>
          <w:sz w:val="32"/>
          <w:szCs w:val="32"/>
        </w:rPr>
        <w:drawing>
          <wp:inline distT="0" distB="0" distL="0" distR="0">
            <wp:extent cx="4740910" cy="3669665"/>
            <wp:effectExtent l="19050" t="0" r="2540" b="0"/>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20" cstate="print"/>
                    <a:stretch>
                      <a:fillRect/>
                    </a:stretch>
                  </pic:blipFill>
                  <pic:spPr>
                    <a:xfrm>
                      <a:off x="0" y="0"/>
                      <a:ext cx="4740910" cy="3669665"/>
                    </a:xfrm>
                    <a:prstGeom prst="rect">
                      <a:avLst/>
                    </a:prstGeom>
                    <a:noFill/>
                    <a:ln w="9525">
                      <a:noFill/>
                    </a:ln>
                  </pic:spPr>
                </pic:pic>
              </a:graphicData>
            </a:graphic>
          </wp:inline>
        </w:drawing>
      </w:r>
    </w:p>
    <w:p>
      <w:pPr>
        <w:jc w:val="center"/>
        <w:rPr>
          <w:rFonts w:ascii="仿宋" w:hAnsi="仿宋" w:eastAsia="仿宋" w:cs="仿宋"/>
          <w:sz w:val="32"/>
          <w:szCs w:val="32"/>
          <w:u w:val="single"/>
        </w:rPr>
      </w:pPr>
      <w:r>
        <w:rPr>
          <w:rFonts w:hint="eastAsia" w:ascii="仿宋" w:hAnsi="仿宋" w:eastAsia="仿宋" w:cs="仿宋"/>
          <w:sz w:val="32"/>
          <w:szCs w:val="32"/>
          <w:u w:val="single"/>
        </w:rPr>
        <w:t>智慧平台网格划分图</w:t>
      </w:r>
    </w:p>
    <w:p>
      <w:pPr>
        <w:spacing w:line="560" w:lineRule="exact"/>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到2021年网格化办结率和满意率均达到95%以上，到2025年建成区网格化全覆盖，网格化办结率和满意率均达到98%以上。</w:t>
      </w:r>
    </w:p>
    <w:p>
      <w:pPr>
        <w:spacing w:line="560" w:lineRule="exact"/>
        <w:ind w:firstLine="642" w:firstLineChars="200"/>
        <w:jc w:val="left"/>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（三）强化社区治理，发挥社区网格作用。</w:t>
      </w:r>
      <w:r>
        <w:rPr>
          <w:rStyle w:val="20"/>
          <w:rFonts w:hint="eastAsia" w:ascii="仿宋" w:hAnsi="仿宋" w:eastAsia="仿宋" w:cs="仿宋"/>
          <w:b w:val="0"/>
          <w:kern w:val="0"/>
          <w:sz w:val="32"/>
          <w:szCs w:val="32"/>
        </w:rPr>
        <w:t xml:space="preserve">建立健全以居民自治为基础，以多元参与、民主协商为主要特征的社区治理机制。建立社区干部、社区民警、城管队员、物业公司、辖区单位“五位一体”联动机制。依法建立社区公共事务准入制度，增强社区自治功能，推动制定社区居民公约，促进居民自治管理。设置城市管理专员，专司社区城市管理工作。积极推动智慧社区建设，扩大与社区群众的互动范围，提升投诉意见的响应速度，增强社区群众的幸福感。 </w:t>
      </w:r>
    </w:p>
    <w:p>
      <w:pPr>
        <w:spacing w:line="560" w:lineRule="exact"/>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健全社区党组织领导的基层群众自治制度，以社区网格化、社会化服务为方向，完善“社区、社会组织、社会工作、社区志愿者”四位一体服务机制。构建社区党组织、社区居委会、社区服务站、业主委员会、社区社会组织、物业公司参与，社区党建联席会议和社区共建联席会议为组织形成的“6+2”社区治理模式。着力完善“社工+志愿者”联动机制，加快建设集“四社联动、政务服务、公益服务、便民服务”于一体，社区居民广泛参与、协商共治的“互联社区”信息平台，提供一站式、一条龙服务。坚持人大代表、政协委员、党员干部联系社区制度。加大对社区建设的投入力度，提升社区服务、管理的硬件水平。到2025年，全市社区“互联社区”信息平台运行率达100%，居民满意率达95%以上。</w:t>
      </w:r>
    </w:p>
    <w:p>
      <w:pPr>
        <w:spacing w:line="560" w:lineRule="exact"/>
        <w:ind w:firstLine="642" w:firstLineChars="200"/>
        <w:jc w:val="left"/>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（四）提升智能化设备水平。</w:t>
      </w:r>
      <w:r>
        <w:rPr>
          <w:rStyle w:val="20"/>
          <w:rFonts w:hint="eastAsia" w:ascii="仿宋" w:hAnsi="仿宋" w:eastAsia="仿宋" w:cs="仿宋"/>
          <w:b w:val="0"/>
          <w:kern w:val="0"/>
          <w:sz w:val="32"/>
          <w:szCs w:val="32"/>
        </w:rPr>
        <w:t>一是提高行政执法装备。统一执法标识，高标准配备城市管理执法装备，保证一线人员执法车辆3-5人一辆，执法装备（包括噪声仪、测距仪、夜用红外照相机、夜用红外摄像机等）每中队一套，单兵装备（包括数字对讲机、数码照相机、录音笔等）正式队员每人一套，协管员每人对讲机一台，到2025年装备达到国内一流水平。二是提升行业作业设备。坚持机械作业为主、人工作业为辅，持续推动由人工作业为主向机械化作业转变。推广使用市政养护环保隔声设备、环卫高压冲洗车、激动升降修枝车、违建拆除专用设备等。推广使用纯电动、混合动力、燃气等节能环保型作业车辆，更新环卫、绿化养护、应急抢险等作业车辆。三是推广新工艺、新技术、新材料。注重环保材料和废旧材料再生开发利用，促进新技术促进消化吸收。推进应用水污染治理和循环利用、污泥处理处置及资源化利用、排水管道内窥检查机非开挖修复、园林绿化固体废弃物资源化再利用、冷拌筑路等国内外先进、适用技术。</w:t>
      </w:r>
    </w:p>
    <w:p>
      <w:pPr>
        <w:spacing w:line="560" w:lineRule="exact"/>
        <w:ind w:firstLine="642" w:firstLineChars="200"/>
        <w:jc w:val="left"/>
        <w:rPr>
          <w:rFonts w:ascii="Times New Roman" w:hAnsi="Times New Roman" w:eastAsia="宋体" w:cs="Times New Roman"/>
          <w:sz w:val="24"/>
          <w:szCs w:val="24"/>
        </w:rPr>
      </w:pPr>
      <w:r>
        <w:rPr>
          <w:rStyle w:val="20"/>
          <w:rFonts w:hint="eastAsia" w:ascii="仿宋" w:hAnsi="仿宋" w:eastAsia="仿宋" w:cs="仿宋"/>
          <w:bCs w:val="0"/>
          <w:kern w:val="0"/>
          <w:sz w:val="32"/>
          <w:szCs w:val="32"/>
        </w:rPr>
        <w:t>（五）推进智慧化管理的全领域覆盖。</w:t>
      </w:r>
      <w:r>
        <w:rPr>
          <w:rStyle w:val="20"/>
          <w:rFonts w:hint="eastAsia" w:ascii="仿宋" w:hAnsi="仿宋" w:eastAsia="仿宋" w:cs="仿宋"/>
          <w:b w:val="0"/>
          <w:kern w:val="0"/>
          <w:sz w:val="32"/>
          <w:szCs w:val="32"/>
        </w:rPr>
        <w:t>整合城管、交通、公安、工商、自然资源、卫生等部门数据，实现数据共联共享，一网多用。普及交通、城管、交警、燃气、桥梁、工地等重点部位和区域的监控、报警、处置等，为城市提供便利的市民服务，精准快速的城市管理。包括市政公用系统、跨江大桥监测系统、市政设施监管系统、市政道路监管系统、市容环卫监管系统、城管行政执法监督系统、渣土清运管理系统、应急调度指挥系统、园林绿化监管系统、青山湖景区监管系统，实现城市管理全领域覆盖。</w:t>
      </w:r>
    </w:p>
    <w:tbl>
      <w:tblPr>
        <w:tblStyle w:val="18"/>
        <w:tblW w:w="8046" w:type="dxa"/>
        <w:jc w:val="cente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8046"/>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046" w:type="dxa"/>
          </w:tcPr>
          <w:p>
            <w:pPr>
              <w:spacing w:line="360" w:lineRule="auto"/>
              <w:jc w:val="center"/>
              <w:rPr>
                <w:rStyle w:val="20"/>
                <w:rFonts w:ascii="Times New Roman" w:hAnsi="Times New Roman" w:eastAsia="宋体" w:cs="Times New Roman"/>
                <w:b w:val="0"/>
                <w:kern w:val="0"/>
                <w:sz w:val="24"/>
                <w:szCs w:val="24"/>
              </w:rPr>
            </w:pPr>
            <w:r>
              <w:rPr>
                <w:rStyle w:val="20"/>
                <w:rFonts w:hint="eastAsia" w:ascii="Times New Roman" w:hAnsi="Times New Roman" w:eastAsia="宋体" w:cs="Times New Roman"/>
                <w:b w:val="0"/>
                <w:kern w:val="0"/>
                <w:sz w:val="24"/>
                <w:szCs w:val="24"/>
              </w:rPr>
              <w:t>“一个中心，一个平台，十大系统”智慧城管平台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jc w:val="center"/>
        </w:trPr>
        <w:tc>
          <w:tcPr>
            <w:tcW w:w="8046" w:type="dxa"/>
          </w:tcPr>
          <w:p>
            <w:pPr>
              <w:numPr>
                <w:ilvl w:val="0"/>
                <w:numId w:val="31"/>
              </w:numPr>
              <w:spacing w:line="360" w:lineRule="auto"/>
              <w:rPr>
                <w:rStyle w:val="20"/>
                <w:rFonts w:ascii="Times New Roman" w:hAnsi="Times New Roman" w:cs="Times New Roman"/>
                <w:b w:val="0"/>
                <w:bCs w:val="0"/>
                <w:szCs w:val="21"/>
              </w:rPr>
            </w:pPr>
            <w:r>
              <w:rPr>
                <w:rStyle w:val="20"/>
                <w:rFonts w:hint="eastAsia" w:ascii="Times New Roman" w:hAnsi="Times New Roman" w:eastAsia="宋体" w:cs="Times New Roman"/>
                <w:kern w:val="0"/>
                <w:szCs w:val="21"/>
              </w:rPr>
              <w:t>一个中心：</w:t>
            </w:r>
          </w:p>
          <w:p>
            <w:pPr>
              <w:spacing w:line="360" w:lineRule="auto"/>
              <w:ind w:firstLine="420" w:firstLineChars="200"/>
              <w:rPr>
                <w:rFonts w:ascii="Times New Roman" w:hAnsi="Times New Roman" w:cs="Times New Roman"/>
                <w:szCs w:val="21"/>
              </w:rPr>
            </w:pPr>
            <w:r>
              <w:rPr>
                <w:rFonts w:hint="eastAsia" w:ascii="Times New Roman" w:hAnsi="Times New Roman" w:cs="Times New Roman"/>
                <w:szCs w:val="21"/>
              </w:rPr>
              <w:t>城市运行监管中心是全市城市管理各个业务系统信息和数据的汇集中心，履行全面监管、指挥协调、资源整合的职能，实现对局属业务系统整合融合，对县区级智慧城管平台系统监管。</w:t>
            </w:r>
          </w:p>
          <w:p>
            <w:pPr>
              <w:spacing w:line="360" w:lineRule="auto"/>
              <w:rPr>
                <w:rStyle w:val="20"/>
                <w:rFonts w:ascii="Times New Roman" w:hAnsi="Times New Roman" w:eastAsia="宋体" w:cs="Times New Roman"/>
                <w:kern w:val="0"/>
                <w:szCs w:val="21"/>
              </w:rPr>
            </w:pPr>
            <w:r>
              <w:rPr>
                <w:rStyle w:val="20"/>
                <w:rFonts w:hint="eastAsia" w:ascii="Times New Roman" w:hAnsi="Times New Roman" w:eastAsia="宋体" w:cs="Times New Roman"/>
                <w:kern w:val="0"/>
                <w:szCs w:val="21"/>
              </w:rPr>
              <w:t>（二）一个平台：</w:t>
            </w:r>
          </w:p>
          <w:p>
            <w:pPr>
              <w:spacing w:line="360" w:lineRule="auto"/>
              <w:ind w:firstLine="420" w:firstLineChars="200"/>
              <w:rPr>
                <w:b/>
                <w:bCs/>
              </w:rPr>
            </w:pPr>
            <w:r>
              <w:rPr>
                <w:rFonts w:hint="eastAsia" w:ascii="Times New Roman" w:hAnsi="Times New Roman" w:cs="Times New Roman"/>
                <w:szCs w:val="21"/>
              </w:rPr>
              <w:t>智慧城管数据汇聚平台提供城市管理数据采集汇聚、过程监管、质量控制等关键能力。应用地面执法记录仪、高清摄像头、无人机、传感器等设备采集信息，采用标准采集流程，将各部门分散的业务监测数据进行过滤、转换，传送至智慧城管中心共享数据库，提供现场实时图像和数据。</w:t>
            </w:r>
          </w:p>
          <w:p>
            <w:pPr>
              <w:spacing w:line="360" w:lineRule="auto"/>
              <w:rPr>
                <w:rFonts w:ascii="Times New Roman" w:hAnsi="Times New Roman" w:cs="Times New Roman"/>
                <w:szCs w:val="21"/>
              </w:rPr>
            </w:pPr>
            <w:r>
              <w:rPr>
                <w:rStyle w:val="20"/>
                <w:rFonts w:hint="eastAsia" w:ascii="Times New Roman" w:hAnsi="Times New Roman" w:eastAsia="宋体" w:cs="Times New Roman"/>
                <w:kern w:val="0"/>
                <w:szCs w:val="21"/>
              </w:rPr>
              <w:t>（三）十个智慧城管业务系统：</w:t>
            </w:r>
          </w:p>
          <w:p>
            <w:pPr>
              <w:spacing w:line="360" w:lineRule="auto"/>
              <w:ind w:firstLine="420" w:firstLineChars="200"/>
            </w:pPr>
            <w:r>
              <w:rPr>
                <w:rFonts w:hint="eastAsia"/>
              </w:rPr>
              <w:t>1.市政设施监管系统。对全市道路、立交桥、隧道等市政基础设施运行情况进行监管监测，全面掌握市政基础设施健康状况及各类事件发生和处置的过程，提高动态监管和应急指挥能力，提升市政设施维护精细化水平和服务质量；建设市政基础设施数据库，为进一步的数据利用、分析、挖掘提供基础数据支撑。</w:t>
            </w:r>
          </w:p>
          <w:p>
            <w:pPr>
              <w:spacing w:line="360" w:lineRule="auto"/>
              <w:ind w:firstLine="420" w:firstLineChars="200"/>
            </w:pPr>
            <w:r>
              <w:rPr>
                <w:rFonts w:hint="eastAsia"/>
              </w:rPr>
              <w:t xml:space="preserve"> 2.跨江桥梁监测系统。对现有跨江桥梁智慧管理中心和系统进行提质升级改造，降低桥体碰撞事故发生概率，减小事故损失，为事故调查取证提供依据，提升跨江桥梁的科技监管水平和综合管理能力。</w:t>
            </w:r>
          </w:p>
          <w:p>
            <w:pPr>
              <w:spacing w:line="360" w:lineRule="auto"/>
              <w:ind w:firstLine="420" w:firstLineChars="200"/>
            </w:pPr>
            <w:r>
              <w:rPr>
                <w:rFonts w:hint="eastAsia"/>
              </w:rPr>
              <w:t>3.城市管理综合执法系统。建设执法办案、指挥调度、无人机巡查等执法系统，提升执法队伍装备水平，提高城市市容秩序管控能力；加强对执法巡查的实时监控能力，加强对城管执法人员、执法案件的管理，规范执法程序和行为，实现执法过程透明公开。</w:t>
            </w:r>
          </w:p>
          <w:p>
            <w:pPr>
              <w:spacing w:line="360" w:lineRule="auto"/>
              <w:ind w:firstLine="420" w:firstLineChars="200"/>
            </w:pPr>
            <w:r>
              <w:rPr>
                <w:rFonts w:hint="eastAsia"/>
              </w:rPr>
              <w:t>4.智慧照明监管系统。基于现有的城市照明自动化监控管理、路灯GIS定位管理的基础，建设城市综合照明管理系统；加强对城市照明资产的管理维护水平，提升道路景观照明的远程监控和对城市照明行业的移动作业管理能力，实现对重点路段精准控制与节能控制，对漏电故障实时监测、主动告警和漏电跳闸保护，提高日常管护工作效率和应急故障发现处置能力，保障城市照明安全，实现城市照明监管的精细化、智能化监管。</w:t>
            </w:r>
          </w:p>
          <w:p>
            <w:pPr>
              <w:spacing w:line="360" w:lineRule="auto"/>
              <w:ind w:firstLine="420" w:firstLineChars="200"/>
            </w:pPr>
            <w:r>
              <w:rPr>
                <w:rFonts w:hint="eastAsia"/>
              </w:rPr>
              <w:t xml:space="preserve"> 5.智慧燃气行业监管系统。整合地图、管网、场站等空间信息，完善燃气行业的各项数据的分类录入与存储，建设燃气安全监管、信息上报和执法巡查系统，实现对管道燃气、瓶装液化气、燃气场站、加气站及燃气经营企业的一体化综合监管；强化安全监管，对燃气突发事件实现快速响应、预警和应急指挥，保障城市燃气的安全运行。</w:t>
            </w:r>
          </w:p>
          <w:p>
            <w:pPr>
              <w:spacing w:line="360" w:lineRule="auto"/>
              <w:ind w:firstLine="420" w:firstLineChars="200"/>
            </w:pPr>
            <w:r>
              <w:rPr>
                <w:rFonts w:hint="eastAsia"/>
              </w:rPr>
              <w:t xml:space="preserve"> 6.市容环卫监管系统。建设涵盖垃圾分类、网格化监管、作业监管、设施监管、执法监管的智慧环卫一体化综合监管平台，对环卫管理涉及到的人、车、物、事进行全过程实时管理；加强对垃圾处理设施、环卫作业车辆等市容环卫设施的智能监管，保障环卫设施健康运行；对环卫活动实施智能监控，提高环卫作业质量，降低环卫运营成本，科学评价区域、部门、单位和人员作业效果，推进环卫作业精细化管理。</w:t>
            </w:r>
          </w:p>
          <w:p>
            <w:pPr>
              <w:spacing w:line="360" w:lineRule="auto"/>
              <w:ind w:firstLine="420" w:firstLineChars="200"/>
            </w:pPr>
            <w:r>
              <w:rPr>
                <w:rFonts w:hint="eastAsia"/>
              </w:rPr>
              <w:t xml:space="preserve"> 7.城市污水监管系统。建立外部进水情况监测体系，监测各污水处理厂终端泵站运行情况，掌握水质、水量情况；对污水处理厂运行状况以及出水指标进行监控，确保各厂规范正常运营和服务达标；加强对污泥处理处置厂的监管，监测各污泥处理处置厂及污泥运输车辆的运行状况；以污水处理管理办公室为监控中心站，各污水（泥）处理厂及终端泵站为前端节点，建设平台监控中心站。</w:t>
            </w:r>
          </w:p>
          <w:p>
            <w:pPr>
              <w:spacing w:line="360" w:lineRule="auto"/>
              <w:ind w:firstLine="420" w:firstLineChars="200"/>
            </w:pPr>
            <w:r>
              <w:rPr>
                <w:rFonts w:hint="eastAsia"/>
              </w:rPr>
              <w:t>8.城市排水监管系统。建设排水指挥中心综合管理系统及涝点、井盖、泵站、管网等监测系统，对积水点、井盖、泵站及管网状态等进行全面监测，实时掌握现场情况，排除安全隐患，提高城市排水监管及内涝防治水平。</w:t>
            </w:r>
          </w:p>
          <w:p>
            <w:pPr>
              <w:spacing w:line="360" w:lineRule="auto"/>
              <w:ind w:firstLine="420" w:firstLineChars="200"/>
            </w:pPr>
            <w:r>
              <w:rPr>
                <w:rFonts w:hint="eastAsia"/>
              </w:rPr>
              <w:t>9.园林绿化监管系统。建立园林绿化基础数据库，对绿地、公园广场、园林绿化、古树名木等设施的空间信息和属性信息进行建档登记和维护；建设公园广场和园林绿化监管系统，实现对公园广场、园林绿化设施的远程实时监控，及时掌握园林绿化设施运行状态、植物季相变化及病虫害防治情况。</w:t>
            </w:r>
          </w:p>
          <w:p>
            <w:pPr>
              <w:spacing w:line="360" w:lineRule="auto"/>
              <w:ind w:firstLine="420" w:firstLineChars="200"/>
              <w:rPr>
                <w:rStyle w:val="20"/>
                <w:rFonts w:ascii="Times New Roman" w:hAnsi="Times New Roman" w:cs="Times New Roman"/>
                <w:b w:val="0"/>
                <w:bCs w:val="0"/>
                <w:szCs w:val="21"/>
              </w:rPr>
            </w:pPr>
            <w:r>
              <w:rPr>
                <w:rFonts w:hint="eastAsia"/>
              </w:rPr>
              <w:t>10.青山湖景区监管系统。对现有监控室、监控系统进行提质升级改造，覆盖监控盲区，实现对景区的全面监控；对景区各方面情况早发现、早预警，提升应急事件响应速度，并为青山湖防洪调蓄、安全度汛提供准确、及时的现场信息，保障周边人财物安全。</w:t>
            </w:r>
          </w:p>
        </w:tc>
      </w:tr>
    </w:tbl>
    <w:p>
      <w:pPr>
        <w:widowControl/>
        <w:spacing w:line="360" w:lineRule="auto"/>
        <w:jc w:val="center"/>
        <w:rPr>
          <w:rFonts w:ascii="Times New Roman" w:hAnsi="Times New Roman" w:eastAsia="宋体" w:cs="Times New Roman"/>
          <w:sz w:val="24"/>
          <w:szCs w:val="24"/>
        </w:rPr>
      </w:pPr>
    </w:p>
    <w:p>
      <w:pPr>
        <w:widowControl/>
        <w:jc w:val="left"/>
        <w:rPr>
          <w:rFonts w:ascii="Times New Roman" w:hAnsi="Times New Roman" w:eastAsia="宋体" w:cs="Times New Roman"/>
          <w:sz w:val="24"/>
          <w:szCs w:val="24"/>
        </w:rPr>
      </w:pPr>
      <w:r>
        <w:rPr>
          <w:rFonts w:ascii="Times New Roman" w:hAnsi="Times New Roman" w:eastAsia="宋体" w:cs="Times New Roman"/>
          <w:sz w:val="24"/>
          <w:szCs w:val="24"/>
        </w:rPr>
        <w:br w:type="page"/>
      </w:r>
    </w:p>
    <w:p>
      <w:pPr>
        <w:spacing w:beforeLines="50" w:afterLines="50" w:line="560" w:lineRule="exact"/>
        <w:jc w:val="center"/>
        <w:outlineLvl w:val="1"/>
        <w:rPr>
          <w:rFonts w:ascii="仿宋" w:hAnsi="仿宋" w:eastAsia="仿宋" w:cs="仿宋"/>
          <w:b/>
          <w:bCs/>
          <w:sz w:val="32"/>
          <w:szCs w:val="32"/>
        </w:rPr>
      </w:pPr>
      <w:bookmarkStart w:id="52" w:name="_Toc63246019"/>
      <w:r>
        <w:rPr>
          <w:rFonts w:hint="eastAsia" w:ascii="仿宋" w:hAnsi="仿宋" w:eastAsia="仿宋" w:cs="仿宋"/>
          <w:b/>
          <w:bCs/>
          <w:sz w:val="32"/>
          <w:szCs w:val="32"/>
        </w:rPr>
        <w:t>第二节  打造清爽靓丽市容秩序</w:t>
      </w:r>
      <w:bookmarkEnd w:id="52"/>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持续提升城市面貌和公共秩序，重点加强市容短板地区的改善力度，深入开展城市文化特色塑造，提升城市夜景,打造一个既靓丽、又有文化秩序井然的城市市容。</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2021年，城市 “六改”项目基本全覆盖；户外广告设置规划全覆盖，全面提升户外广告牌匾管理水平；实现违法广告发现处置率达98%、破损广告及时修复率达95%；道路照明主干道亮灯率达到98%，道路照明设施完好率达到95%；背街小巷整治和社区邻里中心建设全覆盖。</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2025年，实现违法广告发现处置率超过98%、破损广告及时修复率超过95%；道路照明主干道亮灯率达到98%以上，道路照明设施完好率达到95%以上，全市老旧小区改造全覆盖。</w:t>
      </w:r>
    </w:p>
    <w:p>
      <w:pPr>
        <w:pStyle w:val="16"/>
        <w:numPr>
          <w:ilvl w:val="0"/>
          <w:numId w:val="32"/>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53" w:name="_Toc63246020"/>
      <w:bookmarkStart w:id="54" w:name="_Toc8639215"/>
      <w:r>
        <w:rPr>
          <w:rStyle w:val="20"/>
          <w:rFonts w:hint="eastAsia" w:ascii="仿宋" w:hAnsi="仿宋" w:eastAsia="仿宋" w:cs="仿宋"/>
          <w:bCs w:val="0"/>
          <w:sz w:val="32"/>
          <w:szCs w:val="32"/>
        </w:rPr>
        <w:t>靓化城市容貌</w:t>
      </w:r>
      <w:bookmarkEnd w:id="53"/>
      <w:bookmarkEnd w:id="54"/>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（一）继续实施“六改”项目。</w:t>
      </w:r>
      <w:r>
        <w:rPr>
          <w:rStyle w:val="20"/>
          <w:rFonts w:hint="eastAsia" w:ascii="仿宋" w:hAnsi="仿宋" w:eastAsia="仿宋" w:cs="仿宋"/>
          <w:b w:val="0"/>
          <w:kern w:val="0"/>
          <w:sz w:val="32"/>
          <w:szCs w:val="32"/>
        </w:rPr>
        <w:t>继续大力推进城市管理“六改”项目。2021年完成全市</w:t>
      </w:r>
      <w:r>
        <w:rPr>
          <w:rStyle w:val="20"/>
          <w:rFonts w:ascii="仿宋" w:hAnsi="仿宋" w:eastAsia="仿宋" w:cs="仿宋"/>
          <w:b w:val="0"/>
          <w:kern w:val="0"/>
          <w:sz w:val="32"/>
          <w:szCs w:val="32"/>
        </w:rPr>
        <w:t>主次干道</w:t>
      </w:r>
      <w:r>
        <w:rPr>
          <w:rStyle w:val="20"/>
          <w:rFonts w:hint="eastAsia" w:ascii="仿宋" w:hAnsi="仿宋" w:eastAsia="仿宋" w:cs="仿宋"/>
          <w:b w:val="0"/>
          <w:kern w:val="0"/>
          <w:sz w:val="32"/>
          <w:szCs w:val="32"/>
        </w:rPr>
        <w:t>“白改黑”全</w:t>
      </w:r>
      <w:r>
        <w:rPr>
          <w:rStyle w:val="20"/>
          <w:rFonts w:ascii="仿宋" w:hAnsi="仿宋" w:eastAsia="仿宋" w:cs="仿宋"/>
          <w:b w:val="0"/>
          <w:kern w:val="0"/>
          <w:sz w:val="32"/>
          <w:szCs w:val="32"/>
        </w:rPr>
        <w:t>覆盖</w:t>
      </w:r>
      <w:r>
        <w:rPr>
          <w:rStyle w:val="20"/>
          <w:rFonts w:hint="eastAsia" w:ascii="仿宋" w:hAnsi="仿宋" w:eastAsia="仿宋" w:cs="仿宋"/>
          <w:b w:val="0"/>
          <w:kern w:val="0"/>
          <w:sz w:val="32"/>
          <w:szCs w:val="32"/>
        </w:rPr>
        <w:t>。大力实施“暗改亮”行动，开展一环线等城市道路增亮补亮，推广</w:t>
      </w:r>
      <w:r>
        <w:rPr>
          <w:rStyle w:val="20"/>
          <w:rFonts w:ascii="仿宋" w:hAnsi="仿宋" w:eastAsia="仿宋" w:cs="仿宋"/>
          <w:b w:val="0"/>
          <w:kern w:val="0"/>
          <w:sz w:val="32"/>
          <w:szCs w:val="32"/>
        </w:rPr>
        <w:t>功能照明、景观灯</w:t>
      </w:r>
      <w:r>
        <w:rPr>
          <w:rStyle w:val="20"/>
          <w:rFonts w:hint="eastAsia" w:ascii="仿宋" w:hAnsi="仿宋" w:eastAsia="仿宋" w:cs="仿宋"/>
          <w:b w:val="0"/>
          <w:kern w:val="0"/>
          <w:sz w:val="32"/>
          <w:szCs w:val="32"/>
        </w:rPr>
        <w:t>LED节能</w:t>
      </w:r>
      <w:r>
        <w:rPr>
          <w:rStyle w:val="20"/>
          <w:rFonts w:ascii="仿宋" w:hAnsi="仿宋" w:eastAsia="仿宋" w:cs="仿宋"/>
          <w:b w:val="0"/>
          <w:kern w:val="0"/>
          <w:sz w:val="32"/>
          <w:szCs w:val="32"/>
        </w:rPr>
        <w:t>新光源</w:t>
      </w:r>
      <w:r>
        <w:rPr>
          <w:rStyle w:val="20"/>
          <w:rFonts w:hint="eastAsia" w:ascii="仿宋" w:hAnsi="仿宋" w:eastAsia="仿宋" w:cs="仿宋"/>
          <w:b w:val="0"/>
          <w:kern w:val="0"/>
          <w:sz w:val="32"/>
          <w:szCs w:val="32"/>
        </w:rPr>
        <w:t>。大力实施“面改美”行动，2021年每个城区至少实施</w:t>
      </w:r>
      <w:r>
        <w:rPr>
          <w:rStyle w:val="20"/>
          <w:rFonts w:ascii="仿宋" w:hAnsi="仿宋" w:eastAsia="仿宋" w:cs="仿宋"/>
          <w:b w:val="0"/>
          <w:kern w:val="0"/>
          <w:sz w:val="32"/>
          <w:szCs w:val="32"/>
        </w:rPr>
        <w:t>1</w:t>
      </w:r>
      <w:r>
        <w:rPr>
          <w:rStyle w:val="20"/>
          <w:rFonts w:hint="eastAsia" w:ascii="仿宋" w:hAnsi="仿宋" w:eastAsia="仿宋" w:cs="仿宋"/>
          <w:b w:val="0"/>
          <w:kern w:val="0"/>
          <w:sz w:val="32"/>
          <w:szCs w:val="32"/>
        </w:rPr>
        <w:t>条道路建筑立面综合改造。大力实施“旧改新”行动，2021年对全市261个老旧小区实施环境改造提升。大力实施“上改下”行动，2021年市级实施民德路、孺子路、象山路、叠山路等道路的管线下地，各城区不少于1条。大力实施“绿改彩”行动， 2021年对全市150条道路实施常态化彩化。到2021年，城市 “六改”项目基本完成全覆盖。</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（二）规范广告店招设置。</w:t>
      </w:r>
      <w:r>
        <w:rPr>
          <w:rStyle w:val="20"/>
          <w:rFonts w:hint="eastAsia" w:ascii="仿宋" w:hAnsi="仿宋" w:eastAsia="仿宋" w:cs="仿宋"/>
          <w:b w:val="0"/>
          <w:kern w:val="0"/>
          <w:sz w:val="32"/>
          <w:szCs w:val="32"/>
        </w:rPr>
        <w:t>按照“减量、规范、提升”的原则，根据《南昌市户外广告设施设置规范》、《南昌市门店招牌设置管理规范》要求，继续开展户外广告和门店招牌整治，全面清理主次干道沿街立面和屋顶的广告牌，大力整治未经审批、超期、影响市容观瞻及存在安全隐患的户外广告，重点组织开展门店招牌、“防盗窗”、“卷闸门”专项整治，临街店招做到标准统一、风格统一，与建构筑物个周边环境相协调，同时持续推进垃圾广告整治，加大打击处罚力度，着力净化城市空间。加快户外广告及门店招牌的规划设计，2021年编制完成《南昌市户外广告总体规划》、并陆续编制完成《南昌市主要道路户外广告设置详细规划》等。完善户外广告执法流程，加大违法广告行政处罚力度，破解广告拆除强制执行的瓶颈，到2021年，实现违法广告发现处置率达98%、破损广告及时修复率达95%。到2025年，实现违法广告发现处置率超过98%、破损广告及时修复率超过95%。</w:t>
      </w:r>
    </w:p>
    <w:p>
      <w:pPr>
        <w:spacing w:line="560" w:lineRule="exact"/>
        <w:ind w:firstLine="642" w:firstLineChars="200"/>
        <w:rPr>
          <w:rStyle w:val="20"/>
          <w:rFonts w:ascii="仿宋" w:hAnsi="仿宋" w:eastAsia="仿宋" w:cs="仿宋"/>
          <w:bCs w:val="0"/>
          <w:kern w:val="0"/>
          <w:sz w:val="32"/>
          <w:szCs w:val="32"/>
        </w:rPr>
      </w:pPr>
      <w:r>
        <w:rPr>
          <w:rStyle w:val="20"/>
          <w:rFonts w:hint="eastAsia" w:ascii="仿宋" w:hAnsi="仿宋" w:eastAsia="仿宋" w:cs="仿宋"/>
          <w:bCs w:val="0"/>
          <w:kern w:val="0"/>
          <w:sz w:val="32"/>
          <w:szCs w:val="32"/>
        </w:rPr>
        <w:t>（三）通道沿线环境整治。</w:t>
      </w:r>
      <w:r>
        <w:rPr>
          <w:rStyle w:val="20"/>
          <w:rFonts w:hint="eastAsia" w:ascii="仿宋" w:hAnsi="仿宋" w:eastAsia="仿宋" w:cs="仿宋"/>
          <w:b w:val="0"/>
          <w:bCs w:val="0"/>
          <w:kern w:val="0"/>
          <w:sz w:val="32"/>
          <w:szCs w:val="32"/>
        </w:rPr>
        <w:t>提升市域内公路、铁落等通道沿线综合环境品质，打造整洁美观、富有地域特色的通道沿线风光带。持续巩固地方和铁路“双段长”制、路域环境整治成效基础上，重点围绕城市一环、二环、国省干线公路穿城镇（村）沿线实施整治，包括完成西外环高速整治、昌九快速路绿化提升改造工程，全面推进南外环及昌宁高速周边、高新区城市高速出入口、西外环高速沿线整治工程（湾里、经开段）等主要通道及重点地区环境综合整治工程。</w:t>
      </w:r>
      <w:r>
        <w:rPr>
          <w:rStyle w:val="20"/>
          <w:rFonts w:hint="eastAsia" w:ascii="仿宋" w:hAnsi="仿宋" w:eastAsia="仿宋" w:cs="仿宋"/>
          <w:b w:val="0"/>
          <w:kern w:val="0"/>
          <w:sz w:val="32"/>
          <w:szCs w:val="32"/>
        </w:rPr>
        <w:t>继续推进京九铁路、沪昆铁路、沪昆高铁、昌福（向莆）铁路、昌九城际铁路，以及将新建的昌九高铁、昌景黄高铁等铁路沿线综合环境长效治理。持续巩固提升通道沿线整合环境整治成果，切实提升通道沿线长效管理水平，打造疏朗、生态、大气、整洁、美观的通道沿线环境。</w:t>
      </w:r>
    </w:p>
    <w:p>
      <w:pPr>
        <w:widowControl/>
        <w:ind w:firstLine="642" w:firstLineChars="200"/>
        <w:jc w:val="left"/>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（四）城市“牛皮癣”整治。</w:t>
      </w:r>
      <w:r>
        <w:rPr>
          <w:rStyle w:val="20"/>
          <w:rFonts w:hint="eastAsia" w:ascii="仿宋" w:hAnsi="仿宋" w:eastAsia="仿宋" w:cs="仿宋"/>
          <w:b w:val="0"/>
          <w:kern w:val="0"/>
          <w:sz w:val="32"/>
          <w:szCs w:val="32"/>
        </w:rPr>
        <w:t>为解决“牛皮癣”这一城市顽疾，根据《南昌市垃圾广告专项整治及长效治理方案》、《关于严禁制作、张贴、喷涂、书写广告和散发印刷品广告的通告》等相关文件，一是采取疏堵结合方式有效清除。各区（县）城管、街办、社区等部门，采取疏堵结合的方式对辖区内的主次干道、小街巷和社区楼宇楼道、公园广场等部位实施了全方位垃圾广告清理。二是多部门通力合作集中整治。</w:t>
      </w:r>
      <w:r>
        <w:rPr>
          <w:rStyle w:val="20"/>
          <w:rFonts w:hint="eastAsia" w:ascii="仿宋" w:hAnsi="仿宋" w:eastAsia="仿宋" w:cs="仿宋"/>
          <w:kern w:val="0"/>
          <w:sz w:val="32"/>
          <w:szCs w:val="32"/>
        </w:rPr>
        <w:t>为进一步阻断垃圾广告源头，由市公安局、市市场监管局、市工信委等多个部门积极联合行动、相互配合、齐抓共管，采取的一系列有力举措，从源头上遏制了垃圾广告的泛滥。设置奖励机制，鼓动全民参与。为更好地鼓励全体市民积极参与清理垃圾广告的行动，专门设立奖励机制，凡举报并扭送张贴、喷涂、书写、散发垃圾广告行为人到公安机关处理的和凡向公安机关举报制假“窝点”重要线索的，给予举报人一定的奖励。</w:t>
      </w:r>
    </w:p>
    <w:p>
      <w:pPr>
        <w:pStyle w:val="16"/>
        <w:numPr>
          <w:ilvl w:val="0"/>
          <w:numId w:val="32"/>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55" w:name="_Toc63246021"/>
      <w:r>
        <w:rPr>
          <w:rStyle w:val="20"/>
          <w:rFonts w:hint="eastAsia" w:ascii="仿宋" w:hAnsi="仿宋" w:eastAsia="仿宋" w:cs="仿宋"/>
          <w:bCs w:val="0"/>
          <w:sz w:val="32"/>
          <w:szCs w:val="32"/>
        </w:rPr>
        <w:t>提高城市亮化</w:t>
      </w:r>
      <w:bookmarkEnd w:id="55"/>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（一）明确城市照明形象定位。</w:t>
      </w:r>
      <w:r>
        <w:rPr>
          <w:rStyle w:val="20"/>
          <w:rFonts w:hint="eastAsia" w:ascii="仿宋" w:hAnsi="仿宋" w:eastAsia="仿宋" w:cs="仿宋"/>
          <w:b w:val="0"/>
          <w:kern w:val="0"/>
          <w:sz w:val="32"/>
          <w:szCs w:val="32"/>
        </w:rPr>
        <w:t>结合南昌的城市性质、文化特色、空间布局特点，南昌市照明总体形象定位为“人江物华、美映洪城”之意境，通过灯光环境的整体塑造，体现南昌“古朴、空灵、含蓄、大气、雅致、静寂”的水生态英雄从城市夜景彰显南昌红色基因传统。灯光环境最大限度的烘托出南昌迷人的城市气质，突出城市特色，提升城市形象和城市品质，打造国内一流的“人江物华、美映洪城”之意境的城市夜景。继续编制完成《南昌市景观照明专项规划》和《南昌市道路照明专项规划》。</w:t>
      </w:r>
    </w:p>
    <w:p>
      <w:pPr>
        <w:ind w:left="198" w:firstLine="642" w:firstLineChars="200"/>
        <w:jc w:val="left"/>
        <w:rPr>
          <w:rStyle w:val="20"/>
          <w:rFonts w:ascii="仿宋" w:hAnsi="仿宋" w:eastAsia="仿宋" w:cs="仿宋"/>
          <w:b w:val="0"/>
          <w:kern w:val="0"/>
          <w:sz w:val="32"/>
          <w:szCs w:val="32"/>
          <w:lang w:val="zh-CN"/>
        </w:rPr>
      </w:pPr>
      <w:r>
        <w:rPr>
          <w:rStyle w:val="20"/>
          <w:rFonts w:hint="eastAsia" w:ascii="仿宋" w:hAnsi="仿宋" w:eastAsia="仿宋" w:cs="仿宋"/>
          <w:bCs w:val="0"/>
          <w:kern w:val="0"/>
          <w:sz w:val="32"/>
          <w:szCs w:val="32"/>
        </w:rPr>
        <w:t>（二）</w:t>
      </w:r>
      <w:r>
        <w:rPr>
          <w:rStyle w:val="20"/>
          <w:rFonts w:hint="eastAsia" w:ascii="仿宋" w:hAnsi="仿宋" w:eastAsia="仿宋" w:cs="仿宋"/>
          <w:bCs w:val="0"/>
          <w:kern w:val="0"/>
          <w:sz w:val="32"/>
          <w:szCs w:val="32"/>
          <w:lang w:val="zh-CN"/>
        </w:rPr>
        <w:t>打造</w:t>
      </w:r>
      <w:r>
        <w:rPr>
          <w:rStyle w:val="20"/>
          <w:rFonts w:ascii="仿宋" w:hAnsi="仿宋" w:eastAsia="仿宋" w:cs="仿宋"/>
          <w:bCs w:val="0"/>
          <w:kern w:val="0"/>
          <w:sz w:val="32"/>
          <w:szCs w:val="32"/>
          <w:lang w:val="zh-CN"/>
        </w:rPr>
        <w:t>“</w:t>
      </w:r>
      <w:r>
        <w:rPr>
          <w:rStyle w:val="20"/>
          <w:rFonts w:hint="eastAsia" w:ascii="仿宋" w:hAnsi="仿宋" w:eastAsia="仿宋" w:cs="仿宋"/>
          <w:bCs w:val="0"/>
          <w:kern w:val="0"/>
          <w:sz w:val="32"/>
          <w:szCs w:val="32"/>
          <w:lang w:val="zh-CN"/>
        </w:rPr>
        <w:t>一轴双核九湖、六横八纵、多点布局</w:t>
      </w:r>
      <w:r>
        <w:rPr>
          <w:rStyle w:val="20"/>
          <w:rFonts w:ascii="仿宋" w:hAnsi="仿宋" w:eastAsia="仿宋" w:cs="仿宋"/>
          <w:bCs w:val="0"/>
          <w:kern w:val="0"/>
          <w:sz w:val="32"/>
          <w:szCs w:val="32"/>
          <w:lang w:val="zh-CN"/>
        </w:rPr>
        <w:t>”</w:t>
      </w:r>
      <w:r>
        <w:rPr>
          <w:rStyle w:val="20"/>
          <w:rFonts w:hint="eastAsia" w:ascii="仿宋" w:hAnsi="仿宋" w:eastAsia="仿宋" w:cs="仿宋"/>
          <w:bCs w:val="0"/>
          <w:kern w:val="0"/>
          <w:sz w:val="32"/>
          <w:szCs w:val="32"/>
          <w:lang w:val="zh-CN"/>
        </w:rPr>
        <w:t>的景观照明体系。</w:t>
      </w:r>
      <w:r>
        <w:rPr>
          <w:rStyle w:val="20"/>
          <w:rFonts w:hint="eastAsia" w:ascii="仿宋" w:hAnsi="仿宋" w:eastAsia="仿宋" w:cs="仿宋"/>
          <w:b w:val="0"/>
          <w:kern w:val="0"/>
          <w:sz w:val="32"/>
          <w:szCs w:val="32"/>
          <w:lang w:val="zh-CN"/>
        </w:rPr>
        <w:t>以赣江为轴线，在一江两岸景观亮化的基础上，继续深化提升一江两岸夜景亮化南北延伸工程。双核指红谷滩CBD和八一广场周边。九湖指东南西北湖、青山湖、艾溪湖、象湖、前湖和九龙湖。六横包括北京路-中山路-会展路-文化大道、火炬大街-阳明路-八一大桥-庐山南大道、解放路-洪城路-南昌大桥-南斯友好路-礼步湖大道、广州路-九洲大街-朝阳大桥-前湖大道、昌南大道-生米大桥-祥云大道、沿江北大道-英雄大桥-玉屏东大街，八纵包括天祥大道、昌东大道、高新大道、洪都大道、八一大道-井冈山大道、金山大道-丰和大道-三清山大道、凤凰大道-九龙大道、枫生快速路。多点指各城市副中心。统筹全市景观照明建设，打造个性鲜明、气质独特的城市夜景照明体系。</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（三）统筹重点区域景观灯光建设和维护管理。</w:t>
      </w:r>
      <w:r>
        <w:rPr>
          <w:rStyle w:val="20"/>
          <w:rFonts w:hint="eastAsia" w:ascii="仿宋" w:hAnsi="仿宋" w:eastAsia="仿宋" w:cs="仿宋"/>
          <w:b w:val="0"/>
          <w:kern w:val="0"/>
          <w:sz w:val="32"/>
          <w:szCs w:val="32"/>
        </w:rPr>
        <w:t>遵循“绿色、高效、现代、和谐”的原则，对现有景观亮化设施实施精细化管理。全面维护全市景观亮化控制终端系统，对损坏设施进行更换，对管理人员进行操作培训。鼓励推广景观灯光维护管理的市场化，结合南昌市智慧城管建设，建立全市景观灯光设置电子档案，对景观亮化设置的地理位置图、实景图、权属单位、建设年份、功率、灯具、施工单位等基本信息进行归档，便于日常管理和维护。</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（四）丰富城市亮化内涵。</w:t>
      </w:r>
      <w:r>
        <w:rPr>
          <w:rStyle w:val="20"/>
          <w:rFonts w:hint="eastAsia" w:ascii="仿宋" w:hAnsi="仿宋" w:eastAsia="仿宋" w:cs="仿宋"/>
          <w:b w:val="0"/>
          <w:kern w:val="0"/>
          <w:sz w:val="32"/>
          <w:szCs w:val="32"/>
        </w:rPr>
        <w:t xml:space="preserve">结合南昌历史文化，融入南昌特色元素，通过实施水岸线亮化、建构筑物亮化、桥梁亮化、天际线亮化等，打造基础亮化与主题亮化相协调的立体亮化景观。高水平打造象湖、南湖、北湖、孺子亭公园、艾溪湖大桥等景观亮化，增设景观亮化小品，点亮“最美岸线”，打造重点突出、动静结合、明暗有别、独具魅力的夜景亮化。 </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（五）加强照明设施维护管理。</w:t>
      </w:r>
      <w:r>
        <w:rPr>
          <w:rStyle w:val="20"/>
          <w:rFonts w:hint="eastAsia" w:ascii="仿宋" w:hAnsi="仿宋" w:eastAsia="仿宋" w:cs="仿宋"/>
          <w:b w:val="0"/>
          <w:kern w:val="0"/>
          <w:sz w:val="32"/>
          <w:szCs w:val="32"/>
        </w:rPr>
        <w:t>建立有利于城市照明品质提升的管理体制和运行维护机制，强化行业引导长效管理，全面提升功能照明和景观亮化档次和水平。积极推进绿色照明建设，城区道路推广使用LED等节能新光源、新技术、节能环保型产品，结合城市路灯照明“暗改亮”项目，对背街小巷及老旧小区进行补亮增亮，实现城市照明“零盲区”。</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到2021年，新建、改扩建城市道路装灯率达到100%，道路照明主干道亮灯率达到98%，次干道、支路的亮灯率达到96%，道路照明设施完好率达到95%，景观照明设施完好率达到93%，LED路灯应用率达到</w:t>
      </w:r>
      <w:r>
        <w:rPr>
          <w:rStyle w:val="20"/>
          <w:rFonts w:ascii="仿宋" w:hAnsi="仿宋" w:eastAsia="仿宋" w:cs="仿宋"/>
          <w:b w:val="0"/>
          <w:kern w:val="0"/>
          <w:sz w:val="32"/>
          <w:szCs w:val="32"/>
        </w:rPr>
        <w:t>70</w:t>
      </w:r>
      <w:r>
        <w:rPr>
          <w:rStyle w:val="20"/>
          <w:rFonts w:hint="eastAsia" w:ascii="仿宋" w:hAnsi="仿宋" w:eastAsia="仿宋" w:cs="仿宋"/>
          <w:b w:val="0"/>
          <w:kern w:val="0"/>
          <w:sz w:val="32"/>
          <w:szCs w:val="32"/>
        </w:rPr>
        <w:t>%，新建道路照明节能评价达标率100%。</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到2025年，新建、改扩建城市道路装灯率达到100%，道路照明主干道亮灯率达到98%以上，次干道、支路的亮灯率达到96%以上，道路照明设施完好率达到95%以上，景观照明设施完好率达到95%，LED路灯应用率达到</w:t>
      </w:r>
      <w:r>
        <w:rPr>
          <w:rStyle w:val="20"/>
          <w:rFonts w:ascii="仿宋" w:hAnsi="仿宋" w:eastAsia="仿宋" w:cs="仿宋"/>
          <w:b w:val="0"/>
          <w:kern w:val="0"/>
          <w:sz w:val="32"/>
          <w:szCs w:val="32"/>
        </w:rPr>
        <w:t>80</w:t>
      </w:r>
      <w:r>
        <w:rPr>
          <w:rStyle w:val="20"/>
          <w:rFonts w:hint="eastAsia" w:ascii="仿宋" w:hAnsi="仿宋" w:eastAsia="仿宋" w:cs="仿宋"/>
          <w:b w:val="0"/>
          <w:kern w:val="0"/>
          <w:sz w:val="32"/>
          <w:szCs w:val="32"/>
        </w:rPr>
        <w:t>%，新建道路照明节能评价达标率100%。</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发挥城市照明在智慧城市建设中的功能和作用，进行智慧交通监测、WIFI中继、大气污染监控、通信基础设施等应用实践，实现“小路灯、大功能”。</w:t>
      </w:r>
    </w:p>
    <w:p>
      <w:pPr>
        <w:pStyle w:val="16"/>
        <w:numPr>
          <w:ilvl w:val="0"/>
          <w:numId w:val="32"/>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56" w:name="_Toc63246022"/>
      <w:bookmarkStart w:id="57" w:name="_Toc8639217"/>
      <w:r>
        <w:rPr>
          <w:rStyle w:val="20"/>
          <w:rFonts w:hint="eastAsia" w:ascii="仿宋" w:hAnsi="仿宋" w:eastAsia="仿宋" w:cs="仿宋"/>
          <w:bCs w:val="0"/>
          <w:sz w:val="32"/>
          <w:szCs w:val="32"/>
        </w:rPr>
        <w:t>优化社区环境</w:t>
      </w:r>
      <w:bookmarkEnd w:id="56"/>
      <w:bookmarkEnd w:id="57"/>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（一）探索老旧居民区管理新模式。</w:t>
      </w:r>
      <w:r>
        <w:rPr>
          <w:rStyle w:val="20"/>
          <w:rFonts w:hint="eastAsia" w:ascii="仿宋" w:hAnsi="仿宋" w:eastAsia="仿宋" w:cs="仿宋"/>
          <w:b w:val="0"/>
          <w:kern w:val="0"/>
          <w:sz w:val="32"/>
          <w:szCs w:val="32"/>
        </w:rPr>
        <w:t>对开放式老旧居民区，探索建立物业服务与公共服务、行政管理相结合的管理模式，即对未实行物业服务管理的开放式社区，积极推进“单元门内”物业服务与“单元门外”公共服务相结合、“门内门外”行政管理全覆盖的新型管理模式；落实属地管理责任，鼓励居民自治，逐步形成科学、合理、长效的管理机制。</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（二）加强全市物业行业管理。</w:t>
      </w:r>
      <w:r>
        <w:rPr>
          <w:rStyle w:val="20"/>
          <w:rFonts w:hint="eastAsia" w:ascii="仿宋" w:hAnsi="仿宋" w:eastAsia="仿宋" w:cs="仿宋"/>
          <w:b w:val="0"/>
          <w:kern w:val="0"/>
          <w:sz w:val="32"/>
          <w:szCs w:val="32"/>
        </w:rPr>
        <w:t>建立健全“区县属地管理、街道统筹协调、社区日常监督、部门联合监管”的物业行业监管体制；创新物业服务行业监管手段，打造信用监管“一张网”，以信用监管为载体，建立“齐抓共管、联合奖惩”的联合监管机制；促进物业服务与社区管理相结合，厘清物业服务与公共管理的职责，加大对物业服务企业的培育扶持力度，提高行业管理水平，提高物业服务品质，打造一批国内一流水平的物业管理示范小区。</w:t>
      </w:r>
    </w:p>
    <w:p>
      <w:pPr>
        <w:spacing w:line="560" w:lineRule="exact"/>
        <w:ind w:firstLine="642" w:firstLineChars="200"/>
        <w:rPr>
          <w:rStyle w:val="20"/>
          <w:rFonts w:ascii="仿宋" w:hAnsi="仿宋" w:eastAsia="仿宋" w:cs="仿宋"/>
          <w:b w:val="0"/>
          <w:bCs w:val="0"/>
          <w:kern w:val="0"/>
          <w:sz w:val="32"/>
          <w:szCs w:val="32"/>
        </w:rPr>
      </w:pPr>
      <w:r>
        <w:rPr>
          <w:rStyle w:val="20"/>
          <w:rFonts w:hint="eastAsia" w:ascii="仿宋" w:hAnsi="仿宋" w:eastAsia="仿宋" w:cs="仿宋"/>
          <w:bCs w:val="0"/>
          <w:kern w:val="0"/>
          <w:sz w:val="32"/>
          <w:szCs w:val="32"/>
        </w:rPr>
        <w:t>（三）实施老旧小区改造。</w:t>
      </w:r>
      <w:r>
        <w:rPr>
          <w:rStyle w:val="20"/>
          <w:rFonts w:hint="eastAsia" w:ascii="仿宋" w:hAnsi="仿宋" w:eastAsia="仿宋" w:cs="仿宋"/>
          <w:b w:val="0"/>
          <w:bCs w:val="0"/>
          <w:kern w:val="0"/>
          <w:sz w:val="32"/>
          <w:szCs w:val="32"/>
        </w:rPr>
        <w:t>在已完成331个老旧小区改造基础上，</w:t>
      </w:r>
      <w:r>
        <w:rPr>
          <w:rStyle w:val="20"/>
          <w:rFonts w:hint="eastAsia" w:ascii="仿宋" w:hAnsi="仿宋" w:eastAsia="仿宋" w:cs="仿宋"/>
          <w:b w:val="0"/>
          <w:kern w:val="0"/>
          <w:sz w:val="32"/>
          <w:szCs w:val="32"/>
        </w:rPr>
        <w:t>按照“保基础、提功能、促品质”改造标准，因地制宜、延续文脉、留存特色，以普惠化“微改造”为主，综合打造一批内涵丰富、各具特色的小区风貌。一是保基础：完善老旧小区与居民生活直接关系的水、电、气、路等市政基础设施，满足市民群众生活基本需求，完善生活垃圾分类设置的配套设施，运用人脸识别等高科技，建设智慧安防系统，打造智慧平安小区，同时建立物业或准物业管理模式。二是提功能：在保基本的基础上，鼓励在改造中建设一些提升类的基础设施，完善停车设施、公共照明、电动汽车充电桩、智能快件箱、二次供水、公共活动场地等基础设施，建立雨污分流管网系统，有条件的老旧社区要实施无障碍设施建设，支持既有住宅加装电梯。三是促品质：在保基本配套和提升基础设施的基础上，积极推广“1+5+X”社区邻里中心建设标准体系，同时完善助餐、家政等社区服务功能。2021年重点对261个老旧小区进行改造，涉及12万户，2025年基本完成全市所有老旧小区改造。</w:t>
      </w:r>
    </w:p>
    <w:p>
      <w:pPr>
        <w:jc w:val="center"/>
        <w:rPr>
          <w:rStyle w:val="20"/>
          <w:rFonts w:ascii="仿宋" w:hAnsi="仿宋" w:eastAsia="仿宋" w:cs="仿宋"/>
          <w:b w:val="0"/>
          <w:kern w:val="0"/>
          <w:sz w:val="32"/>
          <w:szCs w:val="32"/>
        </w:rPr>
      </w:pPr>
      <w:r>
        <w:rPr>
          <w:rFonts w:ascii="仿宋" w:hAnsi="仿宋" w:eastAsia="仿宋" w:cs="仿宋"/>
          <w:bCs/>
          <w:kern w:val="0"/>
          <w:sz w:val="32"/>
          <w:szCs w:val="32"/>
        </w:rPr>
        <w:drawing>
          <wp:inline distT="0" distB="0" distL="0" distR="0">
            <wp:extent cx="5439410" cy="3774440"/>
            <wp:effectExtent l="19050" t="0" r="8789" b="0"/>
            <wp:docPr id="27" name="图片 5" descr="D:\Desktop\06南昌市老旧小区改造规划布点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5" descr="D:\Desktop\06南昌市老旧小区改造规划布点图.jpg"/>
                    <pic:cNvPicPr>
                      <a:picLocks noChangeAspect="1" noChangeArrowheads="1"/>
                    </pic:cNvPicPr>
                  </pic:nvPicPr>
                  <pic:blipFill>
                    <a:blip r:embed="rId21" cstate="print"/>
                    <a:srcRect l="9944" t="3746" r="6956" b="14697"/>
                    <a:stretch>
                      <a:fillRect/>
                    </a:stretch>
                  </pic:blipFill>
                  <pic:spPr>
                    <a:xfrm>
                      <a:off x="0" y="0"/>
                      <a:ext cx="5438353" cy="3773762"/>
                    </a:xfrm>
                    <a:prstGeom prst="rect">
                      <a:avLst/>
                    </a:prstGeom>
                    <a:noFill/>
                    <a:ln w="9525">
                      <a:noFill/>
                      <a:miter lim="800000"/>
                      <a:headEnd/>
                      <a:tailEnd/>
                    </a:ln>
                  </pic:spPr>
                </pic:pic>
              </a:graphicData>
            </a:graphic>
          </wp:inline>
        </w:drawing>
      </w:r>
    </w:p>
    <w:p>
      <w:pPr>
        <w:jc w:val="center"/>
        <w:rPr>
          <w:rFonts w:ascii="仿宋" w:hAnsi="仿宋" w:eastAsia="仿宋" w:cs="仿宋"/>
          <w:sz w:val="32"/>
          <w:szCs w:val="32"/>
          <w:u w:val="single"/>
        </w:rPr>
      </w:pPr>
      <w:r>
        <w:rPr>
          <w:rFonts w:hint="eastAsia" w:ascii="仿宋" w:hAnsi="仿宋" w:eastAsia="仿宋" w:cs="仿宋"/>
          <w:sz w:val="32"/>
          <w:szCs w:val="32"/>
          <w:u w:val="single"/>
        </w:rPr>
        <w:t>老旧小区改造十四五时期规划布点图</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（四）开展背街小巷等环境综合整治。</w:t>
      </w:r>
      <w:r>
        <w:rPr>
          <w:rStyle w:val="20"/>
          <w:rFonts w:hint="eastAsia" w:ascii="仿宋" w:hAnsi="仿宋" w:eastAsia="仿宋" w:cs="仿宋"/>
          <w:b w:val="0"/>
          <w:kern w:val="0"/>
          <w:sz w:val="32"/>
          <w:szCs w:val="32"/>
        </w:rPr>
        <w:t>为解决背街小巷、城乡结合部和城中村存在的环境“脏”、秩序“乱”，设施“差”、品味“差”等突出问题，全面提升老旧社区城市环境综合治理水平，营造干净、整洁、有序的宜居环境，开展背街小巷、城乡结合部和城中村环境综合整治，按照“水通、路平、墙美、灯亮、线齐、窗明”的要求，采取“微更新”、“渐进式”等方式，实现背街小巷、城乡结合部和城中村综合环境达到环境整洁、小巷卫生、设施完善、街面有序、建筑协调、标识规范、夜景亮丽、绿化有景、管理有序等，全面提升背街小巷、城乡结合部和城中村综合环境和功能品质。2021年整治提升500条背街小巷，基本实现背街小巷整治全覆盖。</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（五）推进社区邻里中心建设。</w:t>
      </w:r>
      <w:r>
        <w:rPr>
          <w:rStyle w:val="20"/>
          <w:rFonts w:hint="eastAsia" w:ascii="仿宋" w:hAnsi="仿宋" w:eastAsia="仿宋" w:cs="仿宋"/>
          <w:b w:val="0"/>
          <w:kern w:val="0"/>
          <w:sz w:val="32"/>
          <w:szCs w:val="32"/>
        </w:rPr>
        <w:t>根据《南昌市建成区邻里中心专项规划》，创新社会治理模式，突出规划引领作用，坚持补短板和优功能相结合，在全国率先推行“1+5+X”社区邻里中心建设，社区配套教育、医疗、助老、商业、文体5类服务形态及若干衍生业态，解决市民社区生活痛点难点问题，满足社会多层次、多样化需求，打造15分钟社区生活圈。在已建成的“1+5+X”社区邻里中心经验基础上，2021年底，建成200个左右，实现建成区全覆盖。</w:t>
      </w:r>
    </w:p>
    <w:p>
      <w:pPr>
        <w:spacing w:beforeLines="50" w:afterLines="50" w:line="560" w:lineRule="exact"/>
        <w:jc w:val="center"/>
        <w:outlineLvl w:val="1"/>
        <w:rPr>
          <w:rFonts w:ascii="仿宋" w:hAnsi="仿宋" w:eastAsia="仿宋" w:cs="仿宋"/>
          <w:b/>
          <w:bCs/>
          <w:sz w:val="32"/>
          <w:szCs w:val="32"/>
        </w:rPr>
      </w:pPr>
      <w:bookmarkStart w:id="58" w:name="_Toc63246023"/>
      <w:r>
        <w:rPr>
          <w:rFonts w:hint="eastAsia" w:ascii="仿宋" w:hAnsi="仿宋" w:eastAsia="仿宋" w:cs="仿宋"/>
          <w:b/>
          <w:bCs/>
          <w:sz w:val="32"/>
          <w:szCs w:val="32"/>
        </w:rPr>
        <w:t>第三节  打造干净整洁城市环境</w:t>
      </w:r>
      <w:bookmarkEnd w:id="58"/>
    </w:p>
    <w:p>
      <w:pPr>
        <w:spacing w:line="560" w:lineRule="exact"/>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持续推进环境卫生管理工作标准化、精细化和品质化，重点完成城乡生活垃圾分类收运、处理系统及资源化利用，提升环卫保洁水平，大力实施大气环境、水环境生态治理，打造干净整洁平安有序城市环境。</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2021年，生活垃圾分类回收利用率达36％，公众知晓率达80%以上，垃圾分类收集覆盖率达到50%以上，居民投放正确率达60%以上，生活垃圾无害化处理率达100％，生活垃圾焚烧处理率达90%；建成区主次干道机械化清扫率达100%;建成区主次干道门前管理责任制签约率达到80%以上;建成区公厕密度达到5座/平方公里，二类以上公厕达到75%；建成区在消除黑臭水体基础上实现长治久清，水质达到Ⅳ类及以上。</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2025年，全市生活垃圾回收利用率达到38%，公众知晓率达95%以上，垃圾分类收集覆盖率达到70%以上，生活垃圾无害化处理率达100％，生活垃圾焚烧处理率达90%以上；建成区主次干道机械化作业率100%；建成区主次干道门前管理责任制签约率达到</w:t>
      </w:r>
      <w:r>
        <w:rPr>
          <w:rStyle w:val="20"/>
          <w:rFonts w:ascii="仿宋" w:hAnsi="仿宋" w:eastAsia="仿宋" w:cs="仿宋"/>
          <w:b w:val="0"/>
          <w:kern w:val="0"/>
          <w:sz w:val="32"/>
          <w:szCs w:val="32"/>
        </w:rPr>
        <w:t>100</w:t>
      </w:r>
      <w:r>
        <w:rPr>
          <w:rStyle w:val="20"/>
          <w:rFonts w:hint="eastAsia" w:ascii="仿宋" w:hAnsi="仿宋" w:eastAsia="仿宋" w:cs="仿宋"/>
          <w:b w:val="0"/>
          <w:kern w:val="0"/>
          <w:sz w:val="32"/>
          <w:szCs w:val="32"/>
        </w:rPr>
        <w:t>%;建成区公厕密度5-7座/平方公里;水环境质量和水质进一步提升。</w:t>
      </w:r>
    </w:p>
    <w:p>
      <w:pPr>
        <w:pStyle w:val="16"/>
        <w:numPr>
          <w:ilvl w:val="0"/>
          <w:numId w:val="33"/>
        </w:numPr>
        <w:shd w:val="clear" w:color="auto" w:fill="FFFFFF"/>
        <w:spacing w:before="0" w:beforeAutospacing="0" w:after="0" w:afterAutospacing="0" w:line="560" w:lineRule="exact"/>
        <w:ind w:left="0" w:firstLine="510"/>
        <w:jc w:val="both"/>
        <w:outlineLvl w:val="2"/>
        <w:rPr>
          <w:rStyle w:val="20"/>
          <w:rFonts w:ascii="仿宋" w:hAnsi="仿宋" w:eastAsia="仿宋" w:cs="仿宋"/>
          <w:bCs w:val="0"/>
          <w:sz w:val="32"/>
          <w:szCs w:val="32"/>
        </w:rPr>
      </w:pPr>
      <w:bookmarkStart w:id="59" w:name="_Toc63246024"/>
      <w:r>
        <w:rPr>
          <w:rStyle w:val="20"/>
          <w:rFonts w:hint="eastAsia" w:ascii="仿宋" w:hAnsi="仿宋" w:eastAsia="仿宋" w:cs="仿宋"/>
          <w:bCs w:val="0"/>
          <w:sz w:val="32"/>
          <w:szCs w:val="32"/>
        </w:rPr>
        <w:t>提升环卫保洁水平</w:t>
      </w:r>
      <w:bookmarkEnd w:id="59"/>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（一）推动“马路本色”全覆盖。</w:t>
      </w:r>
      <w:r>
        <w:rPr>
          <w:rStyle w:val="20"/>
          <w:rFonts w:hint="eastAsia" w:ascii="仿宋" w:hAnsi="仿宋" w:eastAsia="仿宋" w:cs="仿宋"/>
          <w:b w:val="0"/>
          <w:bCs w:val="0"/>
          <w:kern w:val="0"/>
          <w:sz w:val="32"/>
          <w:szCs w:val="32"/>
        </w:rPr>
        <w:t>全面解决主次干道、临街店面、街巷社区、城乡结合部和城中村存在的环境卫生问题，实现“路见本色”的目标，唱响“洁净南昌”城市品牌。</w:t>
      </w:r>
      <w:r>
        <w:rPr>
          <w:rStyle w:val="20"/>
          <w:rFonts w:hint="eastAsia" w:ascii="仿宋" w:hAnsi="仿宋" w:eastAsia="仿宋" w:cs="仿宋"/>
          <w:b w:val="0"/>
          <w:kern w:val="0"/>
          <w:sz w:val="32"/>
          <w:szCs w:val="32"/>
        </w:rPr>
        <w:t>严格按照“以克论净”考核方法，继续深入推进“马路本色”行动，由主次干道向小街巷和社区延伸，重点解决住宅小区、小街小巷、盲点盲区的环境卫生差的问题。一是继续提升机扫机冲率，做到主次干道每天夜间清扫冲洗。二是利用雾炮车、洒水车加强对城区道路开展降尘增湿作业。三是通过配齐环卫保洁员（袋装垃圾收集员）、增加小型冲洗设备、配足垃圾收集容器，全面改善社区、背街小巷和城中村环境卫生状况。四是强化市、区、街三级督导，加大全市环卫保洁工作的检查力度，最终实现道路街巷“路见本色”，打造“洁净南昌”。</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（二）提升环卫作业清扫水平。</w:t>
      </w:r>
      <w:r>
        <w:rPr>
          <w:rStyle w:val="20"/>
          <w:rFonts w:hint="eastAsia" w:ascii="仿宋" w:hAnsi="仿宋" w:eastAsia="仿宋" w:cs="仿宋"/>
          <w:b w:val="0"/>
          <w:kern w:val="0"/>
          <w:sz w:val="32"/>
          <w:szCs w:val="32"/>
        </w:rPr>
        <w:t>完善道路清扫保洁规范标准，建立道路清扫保洁长效管理机制，逐年提高道路清扫保洁机械化作业水平，到2021年实现建成区主次干道机械化清扫率达100%。提升环卫装备水平，按密闭化、环保化的要求，推进环卫作业车辆更新换代，淘汰一批低效、老旧的环卫作业机械装备，强制淘汰黄标车，优先推广使用新能源车辆。实现环境卫生管理信息化。进一步打造“智慧环卫”“互联网＋环卫”，将城区环卫设施、环卫机械作业路线、环卫人员管理、环卫监督反馈督办集合于一张“电子地图”，实现日常办公“网络化”，机械作业“信息化”，应急处置“快捷化”。</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（三）落实门前管理责任制。</w:t>
      </w:r>
      <w:r>
        <w:rPr>
          <w:rStyle w:val="20"/>
          <w:rFonts w:hint="eastAsia" w:ascii="仿宋" w:hAnsi="仿宋" w:eastAsia="仿宋" w:cs="仿宋"/>
          <w:b w:val="0"/>
          <w:kern w:val="0"/>
          <w:sz w:val="32"/>
          <w:szCs w:val="32"/>
        </w:rPr>
        <w:t>建立健全门前管理责任制体系和考核督导体系。落实以街为主的门前管理工作管理责任，强化门店单位的主体责任和市、区城管部门的考核督导责任。依据《南昌市门前管理责任制实施方案》，从严查处违反门前管理责任制规定的行为。发挥门前管理责任制工作推进机制，动员社会广泛参与城市管理工作，形成共享共治的城市治理局面。到2021年，门前管理责任制知晓率达到90%、主次干道门前管理责任制签约率达到80%以上。到2025年，门前管理责任制知晓率达到98%、主次干道门前管理责任制签约率达到</w:t>
      </w:r>
      <w:r>
        <w:rPr>
          <w:rStyle w:val="20"/>
          <w:rFonts w:ascii="仿宋" w:hAnsi="仿宋" w:eastAsia="仿宋" w:cs="仿宋"/>
          <w:b w:val="0"/>
          <w:kern w:val="0"/>
          <w:sz w:val="32"/>
          <w:szCs w:val="32"/>
        </w:rPr>
        <w:t>100</w:t>
      </w:r>
      <w:r>
        <w:rPr>
          <w:rStyle w:val="20"/>
          <w:rFonts w:hint="eastAsia" w:ascii="仿宋" w:hAnsi="仿宋" w:eastAsia="仿宋" w:cs="仿宋"/>
          <w:b w:val="0"/>
          <w:kern w:val="0"/>
          <w:sz w:val="32"/>
          <w:szCs w:val="32"/>
        </w:rPr>
        <w:t>%以上。</w:t>
      </w:r>
    </w:p>
    <w:p>
      <w:pPr>
        <w:pStyle w:val="16"/>
        <w:numPr>
          <w:ilvl w:val="0"/>
          <w:numId w:val="33"/>
        </w:numPr>
        <w:shd w:val="clear" w:color="auto" w:fill="FFFFFF"/>
        <w:spacing w:before="0" w:beforeAutospacing="0" w:after="0" w:afterAutospacing="0" w:line="560" w:lineRule="exact"/>
        <w:ind w:left="0" w:firstLine="510"/>
        <w:jc w:val="both"/>
        <w:outlineLvl w:val="2"/>
        <w:rPr>
          <w:rStyle w:val="20"/>
          <w:rFonts w:ascii="仿宋" w:hAnsi="仿宋" w:eastAsia="仿宋" w:cs="仿宋"/>
          <w:bCs w:val="0"/>
          <w:sz w:val="32"/>
          <w:szCs w:val="32"/>
        </w:rPr>
      </w:pPr>
      <w:bookmarkStart w:id="60" w:name="_Toc63246025"/>
      <w:r>
        <w:rPr>
          <w:rStyle w:val="20"/>
          <w:rFonts w:hint="eastAsia" w:ascii="仿宋" w:hAnsi="仿宋" w:eastAsia="仿宋" w:cs="仿宋"/>
          <w:bCs w:val="0"/>
          <w:sz w:val="32"/>
          <w:szCs w:val="32"/>
        </w:rPr>
        <w:t>加快垃圾综合治理</w:t>
      </w:r>
      <w:bookmarkEnd w:id="60"/>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（一）深入推进生活垃圾分类。</w:t>
      </w:r>
      <w:r>
        <w:rPr>
          <w:rStyle w:val="20"/>
          <w:rFonts w:hint="eastAsia" w:ascii="仿宋" w:hAnsi="仿宋" w:eastAsia="仿宋" w:cs="仿宋"/>
          <w:b w:val="0"/>
          <w:kern w:val="0"/>
          <w:sz w:val="32"/>
          <w:szCs w:val="32"/>
        </w:rPr>
        <w:t>按照《南昌市生活垃圾分类制度工作实施方案》要求，遵循减量化、资源化、无害化的原则，大力推进垃圾分类制度，继续推进小区生活垃圾分类，推广“定时定点”的分类投放模式和智能分类等创新做法，大力推进机关企事业单位以及公共场所等公共机构强制分类投放。不断提高全市生活垃圾分类投放、收集、运输和处置设施建设，不断完善运营管理体系。持续开展垃圾分类宣传，形成可复制、可推广的生活垃圾分类“南昌模式”。</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2021年全市生活垃圾回收利用率达到36%，基本建成生活垃圾分类处理系统，实现建成区生活垃圾分类工作总体达到全国中等以上水平，公众知晓率达80%以上，垃圾分类收集覆盖率达到50%以上，居民投放正确率达60%以上。</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2025年全市生活垃圾回收利用率达到38%，建成生活垃圾分类处理系统，实现建成区生活垃圾分类工作达到全国一流水平，公众知晓率达95%以上，垃圾分类收集覆盖率达到70%以上，居民投放正确率达90%以上。</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（二）优化生活垃圾分类收运体系。</w:t>
      </w:r>
      <w:r>
        <w:rPr>
          <w:rStyle w:val="20"/>
          <w:rFonts w:hint="eastAsia" w:ascii="仿宋" w:hAnsi="仿宋" w:eastAsia="仿宋" w:cs="仿宋"/>
          <w:b w:val="0"/>
          <w:kern w:val="0"/>
          <w:sz w:val="32"/>
          <w:szCs w:val="32"/>
        </w:rPr>
        <w:t>建立与源头分类投放和终端分类处理无缝衔接的分类收运体系，重点建立健全大件家具家电、餐厨垃圾、快递包装垃圾、家庭装修垃圾和有害垃圾的收运体系。进一步完善生活垃圾分类收运线路、作业规定和管理流程，统筹餐厨垃圾、其他垃圾、有害垃圾分类运输网络，优化生活垃圾收集站点、中转站的布局，合理调配垃圾收运线路和车辆配备，基本做到专车专运、按规定线路分类运输、易腐有机垃圾日产日清。2021年底前，建成区建立完善的分类排放、分类收运的垃圾收运体系。</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（三）加快垃圾中转站设施建设。</w:t>
      </w:r>
      <w:r>
        <w:rPr>
          <w:rStyle w:val="20"/>
          <w:rFonts w:hint="eastAsia" w:ascii="仿宋" w:hAnsi="仿宋" w:eastAsia="仿宋" w:cs="仿宋"/>
          <w:b w:val="0"/>
          <w:kern w:val="0"/>
          <w:sz w:val="32"/>
          <w:szCs w:val="32"/>
        </w:rPr>
        <w:t>根据《南昌市城市生活垃圾分类制度工作实施方案》的要求，各区需新建生活垃圾分类转运站2－3座，每座用地面积需600㎡，转运站日转运能力150吨，以及各区分类式垃圾中转站、生活垃圾分类再生资源分拣中心。重点建设占地25亩南昌市大型垃圾分类转运中心（设计日转运能力900吨），及一座占地10亩全市大型家具破碎中心。</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（四）打造垃圾终端处理循环经济产业园区。</w:t>
      </w:r>
      <w:r>
        <w:rPr>
          <w:rStyle w:val="20"/>
          <w:rFonts w:hint="eastAsia" w:ascii="仿宋" w:hAnsi="仿宋" w:eastAsia="仿宋" w:cs="仿宋"/>
          <w:b w:val="0"/>
          <w:kern w:val="0"/>
          <w:sz w:val="32"/>
          <w:szCs w:val="32"/>
        </w:rPr>
        <w:t>在现状生活垃圾终端处理格局的基础上，重点打造并形成南昌市“一南一北”两个垃圾终端处理循环经济产业园区，即南昌泉岭垃圾分类处理产业园区和南昌市麦园固废处理循环经济产业园区。南昌市麦园固废处理循环经济产业园区包括已建成并投产的南昌市麦园垃圾焚烧发电厂（设计日处理2400吨）、南昌市麦园飞灰填埋场（日填埋飞灰120吨）、南昌市麦园垃圾填埋场、麦园沼气发电厂、在建</w:t>
      </w:r>
      <w:r>
        <w:rPr>
          <w:rStyle w:val="20"/>
          <w:rFonts w:ascii="仿宋" w:hAnsi="仿宋" w:eastAsia="仿宋" w:cs="仿宋"/>
          <w:b w:val="0"/>
          <w:kern w:val="0"/>
          <w:sz w:val="32"/>
          <w:szCs w:val="32"/>
        </w:rPr>
        <w:t>的</w:t>
      </w:r>
      <w:r>
        <w:rPr>
          <w:rStyle w:val="20"/>
          <w:rFonts w:hint="eastAsia" w:ascii="仿宋" w:hAnsi="仿宋" w:eastAsia="仿宋" w:cs="仿宋"/>
          <w:b w:val="0"/>
          <w:kern w:val="0"/>
          <w:sz w:val="32"/>
          <w:szCs w:val="32"/>
        </w:rPr>
        <w:t>麦园垃圾渗滤液处理厂、麦园餐厨垃圾处理及在建的麦园垃圾渗滤液浓缩液处理厂等项目；南昌泉岭垃圾分类处理产业园区包括建成投产的南昌泉岭生活垃圾焚烧发电厂、在建的南昌泉岭生活垃圾焚烧发电厂扩建项目（扩能日处理1200吨，预留日处理600吨的发展空间）、拟建的南昌泉岭餐厨垃圾处理厂（设计日处理餐厨垃圾300吨）和南昌市有害垃圾处理厂（设计日处理分类后的有害垃圾20吨）等项目。</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2021年实现生活垃圾无害化处理率达100%，生活垃圾焚烧处理率达90%，资源化利用率达75%，原生垃圾基本实现“零”填埋，生活垃圾减量85%以上，达到全国先进水平，真正实现我市生活垃圾“减量化、资源化和无害化”处理目标。</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到2025年实现生活垃圾无害化处理率达100%，生活垃圾焚烧处理率达90%以上，资源化利用率达90%，达到全国一流水平。</w:t>
      </w:r>
    </w:p>
    <w:p>
      <w:pPr>
        <w:jc w:val="center"/>
        <w:rPr>
          <w:rStyle w:val="20"/>
          <w:rFonts w:ascii="仿宋" w:hAnsi="仿宋" w:eastAsia="仿宋" w:cs="仿宋"/>
          <w:b w:val="0"/>
          <w:kern w:val="0"/>
          <w:sz w:val="32"/>
          <w:szCs w:val="32"/>
        </w:rPr>
      </w:pPr>
      <w:r>
        <w:rPr>
          <w:rStyle w:val="20"/>
          <w:rFonts w:ascii="仿宋" w:hAnsi="仿宋" w:eastAsia="仿宋" w:cs="仿宋"/>
          <w:b w:val="0"/>
          <w:kern w:val="0"/>
          <w:sz w:val="32"/>
        </w:rPr>
        <w:drawing>
          <wp:inline distT="0" distB="0" distL="0" distR="0">
            <wp:extent cx="5502910" cy="4322445"/>
            <wp:effectExtent l="19050" t="0" r="2540" b="0"/>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22">
                      <a:extLst>
                        <a:ext uri="{28A0092B-C50C-407E-A947-70E740481C1C}">
                          <a14:useLocalDpi xmlns:a14="http://schemas.microsoft.com/office/drawing/2010/main" val="0"/>
                        </a:ext>
                      </a:extLst>
                    </a:blip>
                    <a:srcRect l="38741" t="17755" r="12821" b="14606"/>
                    <a:stretch>
                      <a:fillRect/>
                    </a:stretch>
                  </pic:blipFill>
                  <pic:spPr>
                    <a:xfrm>
                      <a:off x="0" y="0"/>
                      <a:ext cx="5502910" cy="4322445"/>
                    </a:xfrm>
                    <a:prstGeom prst="rect">
                      <a:avLst/>
                    </a:prstGeom>
                  </pic:spPr>
                </pic:pic>
              </a:graphicData>
            </a:graphic>
          </wp:inline>
        </w:drawing>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（五）推进建筑垃圾消纳与资源化利用。</w:t>
      </w:r>
      <w:r>
        <w:rPr>
          <w:rStyle w:val="20"/>
          <w:rFonts w:hint="eastAsia" w:ascii="仿宋" w:hAnsi="仿宋" w:eastAsia="仿宋" w:cs="仿宋"/>
          <w:b w:val="0"/>
          <w:kern w:val="0"/>
          <w:sz w:val="32"/>
          <w:szCs w:val="32"/>
        </w:rPr>
        <w:t>积极推广建筑垃圾的资源化利用技术，完善建筑垃圾处理的全流程设计，探索建筑垃圾处置监管机制、措施和办法，确保建筑垃圾高效、有序、安全处置。加快推进《南昌市建筑垃圾处置专项规划》编制，推动建筑垃圾消纳场的规划建设，各区须至少设立一个建筑垃圾消纳场，规范消纳场日常管理。鼓励具备条件的县区以建筑垃圾资源化利用企业为核心，先行先试，以点带面，积累经验，逐步再向全市推广建筑垃圾资源化利用。</w:t>
      </w:r>
    </w:p>
    <w:p>
      <w:pPr>
        <w:pStyle w:val="16"/>
        <w:numPr>
          <w:ilvl w:val="0"/>
          <w:numId w:val="33"/>
        </w:numPr>
        <w:shd w:val="clear" w:color="auto" w:fill="FFFFFF"/>
        <w:spacing w:before="0" w:beforeAutospacing="0" w:after="0" w:afterAutospacing="0" w:line="560" w:lineRule="exact"/>
        <w:ind w:left="0" w:firstLine="510"/>
        <w:jc w:val="both"/>
        <w:outlineLvl w:val="2"/>
        <w:rPr>
          <w:rStyle w:val="20"/>
          <w:rFonts w:ascii="仿宋" w:hAnsi="仿宋" w:eastAsia="仿宋" w:cs="仿宋"/>
          <w:bCs w:val="0"/>
          <w:sz w:val="32"/>
          <w:szCs w:val="32"/>
        </w:rPr>
      </w:pPr>
      <w:bookmarkStart w:id="61" w:name="_Toc63246026"/>
      <w:r>
        <w:rPr>
          <w:rStyle w:val="20"/>
          <w:rFonts w:hint="eastAsia" w:ascii="仿宋" w:hAnsi="仿宋" w:eastAsia="仿宋" w:cs="仿宋"/>
          <w:bCs w:val="0"/>
          <w:sz w:val="32"/>
          <w:szCs w:val="32"/>
        </w:rPr>
        <w:t>改善公厕服务质量</w:t>
      </w:r>
      <w:bookmarkEnd w:id="61"/>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（一）完善公厕布局。</w:t>
      </w:r>
      <w:r>
        <w:rPr>
          <w:rStyle w:val="20"/>
          <w:rFonts w:hint="eastAsia" w:ascii="仿宋" w:hAnsi="仿宋" w:eastAsia="仿宋" w:cs="仿宋"/>
          <w:b w:val="0"/>
          <w:kern w:val="0"/>
          <w:sz w:val="32"/>
          <w:szCs w:val="32"/>
        </w:rPr>
        <w:t>以公厕补建、提档升级为重点，大力开展“厕所革命”。加大公厕建设力度，形成以环卫公厕为主体，社会公厕为补充，布局合理、数量充足、管理规范、如厕文明的公厕服务体系，逐步形成10分钟步行如厕圈。鼓励沿街商业设施及办公机构厕所对外开放，优化公厕布局。规范公厕的标识标牌，完善公厕便民服务功能，改善市民如厕环境。</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2021年，实现建成区公厕密度达到5座/平方公里，二类以上公厕达到75%。到2025年，实现建成区公厕密度5-7座/平方公里。</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（二）提高环卫公厕建设营运质量。</w:t>
      </w:r>
      <w:r>
        <w:rPr>
          <w:rStyle w:val="20"/>
          <w:rFonts w:hint="eastAsia" w:ascii="仿宋" w:hAnsi="仿宋" w:eastAsia="仿宋" w:cs="仿宋"/>
          <w:b w:val="0"/>
          <w:kern w:val="0"/>
          <w:sz w:val="32"/>
          <w:szCs w:val="32"/>
        </w:rPr>
        <w:t>完善环卫公厕建设营运管理办法，规范环卫公厕的建设营运标准，扶持社会力量提供环卫公厕服务，鼓励利用环卫公厕场所开展广告和便民服务，提高环卫公厕的经济社会效益和服务质量。</w:t>
      </w:r>
    </w:p>
    <w:p>
      <w:pPr>
        <w:pStyle w:val="16"/>
        <w:numPr>
          <w:ilvl w:val="0"/>
          <w:numId w:val="33"/>
        </w:numPr>
        <w:shd w:val="clear" w:color="auto" w:fill="FFFFFF"/>
        <w:spacing w:before="0" w:beforeAutospacing="0" w:after="0" w:afterAutospacing="0" w:line="560" w:lineRule="exact"/>
        <w:ind w:left="0" w:firstLine="510"/>
        <w:jc w:val="both"/>
        <w:outlineLvl w:val="2"/>
        <w:rPr>
          <w:rStyle w:val="20"/>
          <w:rFonts w:ascii="仿宋" w:hAnsi="仿宋" w:eastAsia="仿宋" w:cs="仿宋"/>
          <w:bCs w:val="0"/>
          <w:sz w:val="32"/>
          <w:szCs w:val="32"/>
        </w:rPr>
      </w:pPr>
      <w:bookmarkStart w:id="62" w:name="_Toc63246027"/>
      <w:r>
        <w:rPr>
          <w:rStyle w:val="20"/>
          <w:rFonts w:hint="eastAsia" w:ascii="仿宋" w:hAnsi="仿宋" w:eastAsia="仿宋" w:cs="仿宋"/>
          <w:bCs w:val="0"/>
          <w:sz w:val="32"/>
          <w:szCs w:val="32"/>
        </w:rPr>
        <w:t>健全环卫行业管理</w:t>
      </w:r>
      <w:bookmarkEnd w:id="62"/>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（一）实施征收垃圾处理费。</w:t>
      </w:r>
      <w:r>
        <w:rPr>
          <w:rStyle w:val="20"/>
          <w:rFonts w:hint="eastAsia" w:ascii="仿宋" w:hAnsi="仿宋" w:eastAsia="仿宋" w:cs="仿宋"/>
          <w:b w:val="0"/>
          <w:kern w:val="0"/>
          <w:sz w:val="32"/>
          <w:szCs w:val="32"/>
        </w:rPr>
        <w:t>按照《南昌市城市生活垃圾处理收费改革方案的通知》要求，继续做好居民和单位的垃圾处理费征收工作。出台《南昌市城市生活垃圾处理费征收管理办法》及垃圾处理费征收实施细则，进一步规范垃圾处理费征收管理工作，加大垃圾处理费征收力度。2021年完成南昌市垃圾处理费征收管理中心的组建，承担南昌市生活垃圾处理费核定、征收、分配和综合协调等管理工作。同时，建设垃圾处理费征收管理平台，完成与洪城水业收费系统的对接。</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（二）做大做强市容环卫集团。</w:t>
      </w:r>
      <w:r>
        <w:rPr>
          <w:rStyle w:val="20"/>
          <w:rFonts w:hint="eastAsia" w:ascii="仿宋" w:hAnsi="仿宋" w:eastAsia="仿宋" w:cs="仿宋"/>
          <w:b w:val="0"/>
          <w:sz w:val="32"/>
          <w:szCs w:val="32"/>
        </w:rPr>
        <w:t>在社区探索实施准物业管理，与老旧小区改造配套，改善全市开放式小区管理现状，并依托现有的有害垃圾运输板块、生活垃圾清运板块、物业管理服务三个板块，筹备环卫信息化、环卫设备制造与公厕管护、大件垃圾处理与再生资源利用三大板块，形成</w:t>
      </w:r>
      <w:r>
        <w:rPr>
          <w:rStyle w:val="20"/>
          <w:rFonts w:ascii="仿宋" w:hAnsi="仿宋" w:eastAsia="仿宋" w:cs="仿宋"/>
          <w:b w:val="0"/>
          <w:sz w:val="32"/>
          <w:szCs w:val="32"/>
        </w:rPr>
        <w:t>“</w:t>
      </w:r>
      <w:r>
        <w:rPr>
          <w:rStyle w:val="20"/>
          <w:rFonts w:hint="eastAsia" w:ascii="仿宋" w:hAnsi="仿宋" w:eastAsia="仿宋" w:cs="仿宋"/>
          <w:b w:val="0"/>
          <w:sz w:val="32"/>
          <w:szCs w:val="32"/>
        </w:rPr>
        <w:t>双驱并进</w:t>
      </w:r>
      <w:r>
        <w:rPr>
          <w:rStyle w:val="20"/>
          <w:rFonts w:ascii="仿宋" w:hAnsi="仿宋" w:eastAsia="仿宋" w:cs="仿宋"/>
          <w:b w:val="0"/>
          <w:sz w:val="32"/>
          <w:szCs w:val="32"/>
        </w:rPr>
        <w:t>”</w:t>
      </w:r>
      <w:r>
        <w:rPr>
          <w:rStyle w:val="20"/>
          <w:rFonts w:hint="eastAsia" w:ascii="仿宋" w:hAnsi="仿宋" w:eastAsia="仿宋" w:cs="仿宋"/>
          <w:b w:val="0"/>
          <w:sz w:val="32"/>
          <w:szCs w:val="32"/>
        </w:rPr>
        <w:t>的模式。同时，通过合资组建、全资控股、集团参股、混合制改革等方式，积极引入战略</w:t>
      </w:r>
      <w:r>
        <w:rPr>
          <w:rStyle w:val="20"/>
          <w:rFonts w:ascii="仿宋" w:hAnsi="仿宋" w:eastAsia="仿宋" w:cs="仿宋"/>
          <w:b w:val="0"/>
          <w:sz w:val="32"/>
          <w:szCs w:val="32"/>
        </w:rPr>
        <w:t>合作</w:t>
      </w:r>
      <w:r>
        <w:rPr>
          <w:rStyle w:val="20"/>
          <w:rFonts w:hint="eastAsia" w:ascii="仿宋" w:hAnsi="仿宋" w:eastAsia="仿宋" w:cs="仿宋"/>
          <w:b w:val="0"/>
          <w:sz w:val="32"/>
          <w:szCs w:val="32"/>
        </w:rPr>
        <w:t>企业，壮大企业集团成员，扩大集团业务规模，不断提升市场竞争力。通过探索开发环卫设施服务、再生资源处理、环卫信息化等业务板块，增长</w:t>
      </w:r>
      <w:r>
        <w:rPr>
          <w:rStyle w:val="20"/>
          <w:rFonts w:ascii="仿宋" w:hAnsi="仿宋" w:eastAsia="仿宋" w:cs="仿宋"/>
          <w:b w:val="0"/>
          <w:sz w:val="32"/>
          <w:szCs w:val="32"/>
        </w:rPr>
        <w:t>企业营收</w:t>
      </w:r>
      <w:r>
        <w:rPr>
          <w:rStyle w:val="20"/>
          <w:rFonts w:hint="eastAsia" w:ascii="仿宋" w:hAnsi="仿宋" w:eastAsia="仿宋" w:cs="仿宋"/>
          <w:b w:val="0"/>
          <w:sz w:val="32"/>
          <w:szCs w:val="32"/>
        </w:rPr>
        <w:t>能力</w:t>
      </w:r>
      <w:r>
        <w:rPr>
          <w:rStyle w:val="20"/>
          <w:rFonts w:ascii="仿宋" w:hAnsi="仿宋" w:eastAsia="仿宋" w:cs="仿宋"/>
          <w:b w:val="0"/>
          <w:sz w:val="32"/>
          <w:szCs w:val="32"/>
        </w:rPr>
        <w:t>，</w:t>
      </w:r>
      <w:r>
        <w:rPr>
          <w:rStyle w:val="20"/>
          <w:rFonts w:hint="eastAsia" w:ascii="仿宋" w:hAnsi="仿宋" w:eastAsia="仿宋" w:cs="仿宋"/>
          <w:b w:val="0"/>
          <w:sz w:val="32"/>
          <w:szCs w:val="32"/>
        </w:rPr>
        <w:t>提升</w:t>
      </w:r>
      <w:r>
        <w:rPr>
          <w:rStyle w:val="20"/>
          <w:rFonts w:ascii="仿宋" w:hAnsi="仿宋" w:eastAsia="仿宋" w:cs="仿宋"/>
          <w:b w:val="0"/>
          <w:sz w:val="32"/>
          <w:szCs w:val="32"/>
        </w:rPr>
        <w:t>环卫</w:t>
      </w:r>
      <w:r>
        <w:rPr>
          <w:rStyle w:val="20"/>
          <w:rFonts w:hint="eastAsia" w:ascii="仿宋" w:hAnsi="仿宋" w:eastAsia="仿宋" w:cs="仿宋"/>
          <w:b w:val="0"/>
          <w:sz w:val="32"/>
          <w:szCs w:val="32"/>
        </w:rPr>
        <w:t>服务水平。</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（三）健全环卫行业管理。</w:t>
      </w:r>
      <w:r>
        <w:rPr>
          <w:rStyle w:val="20"/>
          <w:rFonts w:hint="eastAsia" w:ascii="仿宋" w:hAnsi="仿宋" w:eastAsia="仿宋" w:cs="仿宋"/>
          <w:b w:val="0"/>
          <w:kern w:val="0"/>
          <w:sz w:val="32"/>
          <w:szCs w:val="32"/>
        </w:rPr>
        <w:t>一是加强环卫行业自律。加强环卫行业信用体系的建设和应用。加强对环卫行业协会的指导，支持环卫行业协会发展，强化环卫行业协会对环卫企业的监督管理，提高环卫行业自律能力。进一步理顺市场环境，规范环卫市场化管理机制，发挥环卫骨干企业示范带头作用，逐步推行环卫公私合营（PPP）模式。二是维护环卫工人权益。劳动保障监察部门将环卫保洁企业列入重点监察对象，加强日常巡查和执法检查，对侵害环卫工人合法权益的违法违规行为加大执法力度，切实维护环卫工人的合法权益。三是建立环卫行业职业培训制度。加大环卫从业人员职业培训力度，逐步提高环卫从业人员技能水平。制定环卫工作岗位技能培训方案，建立以学代招机制，强化技术培训。</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（四）规范行业监督管理。</w:t>
      </w:r>
      <w:r>
        <w:rPr>
          <w:rStyle w:val="20"/>
          <w:rFonts w:hint="eastAsia" w:ascii="仿宋" w:hAnsi="仿宋" w:eastAsia="仿宋" w:cs="仿宋"/>
          <w:b w:val="0"/>
          <w:kern w:val="0"/>
          <w:sz w:val="32"/>
          <w:szCs w:val="32"/>
        </w:rPr>
        <w:t>一是规范行业市场。完善生活垃圾清扫、收集、分类、运输和处理服务监管。建立行业评价制度，根据国家发布的有关标准，定期和随机对全市正在进行的生活垃圾保洁清运服务及正在营运的处理设施管理效果进行评价。建立面向市场的垃圾治理综合服务体系和公平有序的市场运行机制，建立完善的市场准入退出机制和企业信用体系，打破垄断，吸引企业参与垃圾治理，培育行业骨干企业，促进垃圾治理专业化、企业化、市场化和产业化，维护行业秩序、效率和公平。二是加大监管力度。围绕垃圾投放、收集、运输、处理等环节，探索建立集政府、业主、社会监督一体的生活垃圾处理监管机制，提高监管水平。改进生活垃圾管理、营运监督考核办法，量化考核指标，将考核结果作为行业评价、经费划拨的重要依据，注重考核结果的运用，督促全市生活垃圾分类处理各责任单位加强管理，落实责任，提高水平。建立健全检查人、检查对象、检查时间“三随机”抽查监管制度，加强执法检查，严厉打击各种违规行为，确保生活垃圾分类处理管理有序、市场规范、健康发展。</w:t>
      </w:r>
    </w:p>
    <w:p>
      <w:pPr>
        <w:pStyle w:val="16"/>
        <w:numPr>
          <w:ilvl w:val="0"/>
          <w:numId w:val="33"/>
        </w:numPr>
        <w:shd w:val="clear" w:color="auto" w:fill="FFFFFF"/>
        <w:spacing w:before="0" w:beforeAutospacing="0" w:after="0" w:afterAutospacing="0" w:line="560" w:lineRule="exact"/>
        <w:ind w:left="0" w:firstLine="510"/>
        <w:jc w:val="both"/>
        <w:outlineLvl w:val="2"/>
        <w:rPr>
          <w:rStyle w:val="20"/>
          <w:rFonts w:ascii="仿宋" w:hAnsi="仿宋" w:eastAsia="仿宋" w:cs="仿宋"/>
          <w:bCs w:val="0"/>
          <w:sz w:val="32"/>
          <w:szCs w:val="32"/>
        </w:rPr>
      </w:pPr>
      <w:bookmarkStart w:id="63" w:name="_Toc63246028"/>
      <w:bookmarkStart w:id="64" w:name="_Toc8639221"/>
      <w:r>
        <w:rPr>
          <w:rStyle w:val="20"/>
          <w:rFonts w:hint="eastAsia" w:ascii="仿宋" w:hAnsi="仿宋" w:eastAsia="仿宋" w:cs="仿宋"/>
          <w:bCs w:val="0"/>
          <w:sz w:val="32"/>
          <w:szCs w:val="32"/>
        </w:rPr>
        <w:t>推进大气环境治理</w:t>
      </w:r>
      <w:bookmarkEnd w:id="63"/>
      <w:bookmarkEnd w:id="64"/>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（一）道路扬尘治理。</w:t>
      </w:r>
      <w:r>
        <w:rPr>
          <w:rStyle w:val="20"/>
          <w:rFonts w:hint="eastAsia" w:ascii="仿宋" w:hAnsi="仿宋" w:eastAsia="仿宋" w:cs="仿宋"/>
          <w:b w:val="0"/>
          <w:kern w:val="0"/>
          <w:sz w:val="32"/>
          <w:szCs w:val="32"/>
        </w:rPr>
        <w:t>依托“马路本色”行动和“以克论净”考核办法，加大环卫机械化设备投入。全面推广机械化清扫、人行道冲洗、快速流动保洁相结合的立体全覆盖保洁模式，实行夜间冲洗、白天降尘，有效降低道路扬尘。</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kern w:val="0"/>
          <w:sz w:val="32"/>
          <w:szCs w:val="32"/>
        </w:rPr>
        <w:t>（二）餐饮油烟治理。</w:t>
      </w:r>
      <w:r>
        <w:rPr>
          <w:rStyle w:val="20"/>
          <w:rFonts w:hint="eastAsia" w:ascii="仿宋" w:hAnsi="仿宋" w:eastAsia="仿宋" w:cs="仿宋"/>
          <w:b w:val="0"/>
          <w:kern w:val="0"/>
          <w:sz w:val="32"/>
          <w:szCs w:val="32"/>
        </w:rPr>
        <w:t>按照“先重点、后一般，先街面、后纵深”的工作思路，实行推进责任层级化、具体化。一是开展露天烧烤整治。加大露天烧烤整治力度，全面禁止建成区内露天烧烤，依法查处违规露天烧烤行为。二是开展餐饮企业油烟治理。各城区对辖区内餐饮企业数量进行摸底排查，建立台账并实施动态管理；督促辖区内餐饮企业安装油烟净化设施并保持正常运行，烧烤店全面使用环保型无烟烧烤炉。三是定期开展执法检查。对未安装油烟净化设施，未采取有效污染防治措施排放油烟的餐饮企业依法予以行政处罚。</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（三）禁燃禁放治理。</w:t>
      </w:r>
      <w:r>
        <w:rPr>
          <w:rStyle w:val="20"/>
          <w:rFonts w:hint="eastAsia" w:ascii="仿宋" w:hAnsi="仿宋" w:eastAsia="仿宋" w:cs="仿宋"/>
          <w:b w:val="0"/>
          <w:kern w:val="0"/>
          <w:sz w:val="32"/>
          <w:szCs w:val="32"/>
        </w:rPr>
        <w:t>强化烟花爆竹禁燃禁放和秸秆垃圾禁烧工作力度，全面落实禁燃禁放烟花爆竹规定，明确责任，开展综合宣传，形成部门合力，使禁燃禁放深入人心。大力推进秸秆综合利用，全面实施秸秆禁烧，落实秸秆禁烧责任体系，加强焚烧垃圾执法整治。</w:t>
      </w:r>
    </w:p>
    <w:p>
      <w:pPr>
        <w:widowControl/>
        <w:jc w:val="left"/>
        <w:rPr>
          <w:rStyle w:val="20"/>
          <w:rFonts w:ascii="仿宋" w:hAnsi="仿宋" w:eastAsia="仿宋" w:cs="仿宋"/>
          <w:b w:val="0"/>
          <w:kern w:val="0"/>
          <w:sz w:val="32"/>
          <w:szCs w:val="32"/>
        </w:rPr>
      </w:pPr>
      <w:r>
        <w:rPr>
          <w:rStyle w:val="20"/>
          <w:rFonts w:ascii="仿宋" w:hAnsi="仿宋" w:eastAsia="仿宋" w:cs="仿宋"/>
          <w:b w:val="0"/>
          <w:kern w:val="0"/>
          <w:sz w:val="32"/>
          <w:szCs w:val="32"/>
        </w:rPr>
        <w:br w:type="page"/>
      </w:r>
    </w:p>
    <w:p>
      <w:pPr>
        <w:spacing w:beforeLines="50" w:afterLines="50" w:line="360" w:lineRule="auto"/>
        <w:jc w:val="center"/>
        <w:outlineLvl w:val="1"/>
        <w:rPr>
          <w:rFonts w:ascii="仿宋" w:hAnsi="仿宋" w:eastAsia="仿宋" w:cs="仿宋"/>
          <w:b/>
          <w:bCs/>
          <w:sz w:val="32"/>
          <w:szCs w:val="32"/>
        </w:rPr>
      </w:pPr>
      <w:bookmarkStart w:id="65" w:name="_Toc63246029"/>
      <w:r>
        <w:rPr>
          <w:rFonts w:hint="eastAsia" w:ascii="仿宋" w:hAnsi="仿宋" w:eastAsia="仿宋" w:cs="仿宋"/>
          <w:b/>
          <w:bCs/>
          <w:sz w:val="32"/>
          <w:szCs w:val="32"/>
        </w:rPr>
        <w:t>第四节  营造公园城市品质特色</w:t>
      </w:r>
      <w:bookmarkEnd w:id="65"/>
    </w:p>
    <w:p>
      <w:pPr>
        <w:spacing w:line="360" w:lineRule="auto"/>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按照把南昌打造为“公园城市”要求，突出绿色理念，融合生态价值，努力把公园、绿道、邮票绿地串联起来，达到“300米见绿、500米见园”的目标，让市民乐享宜居宜业宜游“南昌生活”。</w:t>
      </w:r>
    </w:p>
    <w:p>
      <w:pPr>
        <w:spacing w:line="360" w:lineRule="auto"/>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到2021年，建成区绿地率达到39.</w:t>
      </w:r>
      <w:r>
        <w:rPr>
          <w:rStyle w:val="20"/>
          <w:rFonts w:ascii="仿宋" w:hAnsi="仿宋" w:eastAsia="仿宋" w:cs="仿宋"/>
          <w:b w:val="0"/>
          <w:kern w:val="0"/>
          <w:sz w:val="32"/>
          <w:szCs w:val="32"/>
        </w:rPr>
        <w:t>32</w:t>
      </w:r>
      <w:r>
        <w:rPr>
          <w:rStyle w:val="20"/>
          <w:rFonts w:hint="eastAsia" w:ascii="仿宋" w:hAnsi="仿宋" w:eastAsia="仿宋" w:cs="仿宋"/>
          <w:b w:val="0"/>
          <w:kern w:val="0"/>
          <w:sz w:val="32"/>
          <w:szCs w:val="32"/>
        </w:rPr>
        <w:t>%，力争人均公园绿地面积达到12.1㎡，绿化覆盖率达到41.33%；绿地率达到全国省会城市上游。力争2021年底绿道长度达到500公里，城市绿道网密度达到</w:t>
      </w:r>
      <w:r>
        <w:rPr>
          <w:rStyle w:val="20"/>
          <w:rFonts w:ascii="仿宋" w:hAnsi="仿宋" w:eastAsia="仿宋" w:cs="仿宋"/>
          <w:b w:val="0"/>
          <w:kern w:val="0"/>
          <w:sz w:val="32"/>
          <w:szCs w:val="32"/>
        </w:rPr>
        <w:t>1.2</w:t>
      </w:r>
      <w:r>
        <w:rPr>
          <w:rStyle w:val="20"/>
          <w:rFonts w:hint="eastAsia" w:ascii="仿宋" w:hAnsi="仿宋" w:eastAsia="仿宋" w:cs="仿宋"/>
          <w:b w:val="0"/>
          <w:kern w:val="0"/>
          <w:sz w:val="32"/>
          <w:szCs w:val="32"/>
        </w:rPr>
        <w:t>公里/平方公里，构建以城市绿道为骨干，社区绿道为补充，涵盖生态型、郊野型、都市型的绿道网络体系，初步形成“四横、七纵、六环”的城市绿道网络系统。</w:t>
      </w:r>
    </w:p>
    <w:p>
      <w:pPr>
        <w:spacing w:line="360" w:lineRule="auto"/>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到2025年，建成区绿地率达到39.</w:t>
      </w:r>
      <w:r>
        <w:rPr>
          <w:rStyle w:val="20"/>
          <w:rFonts w:ascii="仿宋" w:hAnsi="仿宋" w:eastAsia="仿宋" w:cs="仿宋"/>
          <w:b w:val="0"/>
          <w:kern w:val="0"/>
          <w:sz w:val="32"/>
          <w:szCs w:val="32"/>
        </w:rPr>
        <w:t>36</w:t>
      </w:r>
      <w:r>
        <w:rPr>
          <w:rStyle w:val="20"/>
          <w:rFonts w:hint="eastAsia" w:ascii="仿宋" w:hAnsi="仿宋" w:eastAsia="仿宋" w:cs="仿宋"/>
          <w:b w:val="0"/>
          <w:kern w:val="0"/>
          <w:sz w:val="32"/>
          <w:szCs w:val="32"/>
        </w:rPr>
        <w:t>%，人均公园绿地面积达到12.6㎡，绿化覆盖率达到42%，各项指标达到国家生态园林城市标准，创建国家生态园林城市，力争2025年底绿道长度达到700公里，城市绿道网密度达到</w:t>
      </w:r>
      <w:r>
        <w:rPr>
          <w:rStyle w:val="20"/>
          <w:rFonts w:ascii="仿宋" w:hAnsi="仿宋" w:eastAsia="仿宋" w:cs="仿宋"/>
          <w:b w:val="0"/>
          <w:kern w:val="0"/>
          <w:sz w:val="32"/>
          <w:szCs w:val="32"/>
        </w:rPr>
        <w:t>1.5</w:t>
      </w:r>
      <w:r>
        <w:rPr>
          <w:rStyle w:val="20"/>
          <w:rFonts w:hint="eastAsia" w:ascii="仿宋" w:hAnsi="仿宋" w:eastAsia="仿宋" w:cs="仿宋"/>
          <w:b w:val="0"/>
          <w:kern w:val="0"/>
          <w:sz w:val="32"/>
          <w:szCs w:val="32"/>
        </w:rPr>
        <w:t>公里/平方公里，建成绿道之城。</w:t>
      </w:r>
    </w:p>
    <w:p>
      <w:pPr>
        <w:spacing w:line="360" w:lineRule="auto"/>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远景到2035年，全面构建山水林田湖生命城共同体，基本形成“一山三楔、一带两环、多廊多心”的绿地系统结构，建成绿道成网、园城共融的美丽宜居公园城市。</w:t>
      </w:r>
    </w:p>
    <w:p>
      <w:pPr>
        <w:pStyle w:val="16"/>
        <w:numPr>
          <w:ilvl w:val="0"/>
          <w:numId w:val="34"/>
        </w:numPr>
        <w:shd w:val="clear" w:color="auto" w:fill="FFFFFF"/>
        <w:spacing w:before="0" w:beforeAutospacing="0" w:after="0" w:afterAutospacing="0" w:line="360" w:lineRule="auto"/>
        <w:ind w:left="0" w:firstLine="510"/>
        <w:jc w:val="both"/>
        <w:outlineLvl w:val="2"/>
        <w:rPr>
          <w:rStyle w:val="20"/>
          <w:rFonts w:ascii="仿宋" w:hAnsi="仿宋" w:eastAsia="仿宋" w:cs="仿宋"/>
          <w:bCs w:val="0"/>
          <w:sz w:val="32"/>
          <w:szCs w:val="32"/>
        </w:rPr>
      </w:pPr>
      <w:bookmarkStart w:id="66" w:name="_Toc63246030"/>
      <w:r>
        <w:rPr>
          <w:rStyle w:val="20"/>
          <w:rFonts w:hint="eastAsia" w:ascii="仿宋" w:hAnsi="仿宋" w:eastAsia="仿宋" w:cs="仿宋"/>
          <w:bCs w:val="0"/>
          <w:sz w:val="32"/>
          <w:szCs w:val="32"/>
        </w:rPr>
        <w:t>统筹总体结构布局</w:t>
      </w:r>
      <w:bookmarkEnd w:id="66"/>
    </w:p>
    <w:p>
      <w:pPr>
        <w:numPr>
          <w:ilvl w:val="0"/>
          <w:numId w:val="35"/>
        </w:numPr>
        <w:spacing w:line="360" w:lineRule="auto"/>
        <w:ind w:firstLine="642" w:firstLineChars="200"/>
        <w:jc w:val="center"/>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理顺城市绿地系统结构。</w:t>
      </w:r>
      <w:r>
        <w:rPr>
          <w:rStyle w:val="20"/>
          <w:rFonts w:hint="eastAsia" w:ascii="仿宋" w:hAnsi="仿宋" w:eastAsia="仿宋" w:cs="仿宋"/>
          <w:b w:val="0"/>
          <w:kern w:val="0"/>
          <w:sz w:val="32"/>
          <w:szCs w:val="32"/>
        </w:rPr>
        <w:t>2021年启动修编《南昌市城市绿地系统规划（2021-2035）》。根据南昌市国土空间总体</w:t>
      </w:r>
    </w:p>
    <w:p>
      <w:pPr>
        <w:spacing w:line="360" w:lineRule="auto"/>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规划初步方案，建成区将构建“一山三楔、一带两环、多廊多心”的绿地系统结构，实现透绿融城，建设“公园+绿道”内外联通的绿化网络。以梅岭为生态绿核，从南、北、东三个方向引入赣江上游、赣江下游、抚河-青岚湖三大生态绿楔；以赣江沿江绿带为主轴，形成贯通都市区的南北向生态蓝绿带。内外两条绕城绿环为支撑，划分出三个城市空间圈层，形成都市区绿地系统的基本骨架；基于河道水系、铁路与城市干道，结合城市通风廊道、候鸟通道，形成12条从绕城内环向外发散、划分城市组团的绿色廊道，形成多廊串联的网络式格局，增强绿地系统连续性。</w:t>
      </w:r>
    </w:p>
    <w:p>
      <w:pPr>
        <w:spacing w:line="360" w:lineRule="auto"/>
        <w:jc w:val="center"/>
        <w:rPr>
          <w:rStyle w:val="20"/>
          <w:rFonts w:ascii="仿宋" w:hAnsi="仿宋" w:eastAsia="仿宋" w:cs="仿宋"/>
          <w:b w:val="0"/>
          <w:kern w:val="0"/>
          <w:sz w:val="32"/>
          <w:szCs w:val="32"/>
        </w:rPr>
      </w:pPr>
      <w:r>
        <w:rPr>
          <w:rStyle w:val="20"/>
          <w:rFonts w:ascii="仿宋" w:hAnsi="仿宋" w:eastAsia="仿宋" w:cs="仿宋"/>
          <w:b w:val="0"/>
          <w:kern w:val="0"/>
          <w:sz w:val="32"/>
          <w:szCs w:val="32"/>
        </w:rPr>
        <w:drawing>
          <wp:inline distT="0" distB="0" distL="114300" distR="114300">
            <wp:extent cx="5136515" cy="5858510"/>
            <wp:effectExtent l="0" t="0" r="6985" b="8890"/>
            <wp:docPr id="29"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4"/>
                    <pic:cNvPicPr>
                      <a:picLocks noChangeAspect="1"/>
                    </pic:cNvPicPr>
                  </pic:nvPicPr>
                  <pic:blipFill>
                    <a:blip r:embed="rId23" cstate="print">
                      <a:extLst>
                        <a:ext uri="{28A0092B-C50C-407E-A947-70E740481C1C}">
                          <a14:useLocalDpi xmlns:a14="http://schemas.microsoft.com/office/drawing/2010/main" val="0"/>
                        </a:ext>
                      </a:extLst>
                    </a:blip>
                    <a:srcRect l="5446" t="10497" r="5539" b="17802"/>
                    <a:stretch>
                      <a:fillRect/>
                    </a:stretch>
                  </pic:blipFill>
                  <pic:spPr>
                    <a:xfrm>
                      <a:off x="0" y="0"/>
                      <a:ext cx="5136515" cy="5858510"/>
                    </a:xfrm>
                    <a:prstGeom prst="rect">
                      <a:avLst/>
                    </a:prstGeom>
                  </pic:spPr>
                </pic:pic>
              </a:graphicData>
            </a:graphic>
          </wp:inline>
        </w:drawing>
      </w:r>
    </w:p>
    <w:p>
      <w:pPr>
        <w:spacing w:line="360" w:lineRule="auto"/>
        <w:ind w:firstLine="642" w:firstLineChars="200"/>
        <w:jc w:val="left"/>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（二）推进公园体系建设。</w:t>
      </w:r>
      <w:r>
        <w:rPr>
          <w:rStyle w:val="20"/>
          <w:rFonts w:hint="eastAsia" w:ascii="仿宋" w:hAnsi="仿宋" w:eastAsia="仿宋" w:cs="仿宋"/>
          <w:b w:val="0"/>
          <w:kern w:val="0"/>
          <w:sz w:val="32"/>
          <w:szCs w:val="32"/>
        </w:rPr>
        <w:t>加强规划引领，2021年编制完成《南昌市公园体系发展规划（2020-2035）》，构建起“园在城中，城在园中”的城市公园体系新格局，塑造“城园相融”的大美形态。按照由综合公园、社区公园、专类公园、游园组成的城市公园体系，充分发挥绿道网、城区水网的串联作用，连通所有的城市节点，形成全民共享、覆盖全城、蓝绿交织的网络，实现全城景观化、景区化。</w:t>
      </w:r>
    </w:p>
    <w:p>
      <w:pPr>
        <w:pStyle w:val="16"/>
        <w:numPr>
          <w:ilvl w:val="0"/>
          <w:numId w:val="34"/>
        </w:numPr>
        <w:shd w:val="clear" w:color="auto" w:fill="FFFFFF"/>
        <w:spacing w:before="0" w:beforeAutospacing="0" w:after="0" w:afterAutospacing="0" w:line="360" w:lineRule="auto"/>
        <w:ind w:left="0" w:firstLine="510"/>
        <w:jc w:val="both"/>
        <w:outlineLvl w:val="2"/>
        <w:rPr>
          <w:rStyle w:val="20"/>
          <w:rFonts w:ascii="仿宋" w:hAnsi="仿宋" w:eastAsia="仿宋" w:cs="仿宋"/>
          <w:bCs w:val="0"/>
          <w:sz w:val="32"/>
          <w:szCs w:val="32"/>
        </w:rPr>
      </w:pPr>
      <w:bookmarkStart w:id="67" w:name="_Toc63246031"/>
      <w:r>
        <w:rPr>
          <w:rStyle w:val="20"/>
          <w:rFonts w:hint="eastAsia" w:ascii="仿宋" w:hAnsi="仿宋" w:eastAsia="仿宋" w:cs="仿宋"/>
          <w:bCs w:val="0"/>
          <w:sz w:val="32"/>
          <w:szCs w:val="32"/>
        </w:rPr>
        <w:t>加快公园城市建设</w:t>
      </w:r>
      <w:bookmarkEnd w:id="67"/>
    </w:p>
    <w:p>
      <w:pPr>
        <w:numPr>
          <w:ilvl w:val="0"/>
          <w:numId w:val="36"/>
        </w:numPr>
        <w:spacing w:line="360" w:lineRule="auto"/>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深刻认识公园城市本质要求。</w:t>
      </w:r>
      <w:r>
        <w:rPr>
          <w:rStyle w:val="20"/>
          <w:rFonts w:hint="eastAsia" w:ascii="仿宋" w:hAnsi="仿宋" w:eastAsia="仿宋" w:cs="仿宋"/>
          <w:b w:val="0"/>
          <w:kern w:val="0"/>
          <w:sz w:val="32"/>
          <w:szCs w:val="32"/>
        </w:rPr>
        <w:t>公园城市作为全面体现新发展理念的城市发展高级形态，坚持以人民为中心、以生态文明为引领，将公园形态与城市空间有机融合，生产生活生态空间相宜、自然经济社会人文相融的复合系统，公园城市人城境业高度和谐统一的现代化城市，是新时代可持续发展城市建设的新模式。大力推进国家生态文明试验区建设，扎实做好治山理水、显山露水的文章，以更高标准打造美丽中国“江西样板”。牢牢把握高质量发展根本要求，坚持生态文明引领城市发展，为加快建设美丽宜居公园城市努力奋斗。</w:t>
      </w:r>
    </w:p>
    <w:p>
      <w:pPr>
        <w:spacing w:line="360" w:lineRule="auto"/>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2021年，以建设“山水名城、生态都市”为目标，展现“山水相依、景城一体、诗情画意、宜居宜游”的独特魅力，充分彰显省会担当，唱响城市建管“南昌品牌”，把南昌打造成为可阅读、有温度、宜居宜业的国际化、现代化的山水花园都市。到2025年，将南昌打造成全域式生态花园城市，公园城市特点初显雏形，初步构建山水林田湖城生命共同体。到2035年南昌全方位形成人与城市、环境、产业高度和谐统一的大美城市生态圈，最终建成公园城市。</w:t>
      </w:r>
    </w:p>
    <w:p>
      <w:pPr>
        <w:spacing w:line="360" w:lineRule="auto"/>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（二）加大生态培育力度。</w:t>
      </w:r>
      <w:r>
        <w:rPr>
          <w:rStyle w:val="20"/>
          <w:rFonts w:hint="eastAsia" w:ascii="仿宋" w:hAnsi="仿宋" w:eastAsia="仿宋" w:cs="仿宋"/>
          <w:b w:val="0"/>
          <w:kern w:val="0"/>
          <w:sz w:val="32"/>
          <w:szCs w:val="32"/>
        </w:rPr>
        <w:t>加强梅岭生态绿核，赣江上游、赣江下游、抚河-青岚湖三大生态绿楔，以赣江沿江生态蓝绿带。内外两条绕城绿环，12条城市组团的绿色廊道等生态培育。</w:t>
      </w:r>
    </w:p>
    <w:p>
      <w:pPr>
        <w:spacing w:line="360" w:lineRule="auto"/>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（三）加快公园绿地建设。</w:t>
      </w:r>
      <w:r>
        <w:rPr>
          <w:rStyle w:val="20"/>
          <w:rFonts w:hint="eastAsia" w:ascii="仿宋" w:hAnsi="仿宋" w:eastAsia="仿宋" w:cs="仿宋"/>
          <w:b w:val="0"/>
          <w:kern w:val="0"/>
          <w:sz w:val="32"/>
          <w:szCs w:val="32"/>
        </w:rPr>
        <w:t>按照把南昌打造为美丽宜居的公园城市目标，以及城市居民出行“300米见绿，500米见园”的要求，加快公园绿地建设，推进赣江风光带向南北延伸，打造全省最长的滨江风光带，实施赣江市民公园（四期）、九龙湖公园二期、绿地国博公园、玉带河监控系统及儿童公园、洪都航空文化园、动物园二期、人民公园、龙潭水渠、儒乐湖公园、杨家湖及周边生态修复、磨盘山公园、丹霞公园、渔庄秋月公园、象湖及抚河故道生态修复、平安公园、武举堤坝湿地公园、雁泥湖公园、赣鄱珍奇植物园、百花园等一批公园绿地建设。</w:t>
      </w:r>
    </w:p>
    <w:p>
      <w:pPr>
        <w:spacing w:line="360" w:lineRule="auto"/>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到2021年底全市建成120个公园广场，建成区绿地率达到39.</w:t>
      </w:r>
      <w:r>
        <w:rPr>
          <w:rStyle w:val="20"/>
          <w:rFonts w:ascii="仿宋" w:hAnsi="仿宋" w:eastAsia="仿宋" w:cs="仿宋"/>
          <w:b w:val="0"/>
          <w:kern w:val="0"/>
          <w:sz w:val="32"/>
          <w:szCs w:val="32"/>
        </w:rPr>
        <w:t>32</w:t>
      </w:r>
      <w:r>
        <w:rPr>
          <w:rStyle w:val="20"/>
          <w:rFonts w:hint="eastAsia" w:ascii="仿宋" w:hAnsi="仿宋" w:eastAsia="仿宋" w:cs="仿宋"/>
          <w:b w:val="0"/>
          <w:kern w:val="0"/>
          <w:sz w:val="32"/>
          <w:szCs w:val="32"/>
        </w:rPr>
        <w:t>%，力争人均公园绿地面积达到12.1㎡，绿化覆盖率达到41.33%。绿地率达到全国省会城市上游，构建完善的城市公园体系，提升公园广场的服务性功能。</w:t>
      </w:r>
    </w:p>
    <w:p>
      <w:pPr>
        <w:spacing w:line="360" w:lineRule="auto"/>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到2025年，建成区绿地率达到39.</w:t>
      </w:r>
      <w:r>
        <w:rPr>
          <w:rStyle w:val="20"/>
          <w:rFonts w:ascii="仿宋" w:hAnsi="仿宋" w:eastAsia="仿宋" w:cs="仿宋"/>
          <w:b w:val="0"/>
          <w:kern w:val="0"/>
          <w:sz w:val="32"/>
          <w:szCs w:val="32"/>
        </w:rPr>
        <w:t>36</w:t>
      </w:r>
      <w:r>
        <w:rPr>
          <w:rStyle w:val="20"/>
          <w:rFonts w:hint="eastAsia" w:ascii="仿宋" w:hAnsi="仿宋" w:eastAsia="仿宋" w:cs="仿宋"/>
          <w:b w:val="0"/>
          <w:kern w:val="0"/>
          <w:sz w:val="32"/>
          <w:szCs w:val="32"/>
        </w:rPr>
        <w:t>%，人均公园绿地面积达到12.6㎡，绿化覆盖率达到42%，各项指标达到国家生态园林城市标准，创建国家生态园林城市。</w:t>
      </w:r>
    </w:p>
    <w:p>
      <w:pPr>
        <w:spacing w:line="360" w:lineRule="auto"/>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（四）推进绿道</w:t>
      </w:r>
      <w:r>
        <w:rPr>
          <w:rStyle w:val="20"/>
          <w:rFonts w:ascii="仿宋" w:hAnsi="仿宋" w:eastAsia="仿宋" w:cs="仿宋"/>
          <w:bCs w:val="0"/>
          <w:kern w:val="0"/>
          <w:sz w:val="32"/>
          <w:szCs w:val="32"/>
        </w:rPr>
        <w:t>绿廊建</w:t>
      </w:r>
      <w:r>
        <w:rPr>
          <w:rStyle w:val="20"/>
          <w:rFonts w:ascii="仿宋" w:hAnsi="仿宋" w:eastAsia="仿宋" w:cs="仿宋"/>
          <w:b w:val="0"/>
          <w:kern w:val="0"/>
          <w:sz w:val="32"/>
          <w:szCs w:val="32"/>
        </w:rPr>
        <w:t>设</w:t>
      </w:r>
      <w:r>
        <w:rPr>
          <w:rStyle w:val="20"/>
          <w:rFonts w:hint="eastAsia" w:ascii="仿宋" w:hAnsi="仿宋" w:eastAsia="仿宋" w:cs="仿宋"/>
          <w:b w:val="0"/>
          <w:kern w:val="0"/>
          <w:sz w:val="32"/>
          <w:szCs w:val="32"/>
        </w:rPr>
        <w:t>。进一步拓展延伸全市绿道覆盖范围，通过绿道将城市主要的公园、旅游景点、自然保护区、风景名胜区、历史古迹和居民聚集区等有机衔接，形成以城市绿廊为主轴，城市绿道为骨干，社区绿道为补充，涵盖生态型、郊野性、都市型的绿道绿廊网络体系。力争2021年底绿道长度达到500公里，城市建成区绿道网密度达到1公里/平方公里；力争2025年底绿道长度达到700公里，城市建成区绿道网密度达到1.2公里/平方公里，持续推进“九横、九纵、八环”的城市绿道规划建设，努力把南昌打造为山水相连的绿道之城。</w:t>
      </w:r>
    </w:p>
    <w:p>
      <w:pPr>
        <w:spacing w:line="360" w:lineRule="auto"/>
        <w:jc w:val="center"/>
        <w:rPr>
          <w:rStyle w:val="20"/>
          <w:rFonts w:ascii="仿宋" w:hAnsi="仿宋" w:eastAsia="仿宋" w:cs="仿宋"/>
          <w:b w:val="0"/>
          <w:kern w:val="0"/>
          <w:sz w:val="32"/>
          <w:szCs w:val="32"/>
        </w:rPr>
      </w:pPr>
      <w:r>
        <w:rPr>
          <w:rStyle w:val="20"/>
          <w:rFonts w:ascii="仿宋" w:hAnsi="仿宋" w:eastAsia="仿宋" w:cs="仿宋"/>
          <w:b w:val="0"/>
          <w:kern w:val="0"/>
          <w:sz w:val="32"/>
        </w:rPr>
        <w:drawing>
          <wp:inline distT="0" distB="0" distL="0" distR="0">
            <wp:extent cx="4781550" cy="3378200"/>
            <wp:effectExtent l="19050" t="0" r="0" b="0"/>
            <wp:docPr id="30" name="Picture 2" descr="D:\Desktop\绿道图纸\结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 descr="D:\Desktop\绿道图纸\结构.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4793255" cy="3386295"/>
                    </a:xfrm>
                    <a:prstGeom prst="rect">
                      <a:avLst/>
                    </a:prstGeom>
                    <a:noFill/>
                  </pic:spPr>
                </pic:pic>
              </a:graphicData>
            </a:graphic>
          </wp:inline>
        </w:drawing>
      </w:r>
    </w:p>
    <w:p>
      <w:pPr>
        <w:jc w:val="center"/>
        <w:rPr>
          <w:rStyle w:val="20"/>
          <w:rFonts w:ascii="仿宋" w:hAnsi="仿宋" w:eastAsia="仿宋" w:cs="仿宋"/>
          <w:b w:val="0"/>
          <w:kern w:val="0"/>
          <w:sz w:val="32"/>
          <w:szCs w:val="32"/>
        </w:rPr>
      </w:pPr>
      <w:r>
        <w:rPr>
          <w:rFonts w:hint="eastAsia" w:ascii="仿宋" w:hAnsi="仿宋" w:eastAsia="仿宋" w:cs="仿宋"/>
          <w:sz w:val="32"/>
          <w:szCs w:val="32"/>
          <w:u w:val="single"/>
        </w:rPr>
        <w:t>城市绿道结构图</w:t>
      </w:r>
    </w:p>
    <w:p>
      <w:pPr>
        <w:spacing w:line="360" w:lineRule="auto"/>
        <w:jc w:val="center"/>
        <w:rPr>
          <w:rStyle w:val="20"/>
          <w:rFonts w:ascii="仿宋" w:hAnsi="仿宋" w:eastAsia="仿宋" w:cs="仿宋"/>
          <w:bCs w:val="0"/>
          <w:kern w:val="0"/>
          <w:sz w:val="32"/>
          <w:szCs w:val="32"/>
        </w:rPr>
      </w:pPr>
      <w:r>
        <w:rPr>
          <w:rFonts w:ascii="仿宋" w:hAnsi="仿宋" w:eastAsia="仿宋" w:cs="仿宋"/>
          <w:bCs/>
          <w:kern w:val="0"/>
          <w:sz w:val="32"/>
          <w:szCs w:val="32"/>
        </w:rPr>
        <w:drawing>
          <wp:inline distT="0" distB="0" distL="0" distR="0">
            <wp:extent cx="4614545" cy="3259455"/>
            <wp:effectExtent l="0" t="0" r="0" b="0"/>
            <wp:docPr id="3074" name="Picture 2" descr="D:\Desktop\绿道图纸\05 区级 分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D:\Desktop\绿道图纸\05 区级 分类.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a:xfrm>
                      <a:off x="0" y="0"/>
                      <a:ext cx="4617684" cy="3262110"/>
                    </a:xfrm>
                    <a:prstGeom prst="rect">
                      <a:avLst/>
                    </a:prstGeom>
                    <a:noFill/>
                  </pic:spPr>
                </pic:pic>
              </a:graphicData>
            </a:graphic>
          </wp:inline>
        </w:drawing>
      </w:r>
    </w:p>
    <w:p>
      <w:pPr>
        <w:jc w:val="center"/>
        <w:rPr>
          <w:rFonts w:ascii="仿宋" w:hAnsi="仿宋" w:eastAsia="仿宋" w:cs="仿宋"/>
          <w:sz w:val="32"/>
          <w:szCs w:val="32"/>
          <w:u w:val="single"/>
        </w:rPr>
      </w:pPr>
      <w:r>
        <w:rPr>
          <w:rFonts w:hint="eastAsia" w:ascii="仿宋" w:hAnsi="仿宋" w:eastAsia="仿宋" w:cs="仿宋"/>
          <w:sz w:val="32"/>
          <w:szCs w:val="32"/>
          <w:u w:val="single"/>
        </w:rPr>
        <w:t>社区级绿道规划图</w:t>
      </w:r>
    </w:p>
    <w:p>
      <w:pPr>
        <w:spacing w:line="360" w:lineRule="auto"/>
        <w:ind w:firstLine="642" w:firstLineChars="200"/>
        <w:jc w:val="left"/>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（五）加快城市邮票绿地建设。</w:t>
      </w:r>
      <w:r>
        <w:rPr>
          <w:rStyle w:val="20"/>
          <w:rFonts w:hint="eastAsia" w:ascii="仿宋" w:hAnsi="仿宋" w:eastAsia="仿宋" w:cs="仿宋"/>
          <w:b w:val="0"/>
          <w:kern w:val="0"/>
          <w:sz w:val="32"/>
          <w:szCs w:val="32"/>
        </w:rPr>
        <w:t>持续优化城市公园绿地布局，更加注重居民身边小绿地、小游园等社区公园和街旁绿地建设。在城区现有邮票绿地基础上，继续利用城市拆违区、斑秃区、废弃地、边角地带、老旧社区见缝插绿，补足休闲、体育、公共卫生服务设施，满足市民基本需求。2021年全市增设52个“口袋公园”“邮票绿地”，基本达到居民推窗见绿、出门赏景的观景效果。</w:t>
      </w:r>
    </w:p>
    <w:p>
      <w:pPr>
        <w:pStyle w:val="16"/>
        <w:numPr>
          <w:ilvl w:val="0"/>
          <w:numId w:val="34"/>
        </w:numPr>
        <w:shd w:val="clear" w:color="auto" w:fill="FFFFFF"/>
        <w:spacing w:before="0" w:beforeAutospacing="0" w:after="0" w:afterAutospacing="0" w:line="360" w:lineRule="auto"/>
        <w:ind w:left="0" w:firstLine="510"/>
        <w:jc w:val="both"/>
        <w:outlineLvl w:val="2"/>
        <w:rPr>
          <w:rStyle w:val="20"/>
          <w:rFonts w:ascii="仿宋" w:hAnsi="仿宋" w:eastAsia="仿宋" w:cs="仿宋"/>
          <w:bCs w:val="0"/>
          <w:sz w:val="32"/>
          <w:szCs w:val="32"/>
        </w:rPr>
      </w:pPr>
      <w:bookmarkStart w:id="68" w:name="_Toc63246032"/>
      <w:r>
        <w:rPr>
          <w:rStyle w:val="20"/>
          <w:rFonts w:hint="eastAsia" w:ascii="仿宋" w:hAnsi="仿宋" w:eastAsia="仿宋" w:cs="仿宋"/>
          <w:bCs w:val="0"/>
          <w:sz w:val="32"/>
          <w:szCs w:val="32"/>
        </w:rPr>
        <w:t>提升园林绿化品质</w:t>
      </w:r>
      <w:bookmarkEnd w:id="68"/>
    </w:p>
    <w:p>
      <w:pPr>
        <w:spacing w:line="360" w:lineRule="auto"/>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（一）提升城市绿化品味。</w:t>
      </w:r>
      <w:r>
        <w:rPr>
          <w:rStyle w:val="20"/>
          <w:rFonts w:hint="eastAsia" w:ascii="仿宋" w:hAnsi="仿宋" w:eastAsia="仿宋" w:cs="仿宋"/>
          <w:b w:val="0"/>
          <w:kern w:val="0"/>
          <w:sz w:val="32"/>
          <w:szCs w:val="32"/>
        </w:rPr>
        <w:t>加强城市道路绿化“绿改彩”，保证季相分明、季季有花，实施长效摆花、种花机制。按照高、中、低植物搭配，构建乔木、灌木、花草合理配置的街头绿地景观小品，丰富道路节点、主要交通路口的绿化彩化街头景观。</w:t>
      </w:r>
      <w:r>
        <w:rPr>
          <w:rStyle w:val="20"/>
          <w:rFonts w:hint="eastAsia" w:ascii="仿宋" w:hAnsi="仿宋" w:eastAsia="仿宋" w:cs="仿宋"/>
          <w:b w:val="0"/>
          <w:bCs w:val="0"/>
          <w:kern w:val="0"/>
          <w:sz w:val="32"/>
          <w:szCs w:val="32"/>
        </w:rPr>
        <w:t>2021-2025年每年持续对全市150条道路实施常态化彩化，通过运用彩叶植物、宿根花卉、亚乔木灌木及草花等，对现有道路绿化植物景观进行优化、美化改造。</w:t>
      </w:r>
      <w:r>
        <w:rPr>
          <w:rStyle w:val="20"/>
          <w:rFonts w:hint="eastAsia" w:ascii="仿宋" w:hAnsi="仿宋" w:eastAsia="仿宋" w:cs="仿宋"/>
          <w:b w:val="0"/>
          <w:kern w:val="0"/>
          <w:sz w:val="32"/>
          <w:szCs w:val="32"/>
        </w:rPr>
        <w:t>利用道路护栏摆放花卉造型，并在中山路、阳明路、八一大道、北京西路利用花箱替换人行道护栏和道路中央护栏，种植月季和时令花卉，由平面绿化向立体绿化拓展，实现护栏花箱一体化，着力开辟绿化空间。大力推进玉带河全线园林景观改造提升工程和朝阳洲地区绿化工程建设，全力为市民打造设施完善、环境优美、文化彰显的生态休闲景观带。在城市的主要河道和主次干道两侧种乔木、增品种，科学搭配常青与落叶树种比例，打造一批生态廊道。在城市重要节点、重点区域、主要道路上实施景观绿化，增加街头小品和花卉造型，推进城市绿化景观化、多样化、色彩化、香溢化和本土化。</w:t>
      </w:r>
    </w:p>
    <w:p>
      <w:pPr>
        <w:spacing w:line="360" w:lineRule="auto"/>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（二）大力推进立体绿化建设。</w:t>
      </w:r>
      <w:r>
        <w:rPr>
          <w:rStyle w:val="20"/>
          <w:rFonts w:hint="eastAsia" w:ascii="仿宋" w:hAnsi="仿宋" w:eastAsia="仿宋" w:cs="仿宋"/>
          <w:b w:val="0"/>
          <w:kern w:val="0"/>
          <w:sz w:val="32"/>
          <w:szCs w:val="32"/>
        </w:rPr>
        <w:t>创新绿墙、花墙、树墙、和绿色阳台等立体绿化形式，大力推进立体绿化建设，因地制宜推广实施公共建筑屋顶、建筑墙体、立交桥、挡土墙、边（护）坡、柱廊及棚架、花坛、庭院等立体绿化，扩展城市绿色空间。</w:t>
      </w:r>
    </w:p>
    <w:p>
      <w:pPr>
        <w:pStyle w:val="16"/>
        <w:numPr>
          <w:ilvl w:val="0"/>
          <w:numId w:val="34"/>
        </w:numPr>
        <w:shd w:val="clear" w:color="auto" w:fill="FFFFFF"/>
        <w:spacing w:before="0" w:beforeAutospacing="0" w:after="0" w:afterAutospacing="0" w:line="360" w:lineRule="auto"/>
        <w:ind w:left="0" w:firstLine="510"/>
        <w:jc w:val="both"/>
        <w:outlineLvl w:val="2"/>
        <w:rPr>
          <w:rStyle w:val="20"/>
          <w:rFonts w:ascii="仿宋" w:hAnsi="仿宋" w:eastAsia="仿宋" w:cs="仿宋"/>
          <w:bCs w:val="0"/>
          <w:sz w:val="32"/>
          <w:szCs w:val="32"/>
        </w:rPr>
      </w:pPr>
      <w:bookmarkStart w:id="69" w:name="_Toc63246033"/>
      <w:r>
        <w:rPr>
          <w:rStyle w:val="20"/>
          <w:rFonts w:hint="eastAsia" w:ascii="仿宋" w:hAnsi="仿宋" w:eastAsia="仿宋" w:cs="仿宋"/>
          <w:bCs w:val="0"/>
          <w:sz w:val="32"/>
          <w:szCs w:val="32"/>
        </w:rPr>
        <w:t>推进城市生态修复</w:t>
      </w:r>
      <w:bookmarkEnd w:id="69"/>
    </w:p>
    <w:p>
      <w:pPr>
        <w:spacing w:line="360" w:lineRule="auto"/>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加大梅岭及其周边山脉的保护与利用，积极探索鄱阳湖越冬候鸟区基层保护站点体系建设，加强鄱阳湖、军山湖等重要湿地的保护与修复。开展山水林田湖综合治理，实施生态修复建设工程，形成多样化、高品质的生态系统。</w:t>
      </w:r>
    </w:p>
    <w:p>
      <w:pPr>
        <w:pStyle w:val="16"/>
        <w:numPr>
          <w:ilvl w:val="0"/>
          <w:numId w:val="34"/>
        </w:numPr>
        <w:shd w:val="clear" w:color="auto" w:fill="FFFFFF"/>
        <w:spacing w:before="0" w:beforeAutospacing="0" w:after="0" w:afterAutospacing="0" w:line="360" w:lineRule="auto"/>
        <w:ind w:left="0" w:firstLine="510"/>
        <w:jc w:val="both"/>
        <w:outlineLvl w:val="2"/>
        <w:rPr>
          <w:rStyle w:val="20"/>
          <w:rFonts w:ascii="仿宋" w:hAnsi="仿宋" w:eastAsia="仿宋" w:cs="仿宋"/>
          <w:bCs w:val="0"/>
          <w:sz w:val="32"/>
          <w:szCs w:val="32"/>
        </w:rPr>
      </w:pPr>
      <w:bookmarkStart w:id="70" w:name="_Toc63246034"/>
      <w:r>
        <w:rPr>
          <w:rStyle w:val="20"/>
          <w:rFonts w:hint="eastAsia" w:ascii="仿宋" w:hAnsi="仿宋" w:eastAsia="仿宋" w:cs="仿宋"/>
          <w:bCs w:val="0"/>
          <w:sz w:val="32"/>
          <w:szCs w:val="32"/>
        </w:rPr>
        <w:t>加强园林绿化养护</w:t>
      </w:r>
      <w:bookmarkEnd w:id="70"/>
    </w:p>
    <w:p>
      <w:pPr>
        <w:spacing w:line="360" w:lineRule="auto"/>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实行绿化属地管理制度，保证责任到人。建立园林绿化养护管理行业监管、专业指导、执法联动、社会监督四大网络机制，明确“市、区、街、社”四级管护的责任分工，强化属地化管理。解决单位、庭院绿化养护失管的问题，消除管理盲区，提高管护水平。加强园林绿化养护的投入，多渠道筹措建设与养护的资金。养护管理法制化，以立法的形式把绿地、树木、养护、管理列为所有者的责任。</w:t>
      </w:r>
    </w:p>
    <w:p>
      <w:pPr>
        <w:spacing w:beforeLines="50" w:afterLines="50" w:line="560" w:lineRule="exact"/>
        <w:jc w:val="center"/>
        <w:outlineLvl w:val="1"/>
        <w:rPr>
          <w:rFonts w:ascii="仿宋" w:hAnsi="仿宋" w:eastAsia="仿宋" w:cs="仿宋"/>
          <w:b/>
          <w:bCs/>
          <w:sz w:val="32"/>
          <w:szCs w:val="32"/>
        </w:rPr>
      </w:pPr>
      <w:r>
        <w:rPr>
          <w:rStyle w:val="20"/>
          <w:rFonts w:ascii="仿宋" w:hAnsi="仿宋" w:eastAsia="仿宋" w:cs="仿宋"/>
          <w:b w:val="0"/>
          <w:kern w:val="0"/>
          <w:sz w:val="32"/>
          <w:szCs w:val="32"/>
        </w:rPr>
        <w:br w:type="page"/>
      </w:r>
      <w:bookmarkStart w:id="71" w:name="_Toc63246035"/>
      <w:r>
        <w:rPr>
          <w:rFonts w:hint="eastAsia" w:ascii="仿宋" w:hAnsi="仿宋" w:eastAsia="仿宋" w:cs="仿宋"/>
          <w:b/>
          <w:bCs/>
          <w:sz w:val="32"/>
          <w:szCs w:val="32"/>
        </w:rPr>
        <w:t>第五节  增强城市公用供给保障</w:t>
      </w:r>
      <w:bookmarkEnd w:id="71"/>
    </w:p>
    <w:p>
      <w:pPr>
        <w:spacing w:line="560" w:lineRule="exact"/>
        <w:ind w:firstLine="600" w:firstLineChars="200"/>
        <w:rPr>
          <w:rStyle w:val="20"/>
          <w:rFonts w:ascii="仿宋" w:hAnsi="仿宋" w:eastAsia="仿宋" w:cs="仿宋"/>
          <w:b w:val="0"/>
          <w:kern w:val="0"/>
          <w:sz w:val="30"/>
          <w:szCs w:val="30"/>
        </w:rPr>
      </w:pPr>
      <w:r>
        <w:rPr>
          <w:rStyle w:val="20"/>
          <w:rFonts w:hint="eastAsia" w:ascii="仿宋" w:hAnsi="仿宋" w:eastAsia="仿宋" w:cs="仿宋"/>
          <w:b w:val="0"/>
          <w:kern w:val="0"/>
          <w:sz w:val="30"/>
          <w:szCs w:val="30"/>
        </w:rPr>
        <w:t>增强公用设施保障能力，让市民群众生活更加方便、舒适、安全。2021年，建成区管道燃气气化率达到85％；瓶装液化气</w:t>
      </w:r>
      <w:r>
        <w:rPr>
          <w:rStyle w:val="20"/>
          <w:rFonts w:hint="eastAsia" w:ascii="仿宋" w:hAnsi="仿宋" w:eastAsia="仿宋" w:cs="仿宋"/>
          <w:b w:val="0"/>
          <w:kern w:val="0"/>
          <w:sz w:val="32"/>
          <w:szCs w:val="32"/>
        </w:rPr>
        <w:t>无证经营点整治率超过90%。</w:t>
      </w:r>
    </w:p>
    <w:p>
      <w:pPr>
        <w:spacing w:line="560" w:lineRule="exact"/>
        <w:ind w:firstLine="60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0"/>
          <w:szCs w:val="30"/>
        </w:rPr>
        <w:t>2025年，建成区管道然气气化率达到90％；瓶装液化气</w:t>
      </w:r>
      <w:r>
        <w:rPr>
          <w:rStyle w:val="20"/>
          <w:rFonts w:hint="eastAsia" w:ascii="仿宋" w:hAnsi="仿宋" w:eastAsia="仿宋" w:cs="仿宋"/>
          <w:b w:val="0"/>
          <w:kern w:val="0"/>
          <w:sz w:val="32"/>
          <w:szCs w:val="32"/>
        </w:rPr>
        <w:t>无证经营点整治率超过100%</w:t>
      </w:r>
      <w:r>
        <w:rPr>
          <w:rStyle w:val="20"/>
          <w:rFonts w:ascii="仿宋" w:hAnsi="仿宋" w:eastAsia="仿宋" w:cs="仿宋"/>
          <w:b w:val="0"/>
          <w:kern w:val="0"/>
          <w:sz w:val="32"/>
          <w:szCs w:val="32"/>
        </w:rPr>
        <w:t>。</w:t>
      </w:r>
    </w:p>
    <w:p>
      <w:pPr>
        <w:pStyle w:val="16"/>
        <w:numPr>
          <w:ilvl w:val="0"/>
          <w:numId w:val="37"/>
        </w:numPr>
        <w:shd w:val="clear" w:color="auto" w:fill="FFFFFF"/>
        <w:spacing w:before="0" w:beforeAutospacing="0" w:after="0" w:afterAutospacing="0" w:line="560" w:lineRule="exact"/>
        <w:ind w:left="0" w:firstLine="602" w:firstLineChars="200"/>
        <w:jc w:val="both"/>
        <w:outlineLvl w:val="2"/>
        <w:rPr>
          <w:rStyle w:val="20"/>
          <w:rFonts w:ascii="仿宋" w:hAnsi="仿宋" w:eastAsia="仿宋" w:cs="仿宋"/>
          <w:bCs w:val="0"/>
          <w:sz w:val="30"/>
          <w:szCs w:val="30"/>
        </w:rPr>
      </w:pPr>
      <w:bookmarkStart w:id="72" w:name="_Toc63246036"/>
      <w:r>
        <w:rPr>
          <w:rStyle w:val="20"/>
          <w:rFonts w:hint="eastAsia" w:ascii="仿宋" w:hAnsi="仿宋" w:eastAsia="仿宋" w:cs="仿宋"/>
          <w:bCs w:val="0"/>
          <w:sz w:val="30"/>
          <w:szCs w:val="30"/>
        </w:rPr>
        <w:t>强化供水保障体系</w:t>
      </w:r>
      <w:bookmarkEnd w:id="72"/>
    </w:p>
    <w:p>
      <w:pPr>
        <w:spacing w:line="560" w:lineRule="exact"/>
        <w:ind w:firstLine="602" w:firstLineChars="200"/>
        <w:rPr>
          <w:rStyle w:val="20"/>
          <w:rFonts w:ascii="仿宋" w:hAnsi="仿宋" w:eastAsia="仿宋" w:cs="仿宋"/>
          <w:b w:val="0"/>
          <w:kern w:val="0"/>
          <w:sz w:val="30"/>
          <w:szCs w:val="30"/>
        </w:rPr>
      </w:pPr>
      <w:r>
        <w:rPr>
          <w:rStyle w:val="20"/>
          <w:rFonts w:hint="eastAsia" w:ascii="仿宋" w:hAnsi="仿宋" w:eastAsia="仿宋" w:cs="仿宋"/>
          <w:bCs w:val="0"/>
          <w:kern w:val="0"/>
          <w:sz w:val="30"/>
          <w:szCs w:val="30"/>
        </w:rPr>
        <w:t>（一）加强供水保障体系建设。</w:t>
      </w:r>
      <w:r>
        <w:rPr>
          <w:rStyle w:val="20"/>
          <w:rFonts w:hint="eastAsia" w:ascii="仿宋" w:hAnsi="仿宋" w:eastAsia="仿宋" w:cs="仿宋"/>
          <w:b w:val="0"/>
          <w:kern w:val="0"/>
          <w:sz w:val="30"/>
          <w:szCs w:val="30"/>
        </w:rPr>
        <w:t>南昌市建成区主要水源为赣江，至2021年，南昌市建成区供水能力达到160万m</w:t>
      </w:r>
      <w:r>
        <w:rPr>
          <w:rStyle w:val="20"/>
          <w:rFonts w:hint="eastAsia" w:ascii="仿宋" w:hAnsi="仿宋" w:eastAsia="仿宋" w:cs="仿宋"/>
          <w:b w:val="0"/>
          <w:kern w:val="0"/>
          <w:sz w:val="30"/>
          <w:szCs w:val="30"/>
          <w:vertAlign w:val="superscript"/>
        </w:rPr>
        <w:t>3</w:t>
      </w:r>
      <w:r>
        <w:rPr>
          <w:rStyle w:val="20"/>
          <w:rFonts w:hint="eastAsia" w:ascii="仿宋" w:hAnsi="仿宋" w:eastAsia="仿宋" w:cs="仿宋"/>
          <w:b w:val="0"/>
          <w:kern w:val="0"/>
          <w:sz w:val="30"/>
          <w:szCs w:val="30"/>
        </w:rPr>
        <w:t>/ d。至2025年，南昌市建成区供水能力达到200 万m</w:t>
      </w:r>
      <w:r>
        <w:rPr>
          <w:rStyle w:val="20"/>
          <w:rFonts w:hint="eastAsia" w:ascii="仿宋" w:hAnsi="仿宋" w:eastAsia="仿宋" w:cs="仿宋"/>
          <w:b w:val="0"/>
          <w:kern w:val="0"/>
          <w:sz w:val="30"/>
          <w:szCs w:val="30"/>
          <w:vertAlign w:val="superscript"/>
        </w:rPr>
        <w:t>3</w:t>
      </w:r>
      <w:r>
        <w:rPr>
          <w:rStyle w:val="20"/>
          <w:rFonts w:hint="eastAsia" w:ascii="仿宋" w:hAnsi="仿宋" w:eastAsia="仿宋" w:cs="仿宋"/>
          <w:b w:val="0"/>
          <w:kern w:val="0"/>
          <w:sz w:val="30"/>
          <w:szCs w:val="30"/>
        </w:rPr>
        <w:t>/ d，完善城市供水系统，昌南城扩建城北水厂二期规模10万m</w:t>
      </w:r>
      <w:r>
        <w:rPr>
          <w:rStyle w:val="20"/>
          <w:rFonts w:hint="eastAsia" w:ascii="仿宋" w:hAnsi="仿宋" w:eastAsia="仿宋" w:cs="仿宋"/>
          <w:b w:val="0"/>
          <w:kern w:val="0"/>
          <w:sz w:val="30"/>
          <w:szCs w:val="30"/>
          <w:vertAlign w:val="superscript"/>
        </w:rPr>
        <w:t>3</w:t>
      </w:r>
      <w:r>
        <w:rPr>
          <w:rStyle w:val="20"/>
          <w:rFonts w:hint="eastAsia" w:ascii="仿宋" w:hAnsi="仿宋" w:eastAsia="仿宋" w:cs="仿宋"/>
          <w:b w:val="0"/>
          <w:kern w:val="0"/>
          <w:sz w:val="30"/>
          <w:szCs w:val="30"/>
        </w:rPr>
        <w:t>/d并同步设置大循环输水干管，昌南城建设DN300-DN1000输配水管道334km，昌北城扩建红角洲水厂二期规模10万m</w:t>
      </w:r>
      <w:r>
        <w:rPr>
          <w:rStyle w:val="20"/>
          <w:rFonts w:hint="eastAsia" w:ascii="仿宋" w:hAnsi="仿宋" w:eastAsia="仿宋" w:cs="仿宋"/>
          <w:b w:val="0"/>
          <w:kern w:val="0"/>
          <w:sz w:val="30"/>
          <w:szCs w:val="30"/>
          <w:vertAlign w:val="superscript"/>
        </w:rPr>
        <w:t>3</w:t>
      </w:r>
      <w:r>
        <w:rPr>
          <w:rStyle w:val="20"/>
          <w:rFonts w:hint="eastAsia" w:ascii="仿宋" w:hAnsi="仿宋" w:eastAsia="仿宋" w:cs="仿宋"/>
          <w:b w:val="0"/>
          <w:kern w:val="0"/>
          <w:sz w:val="30"/>
          <w:szCs w:val="30"/>
        </w:rPr>
        <w:t>/d，新建空港水厂一期规模10万m</w:t>
      </w:r>
      <w:r>
        <w:rPr>
          <w:rStyle w:val="20"/>
          <w:rFonts w:hint="eastAsia" w:ascii="仿宋" w:hAnsi="仿宋" w:eastAsia="仿宋" w:cs="仿宋"/>
          <w:b w:val="0"/>
          <w:kern w:val="0"/>
          <w:sz w:val="30"/>
          <w:szCs w:val="30"/>
          <w:vertAlign w:val="superscript"/>
        </w:rPr>
        <w:t>3</w:t>
      </w:r>
      <w:r>
        <w:rPr>
          <w:rStyle w:val="20"/>
          <w:rFonts w:hint="eastAsia" w:ascii="仿宋" w:hAnsi="仿宋" w:eastAsia="仿宋" w:cs="仿宋"/>
          <w:b w:val="0"/>
          <w:kern w:val="0"/>
          <w:sz w:val="30"/>
          <w:szCs w:val="30"/>
        </w:rPr>
        <w:t>/d，新建九龙湖水厂一期规模10万m</w:t>
      </w:r>
      <w:r>
        <w:rPr>
          <w:rStyle w:val="20"/>
          <w:rFonts w:hint="eastAsia" w:ascii="仿宋" w:hAnsi="仿宋" w:eastAsia="仿宋" w:cs="仿宋"/>
          <w:b w:val="0"/>
          <w:kern w:val="0"/>
          <w:sz w:val="30"/>
          <w:szCs w:val="30"/>
          <w:vertAlign w:val="superscript"/>
        </w:rPr>
        <w:t>3</w:t>
      </w:r>
      <w:r>
        <w:rPr>
          <w:rStyle w:val="20"/>
          <w:rFonts w:hint="eastAsia" w:ascii="仿宋" w:hAnsi="仿宋" w:eastAsia="仿宋" w:cs="仿宋"/>
          <w:b w:val="0"/>
          <w:kern w:val="0"/>
          <w:sz w:val="30"/>
          <w:szCs w:val="30"/>
        </w:rPr>
        <w:t>/d，昌北城建设DN300-DN1600输配水管道301km。推进南昌市总干渠、幸福水库应急备用水源工程。</w:t>
      </w:r>
    </w:p>
    <w:p>
      <w:pPr>
        <w:spacing w:line="560" w:lineRule="exact"/>
        <w:ind w:firstLine="602" w:firstLineChars="200"/>
        <w:rPr>
          <w:rStyle w:val="20"/>
          <w:rFonts w:ascii="仿宋" w:hAnsi="仿宋" w:eastAsia="仿宋" w:cs="仿宋"/>
          <w:b w:val="0"/>
          <w:kern w:val="0"/>
          <w:sz w:val="30"/>
          <w:szCs w:val="30"/>
        </w:rPr>
      </w:pPr>
      <w:r>
        <w:rPr>
          <w:rStyle w:val="20"/>
          <w:rFonts w:hint="eastAsia" w:ascii="仿宋" w:hAnsi="仿宋" w:eastAsia="仿宋" w:cs="仿宋"/>
          <w:bCs w:val="0"/>
          <w:kern w:val="0"/>
          <w:sz w:val="30"/>
          <w:szCs w:val="30"/>
        </w:rPr>
        <w:t>（二）强化水质监测体系建设。</w:t>
      </w:r>
      <w:r>
        <w:rPr>
          <w:rStyle w:val="20"/>
          <w:rFonts w:hint="eastAsia" w:ascii="仿宋" w:hAnsi="仿宋" w:eastAsia="仿宋" w:cs="仿宋"/>
          <w:b w:val="0"/>
          <w:kern w:val="0"/>
          <w:sz w:val="30"/>
          <w:szCs w:val="30"/>
        </w:rPr>
        <w:t>一是督促供水企业确保各项指标达到规定的目标值，确保到2025年管网压力合格率达到100%，管网漏损率控制在10％，出厂水水质9项指标和管网水水质7项指标的各单项合格率均达到100%，管网在线测压点和水质在线监测点达到全覆盖，新表首检率和水表轮换达标率均达到100%，计划停水公告率达到100%，管网抢修达标率达到95%等。二是完善城市供水水质政府监测招投标工作，引入第三方检测，加大对市、区（县）行业主管部门的检查和考核，建立起完善的水质监测网络。三是加强供水突发事件应急处置机制建设，完善水厂应急预案监管、制水工艺应急监管、水污染信息报告、原水污染团跟踪监测、行业技术指导、上下游供水企业联动等应急机制。四是逐步解决二次供水监管难题，对新建高层住宅二次供水直接抄表到户。</w:t>
      </w:r>
    </w:p>
    <w:p>
      <w:pPr>
        <w:rPr>
          <w:rStyle w:val="20"/>
          <w:rFonts w:ascii="仿宋" w:hAnsi="仿宋" w:eastAsia="仿宋" w:cs="仿宋"/>
          <w:b w:val="0"/>
          <w:kern w:val="0"/>
          <w:sz w:val="30"/>
          <w:szCs w:val="30"/>
        </w:rPr>
      </w:pPr>
      <w:r>
        <w:rPr>
          <w:rFonts w:ascii="仿宋" w:hAnsi="仿宋" w:eastAsia="仿宋" w:cs="仿宋"/>
          <w:bCs/>
          <w:kern w:val="0"/>
          <w:sz w:val="30"/>
          <w:szCs w:val="30"/>
        </w:rPr>
        <w:drawing>
          <wp:inline distT="0" distB="0" distL="0" distR="0">
            <wp:extent cx="5502910" cy="3891280"/>
            <wp:effectExtent l="19050" t="0" r="2540" b="0"/>
            <wp:docPr id="31" name="图片 6" descr="D:\Desktop\07 给系统总体布置图图(A1)-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descr="D:\Desktop\07 给系统总体布置图图(A1)-Model.jpg"/>
                    <pic:cNvPicPr>
                      <a:picLocks noChangeAspect="1" noChangeArrowheads="1"/>
                    </pic:cNvPicPr>
                  </pic:nvPicPr>
                  <pic:blipFill>
                    <a:blip r:embed="rId26" cstate="print"/>
                    <a:srcRect/>
                    <a:stretch>
                      <a:fillRect/>
                    </a:stretch>
                  </pic:blipFill>
                  <pic:spPr>
                    <a:xfrm>
                      <a:off x="0" y="0"/>
                      <a:ext cx="5502910" cy="3891502"/>
                    </a:xfrm>
                    <a:prstGeom prst="rect">
                      <a:avLst/>
                    </a:prstGeom>
                    <a:noFill/>
                    <a:ln w="9525">
                      <a:noFill/>
                      <a:miter lim="800000"/>
                      <a:headEnd/>
                      <a:tailEnd/>
                    </a:ln>
                  </pic:spPr>
                </pic:pic>
              </a:graphicData>
            </a:graphic>
          </wp:inline>
        </w:drawing>
      </w:r>
    </w:p>
    <w:p>
      <w:pPr>
        <w:spacing w:line="560" w:lineRule="exact"/>
        <w:ind w:firstLine="602" w:firstLineChars="200"/>
        <w:rPr>
          <w:rStyle w:val="20"/>
          <w:rFonts w:ascii="仿宋" w:hAnsi="仿宋" w:eastAsia="仿宋" w:cs="仿宋"/>
          <w:b w:val="0"/>
          <w:kern w:val="0"/>
          <w:sz w:val="30"/>
          <w:szCs w:val="30"/>
        </w:rPr>
      </w:pPr>
      <w:r>
        <w:rPr>
          <w:rStyle w:val="20"/>
          <w:rFonts w:hint="eastAsia" w:ascii="仿宋" w:hAnsi="仿宋" w:eastAsia="仿宋" w:cs="仿宋"/>
          <w:bCs w:val="0"/>
          <w:kern w:val="0"/>
          <w:sz w:val="30"/>
          <w:szCs w:val="30"/>
        </w:rPr>
        <w:t>（三）二次供水提升</w:t>
      </w:r>
      <w:r>
        <w:rPr>
          <w:rStyle w:val="20"/>
          <w:rFonts w:ascii="仿宋" w:hAnsi="仿宋" w:eastAsia="仿宋" w:cs="仿宋"/>
          <w:bCs w:val="0"/>
          <w:kern w:val="0"/>
          <w:sz w:val="30"/>
          <w:szCs w:val="30"/>
        </w:rPr>
        <w:t>改造</w:t>
      </w:r>
      <w:r>
        <w:rPr>
          <w:rStyle w:val="20"/>
          <w:rFonts w:hint="eastAsia" w:ascii="仿宋" w:hAnsi="仿宋" w:eastAsia="仿宋" w:cs="仿宋"/>
          <w:bCs w:val="0"/>
          <w:kern w:val="0"/>
          <w:sz w:val="30"/>
          <w:szCs w:val="30"/>
        </w:rPr>
        <w:t>。</w:t>
      </w:r>
      <w:r>
        <w:rPr>
          <w:rStyle w:val="20"/>
          <w:rFonts w:hint="eastAsia" w:ascii="仿宋" w:hAnsi="仿宋" w:eastAsia="仿宋" w:cs="仿宋"/>
          <w:b w:val="0"/>
          <w:kern w:val="0"/>
          <w:sz w:val="30"/>
          <w:szCs w:val="30"/>
        </w:rPr>
        <w:t>2021年</w:t>
      </w:r>
      <w:r>
        <w:rPr>
          <w:rStyle w:val="20"/>
          <w:rFonts w:ascii="仿宋" w:hAnsi="仿宋" w:eastAsia="仿宋" w:cs="仿宋"/>
          <w:b w:val="0"/>
          <w:kern w:val="0"/>
          <w:sz w:val="30"/>
          <w:szCs w:val="30"/>
        </w:rPr>
        <w:t>编制</w:t>
      </w:r>
      <w:r>
        <w:rPr>
          <w:rStyle w:val="20"/>
          <w:rFonts w:hint="eastAsia" w:ascii="仿宋" w:hAnsi="仿宋" w:eastAsia="仿宋" w:cs="仿宋"/>
          <w:b w:val="0"/>
          <w:kern w:val="0"/>
          <w:sz w:val="30"/>
          <w:szCs w:val="30"/>
        </w:rPr>
        <w:t>完成南昌市</w:t>
      </w:r>
      <w:r>
        <w:rPr>
          <w:rStyle w:val="20"/>
          <w:rFonts w:ascii="仿宋" w:hAnsi="仿宋" w:eastAsia="仿宋" w:cs="仿宋"/>
          <w:b w:val="0"/>
          <w:kern w:val="0"/>
          <w:sz w:val="30"/>
          <w:szCs w:val="30"/>
        </w:rPr>
        <w:t>二次供水规划，</w:t>
      </w:r>
      <w:r>
        <w:rPr>
          <w:rStyle w:val="20"/>
          <w:rFonts w:hint="eastAsia" w:ascii="仿宋" w:hAnsi="仿宋" w:eastAsia="仿宋" w:cs="仿宋"/>
          <w:b w:val="0"/>
          <w:kern w:val="0"/>
          <w:sz w:val="30"/>
          <w:szCs w:val="30"/>
        </w:rPr>
        <w:t>摸清</w:t>
      </w:r>
      <w:r>
        <w:rPr>
          <w:rStyle w:val="20"/>
          <w:rFonts w:ascii="仿宋" w:hAnsi="仿宋" w:eastAsia="仿宋" w:cs="仿宋"/>
          <w:b w:val="0"/>
          <w:kern w:val="0"/>
          <w:sz w:val="30"/>
          <w:szCs w:val="30"/>
        </w:rPr>
        <w:t>现有二次供水</w:t>
      </w:r>
      <w:r>
        <w:rPr>
          <w:rStyle w:val="20"/>
          <w:rFonts w:hint="eastAsia" w:ascii="仿宋" w:hAnsi="仿宋" w:eastAsia="仿宋" w:cs="仿宋"/>
          <w:b w:val="0"/>
          <w:kern w:val="0"/>
          <w:sz w:val="30"/>
          <w:szCs w:val="30"/>
        </w:rPr>
        <w:t>小区</w:t>
      </w:r>
      <w:r>
        <w:rPr>
          <w:rStyle w:val="20"/>
          <w:rFonts w:ascii="仿宋" w:hAnsi="仿宋" w:eastAsia="仿宋" w:cs="仿宋"/>
          <w:b w:val="0"/>
          <w:kern w:val="0"/>
          <w:sz w:val="30"/>
          <w:szCs w:val="30"/>
        </w:rPr>
        <w:t>数量，</w:t>
      </w:r>
      <w:r>
        <w:rPr>
          <w:rStyle w:val="20"/>
          <w:rFonts w:hint="eastAsia" w:ascii="仿宋" w:hAnsi="仿宋" w:eastAsia="仿宋" w:cs="仿宋"/>
          <w:b w:val="0"/>
          <w:kern w:val="0"/>
          <w:sz w:val="30"/>
          <w:szCs w:val="30"/>
        </w:rPr>
        <w:t>明确</w:t>
      </w:r>
      <w:r>
        <w:rPr>
          <w:rStyle w:val="20"/>
          <w:rFonts w:ascii="仿宋" w:hAnsi="仿宋" w:eastAsia="仿宋" w:cs="仿宋"/>
          <w:b w:val="0"/>
          <w:kern w:val="0"/>
          <w:sz w:val="30"/>
          <w:szCs w:val="30"/>
        </w:rPr>
        <w:t>二次供水改造计划和改造标准</w:t>
      </w:r>
      <w:r>
        <w:rPr>
          <w:rStyle w:val="20"/>
          <w:rFonts w:hint="eastAsia" w:ascii="仿宋" w:hAnsi="仿宋" w:eastAsia="仿宋" w:cs="仿宋"/>
          <w:b w:val="0"/>
          <w:kern w:val="0"/>
          <w:sz w:val="30"/>
          <w:szCs w:val="30"/>
        </w:rPr>
        <w:t>等，</w:t>
      </w:r>
      <w:r>
        <w:rPr>
          <w:rStyle w:val="20"/>
          <w:rFonts w:ascii="仿宋" w:hAnsi="仿宋" w:eastAsia="仿宋" w:cs="仿宋"/>
          <w:b w:val="0"/>
          <w:kern w:val="0"/>
          <w:sz w:val="30"/>
          <w:szCs w:val="30"/>
        </w:rPr>
        <w:t>并出台制度保障。</w:t>
      </w:r>
      <w:r>
        <w:rPr>
          <w:rStyle w:val="20"/>
          <w:rFonts w:hint="eastAsia" w:ascii="仿宋" w:hAnsi="仿宋" w:eastAsia="仿宋" w:cs="仿宋"/>
          <w:b w:val="0"/>
          <w:kern w:val="0"/>
          <w:sz w:val="30"/>
          <w:szCs w:val="30"/>
        </w:rPr>
        <w:t>2025年结合</w:t>
      </w:r>
      <w:r>
        <w:rPr>
          <w:rStyle w:val="20"/>
          <w:rFonts w:ascii="仿宋" w:hAnsi="仿宋" w:eastAsia="仿宋" w:cs="仿宋"/>
          <w:b w:val="0"/>
          <w:kern w:val="0"/>
          <w:sz w:val="30"/>
          <w:szCs w:val="30"/>
        </w:rPr>
        <w:t>老旧小区改造，</w:t>
      </w:r>
      <w:r>
        <w:rPr>
          <w:rStyle w:val="20"/>
          <w:rFonts w:hint="eastAsia" w:ascii="仿宋" w:hAnsi="仿宋" w:eastAsia="仿宋" w:cs="仿宋"/>
          <w:b w:val="0"/>
          <w:kern w:val="0"/>
          <w:sz w:val="30"/>
          <w:szCs w:val="30"/>
        </w:rPr>
        <w:t>按照</w:t>
      </w:r>
      <w:r>
        <w:rPr>
          <w:rStyle w:val="20"/>
          <w:rFonts w:ascii="仿宋" w:hAnsi="仿宋" w:eastAsia="仿宋" w:cs="仿宋"/>
          <w:b w:val="0"/>
          <w:kern w:val="0"/>
          <w:sz w:val="30"/>
          <w:szCs w:val="30"/>
        </w:rPr>
        <w:t>居民自愿的原则，</w:t>
      </w:r>
      <w:r>
        <w:rPr>
          <w:rStyle w:val="20"/>
          <w:rFonts w:hint="eastAsia" w:ascii="仿宋" w:hAnsi="仿宋" w:eastAsia="仿宋" w:cs="仿宋"/>
          <w:b w:val="0"/>
          <w:kern w:val="0"/>
          <w:sz w:val="30"/>
          <w:szCs w:val="30"/>
        </w:rPr>
        <w:t>逐步改造南昌市</w:t>
      </w:r>
      <w:r>
        <w:rPr>
          <w:rStyle w:val="20"/>
          <w:rFonts w:ascii="仿宋" w:hAnsi="仿宋" w:eastAsia="仿宋" w:cs="仿宋"/>
          <w:b w:val="0"/>
          <w:kern w:val="0"/>
          <w:sz w:val="30"/>
          <w:szCs w:val="30"/>
        </w:rPr>
        <w:t>老旧</w:t>
      </w:r>
      <w:r>
        <w:rPr>
          <w:rStyle w:val="20"/>
          <w:rFonts w:hint="eastAsia" w:ascii="仿宋" w:hAnsi="仿宋" w:eastAsia="仿宋" w:cs="仿宋"/>
          <w:b w:val="0"/>
          <w:kern w:val="0"/>
          <w:sz w:val="30"/>
          <w:szCs w:val="30"/>
        </w:rPr>
        <w:t>小区二次</w:t>
      </w:r>
      <w:r>
        <w:rPr>
          <w:rStyle w:val="20"/>
          <w:rFonts w:ascii="仿宋" w:hAnsi="仿宋" w:eastAsia="仿宋" w:cs="仿宋"/>
          <w:b w:val="0"/>
          <w:kern w:val="0"/>
          <w:sz w:val="30"/>
          <w:szCs w:val="30"/>
        </w:rPr>
        <w:t>供水</w:t>
      </w:r>
      <w:r>
        <w:rPr>
          <w:rStyle w:val="20"/>
          <w:rFonts w:hint="eastAsia" w:ascii="仿宋" w:hAnsi="仿宋" w:eastAsia="仿宋" w:cs="仿宋"/>
          <w:b w:val="0"/>
          <w:kern w:val="0"/>
          <w:sz w:val="30"/>
          <w:szCs w:val="30"/>
        </w:rPr>
        <w:t>设施</w:t>
      </w:r>
      <w:r>
        <w:rPr>
          <w:rStyle w:val="20"/>
          <w:rFonts w:ascii="仿宋" w:hAnsi="仿宋" w:eastAsia="仿宋" w:cs="仿宋"/>
          <w:b w:val="0"/>
          <w:kern w:val="0"/>
          <w:sz w:val="30"/>
          <w:szCs w:val="30"/>
        </w:rPr>
        <w:t>。</w:t>
      </w:r>
      <w:r>
        <w:rPr>
          <w:rStyle w:val="20"/>
          <w:rFonts w:hint="eastAsia" w:ascii="仿宋" w:hAnsi="仿宋" w:eastAsia="仿宋" w:cs="仿宋"/>
          <w:b w:val="0"/>
          <w:kern w:val="0"/>
          <w:sz w:val="30"/>
          <w:szCs w:val="30"/>
        </w:rPr>
        <w:t>使越来</w:t>
      </w:r>
      <w:r>
        <w:rPr>
          <w:rStyle w:val="20"/>
          <w:rFonts w:ascii="仿宋" w:hAnsi="仿宋" w:eastAsia="仿宋" w:cs="仿宋"/>
          <w:b w:val="0"/>
          <w:kern w:val="0"/>
          <w:sz w:val="30"/>
          <w:szCs w:val="30"/>
        </w:rPr>
        <w:t>越多</w:t>
      </w:r>
      <w:r>
        <w:rPr>
          <w:rStyle w:val="20"/>
          <w:rFonts w:hint="eastAsia" w:ascii="仿宋" w:hAnsi="仿宋" w:eastAsia="仿宋" w:cs="仿宋"/>
          <w:b w:val="0"/>
          <w:kern w:val="0"/>
          <w:sz w:val="30"/>
          <w:szCs w:val="30"/>
        </w:rPr>
        <w:t>居民</w:t>
      </w:r>
      <w:r>
        <w:rPr>
          <w:rStyle w:val="20"/>
          <w:rFonts w:ascii="仿宋" w:hAnsi="仿宋" w:eastAsia="仿宋" w:cs="仿宋"/>
          <w:b w:val="0"/>
          <w:kern w:val="0"/>
          <w:sz w:val="30"/>
          <w:szCs w:val="30"/>
        </w:rPr>
        <w:t>喝上放心</w:t>
      </w:r>
      <w:r>
        <w:rPr>
          <w:rStyle w:val="20"/>
          <w:rFonts w:hint="eastAsia" w:ascii="仿宋" w:hAnsi="仿宋" w:eastAsia="仿宋" w:cs="仿宋"/>
          <w:b w:val="0"/>
          <w:kern w:val="0"/>
          <w:sz w:val="30"/>
          <w:szCs w:val="30"/>
        </w:rPr>
        <w:t>水</w:t>
      </w:r>
      <w:r>
        <w:rPr>
          <w:rStyle w:val="20"/>
          <w:rFonts w:ascii="仿宋" w:hAnsi="仿宋" w:eastAsia="仿宋" w:cs="仿宋"/>
          <w:b w:val="0"/>
          <w:kern w:val="0"/>
          <w:sz w:val="30"/>
          <w:szCs w:val="30"/>
        </w:rPr>
        <w:t>。</w:t>
      </w:r>
    </w:p>
    <w:p>
      <w:pPr>
        <w:pStyle w:val="16"/>
        <w:numPr>
          <w:ilvl w:val="0"/>
          <w:numId w:val="37"/>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73" w:name="_Toc63246037"/>
      <w:r>
        <w:rPr>
          <w:rStyle w:val="20"/>
          <w:rFonts w:hint="eastAsia" w:ascii="仿宋" w:hAnsi="仿宋" w:eastAsia="仿宋" w:cs="仿宋"/>
          <w:bCs w:val="0"/>
          <w:sz w:val="32"/>
          <w:szCs w:val="32"/>
        </w:rPr>
        <w:t>加强燃气供应保障</w:t>
      </w:r>
      <w:bookmarkEnd w:id="73"/>
    </w:p>
    <w:p>
      <w:pPr>
        <w:numPr>
          <w:ilvl w:val="0"/>
          <w:numId w:val="38"/>
        </w:num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推进管道燃气发展。</w:t>
      </w:r>
      <w:r>
        <w:rPr>
          <w:rStyle w:val="20"/>
          <w:rFonts w:hint="eastAsia" w:ascii="仿宋" w:hAnsi="仿宋" w:eastAsia="仿宋" w:cs="仿宋"/>
          <w:b w:val="0"/>
          <w:kern w:val="0"/>
          <w:sz w:val="32"/>
          <w:szCs w:val="32"/>
        </w:rPr>
        <w:t>一是加强燃气管网建设。依托现有的“高压—中压—低压”多级输配系统，强化全市高压一张网，继续推进天然气利用工程建设，拓展管道燃气供应区域，至2021年，南昌全市天然气年供应能力26.6亿立方米，新建高压储气输气管道157.5km、中压管道639.8km，中压铸铁管干管改造213km、中压铸铁管支管改造74.69km。强化燃气老旧管道安全状况监督管理，有序推进燃气老旧管道改造，改造老旧燃气铸铁管340公里。二是加强气源保障能力建设。继续接受川气东送、西气东输气源，在现状西山门站和富山门站2座门站基础上，新建东阳门站，新建高中压调压站7座、LNG应急气源站1座、CNG加气站20座，LNG加气站20座，船舶加气站1座，阀室12座；建设完成航空城LNG应急气源调峰站、安义3万</w:t>
      </w:r>
      <w:r>
        <w:rPr>
          <w:rStyle w:val="20"/>
          <w:rFonts w:ascii="Times New Roman" w:hAnsi="Times New Roman" w:eastAsia="仿宋" w:cs="Times New Roman"/>
          <w:b w:val="0"/>
          <w:kern w:val="0"/>
          <w:sz w:val="32"/>
          <w:szCs w:val="32"/>
        </w:rPr>
        <w:t>m³</w:t>
      </w:r>
      <w:r>
        <w:rPr>
          <w:rStyle w:val="20"/>
          <w:rFonts w:hint="eastAsia" w:ascii="仿宋" w:hAnsi="仿宋" w:eastAsia="仿宋" w:cs="仿宋"/>
          <w:b w:val="0"/>
          <w:kern w:val="0"/>
          <w:sz w:val="32"/>
          <w:szCs w:val="32"/>
        </w:rPr>
        <w:t>LNG立式储罐应急气源。</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2021年应急保障天数不少于</w:t>
      </w:r>
      <w:r>
        <w:rPr>
          <w:rStyle w:val="20"/>
          <w:rFonts w:ascii="仿宋" w:hAnsi="仿宋" w:eastAsia="仿宋" w:cs="仿宋"/>
          <w:b w:val="0"/>
          <w:kern w:val="0"/>
          <w:sz w:val="32"/>
          <w:szCs w:val="32"/>
        </w:rPr>
        <w:t>3</w:t>
      </w:r>
      <w:r>
        <w:rPr>
          <w:rStyle w:val="20"/>
          <w:rFonts w:hint="eastAsia" w:ascii="仿宋" w:hAnsi="仿宋" w:eastAsia="仿宋" w:cs="仿宋"/>
          <w:b w:val="0"/>
          <w:kern w:val="0"/>
          <w:sz w:val="32"/>
          <w:szCs w:val="32"/>
        </w:rPr>
        <w:t>天，2025年应急保障天数不少于</w:t>
      </w:r>
      <w:r>
        <w:rPr>
          <w:rStyle w:val="20"/>
          <w:rFonts w:ascii="仿宋" w:hAnsi="仿宋" w:eastAsia="仿宋" w:cs="仿宋"/>
          <w:b w:val="0"/>
          <w:kern w:val="0"/>
          <w:sz w:val="32"/>
          <w:szCs w:val="32"/>
        </w:rPr>
        <w:t>7</w:t>
      </w:r>
      <w:r>
        <w:rPr>
          <w:rStyle w:val="20"/>
          <w:rFonts w:hint="eastAsia" w:ascii="仿宋" w:hAnsi="仿宋" w:eastAsia="仿宋" w:cs="仿宋"/>
          <w:b w:val="0"/>
          <w:kern w:val="0"/>
          <w:sz w:val="32"/>
          <w:szCs w:val="32"/>
        </w:rPr>
        <w:t>天。提高城市能源总体安全保障能力，加强天然气供应应急保障体系建设。提高管道燃气覆盖率，出台强制性和优惠性政策，大力推进管道燃气覆盖率。到2021年实现建成区管道燃气气化率达到85％，2025年建成区管道然气气化率达到90％，燃气管网和设施向乡镇延伸，实现大部分乡镇开通管道燃气。</w:t>
      </w:r>
    </w:p>
    <w:p>
      <w:pPr>
        <w:spacing w:line="560" w:lineRule="exact"/>
        <w:ind w:firstLine="420" w:firstLineChars="200"/>
        <w:rPr>
          <w:rStyle w:val="20"/>
          <w:rFonts w:ascii="仿宋" w:hAnsi="仿宋" w:eastAsia="仿宋" w:cs="仿宋"/>
          <w:b w:val="0"/>
          <w:kern w:val="0"/>
          <w:sz w:val="32"/>
          <w:szCs w:val="32"/>
        </w:rPr>
      </w:pPr>
      <w:r>
        <mc:AlternateContent>
          <mc:Choice Requires="wps">
            <w:drawing>
              <wp:anchor distT="45720" distB="45720" distL="114300" distR="114300" simplePos="0" relativeHeight="251663360" behindDoc="0" locked="0" layoutInCell="1" allowOverlap="1">
                <wp:simplePos x="0" y="0"/>
                <wp:positionH relativeFrom="column">
                  <wp:align>center</wp:align>
                </wp:positionH>
                <wp:positionV relativeFrom="paragraph">
                  <wp:posOffset>47625</wp:posOffset>
                </wp:positionV>
                <wp:extent cx="4632325" cy="5547995"/>
                <wp:effectExtent l="5080" t="4445" r="10795" b="10160"/>
                <wp:wrapSquare wrapText="bothSides"/>
                <wp:docPr id="15" name="文本框 4"/>
                <wp:cNvGraphicFramePr/>
                <a:graphic xmlns:a="http://schemas.openxmlformats.org/drawingml/2006/main">
                  <a:graphicData uri="http://schemas.microsoft.com/office/word/2010/wordprocessingShape">
                    <wps:wsp>
                      <wps:cNvSpPr txBox="1"/>
                      <wps:spPr>
                        <a:xfrm>
                          <a:off x="0" y="0"/>
                          <a:ext cx="4632325" cy="5547995"/>
                        </a:xfrm>
                        <a:prstGeom prst="rect">
                          <a:avLst/>
                        </a:prstGeom>
                        <a:solidFill>
                          <a:srgbClr val="FFFFFF"/>
                        </a:solidFill>
                        <a:ln w="9525" cap="flat" cmpd="sng">
                          <a:solidFill>
                            <a:srgbClr val="FFFFFF"/>
                          </a:solidFill>
                          <a:prstDash val="solid"/>
                          <a:miter/>
                          <a:headEnd type="none" w="med" len="med"/>
                          <a:tailEnd type="none" w="med" len="med"/>
                        </a:ln>
                      </wps:spPr>
                      <wps:txbx>
                        <w:txbxContent>
                          <w:p>
                            <w:r>
                              <w:rPr>
                                <w:rFonts w:ascii="仿宋" w:hAnsi="仿宋" w:eastAsia="仿宋" w:cs="仿宋"/>
                                <w:bCs/>
                                <w:kern w:val="0"/>
                                <w:sz w:val="32"/>
                                <w:szCs w:val="32"/>
                              </w:rPr>
                              <w:drawing>
                                <wp:inline distT="0" distB="0" distL="0" distR="0">
                                  <wp:extent cx="4055110" cy="5436235"/>
                                  <wp:effectExtent l="0" t="0" r="0" b="0"/>
                                  <wp:docPr id="25" name="图片 2" descr="D:\Desktop\规划附图03-城区高中压输配系统布置图4-20151220-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D:\Desktop\规划附图03-城区高中压输配系统布置图4-20151220-Model.jpg"/>
                                          <pic:cNvPicPr>
                                            <a:picLocks noChangeAspect="1" noChangeArrowheads="1"/>
                                          </pic:cNvPicPr>
                                        </pic:nvPicPr>
                                        <pic:blipFill>
                                          <a:blip r:embed="rId27" cstate="print"/>
                                          <a:srcRect b="4118"/>
                                          <a:stretch>
                                            <a:fillRect/>
                                          </a:stretch>
                                        </pic:blipFill>
                                        <pic:spPr>
                                          <a:xfrm>
                                            <a:off x="0" y="0"/>
                                            <a:ext cx="4118021" cy="5521125"/>
                                          </a:xfrm>
                                          <a:prstGeom prst="rect">
                                            <a:avLst/>
                                          </a:prstGeom>
                                          <a:noFill/>
                                          <a:ln w="9525">
                                            <a:noFill/>
                                            <a:miter lim="800000"/>
                                            <a:headEnd/>
                                            <a:tailEnd/>
                                          </a:ln>
                                        </pic:spPr>
                                      </pic:pic>
                                    </a:graphicData>
                                  </a:graphic>
                                </wp:inline>
                              </w:drawing>
                            </w:r>
                          </w:p>
                        </w:txbxContent>
                      </wps:txbx>
                      <wps:bodyPr upright="1"/>
                    </wps:wsp>
                  </a:graphicData>
                </a:graphic>
              </wp:anchor>
            </w:drawing>
          </mc:Choice>
          <mc:Fallback>
            <w:pict>
              <v:shape id="文本框 4" o:spid="_x0000_s1026" o:spt="202" type="#_x0000_t202" style="position:absolute;left:0pt;margin-top:3.75pt;height:436.85pt;width:364.75pt;mso-position-horizontal:center;mso-wrap-distance-bottom:3.6pt;mso-wrap-distance-left:9pt;mso-wrap-distance-right:9pt;mso-wrap-distance-top:3.6pt;z-index:251663360;mso-width-relative:margin;mso-height-relative:margin;" fillcolor="#FFFFFF" filled="t" stroked="t" coordsize="21600,21600" o:gfxdata="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BYAAABkcnMvUEsBAhQAFAAAAAgAh07iQNmaaGXVAAAABgEA&#10;AA8AAAAAAAAAAQAgAAAAOAAAAGRycy9kb3ducmV2LnhtbFBLAQIUABQAAAAIAIdO4kBJgN0XBwIA&#10;ADgEAAAOAAAAAAAAAAEAIAAAADoBAABkcnMvZTJvRG9jLnhtbFBLBQYAAAAABgAGAFkBAACzBQAA&#10;AAA=&#10;">
                <v:fill on="t" focussize="0,0"/>
                <v:stroke color="#FFFFFF" joinstyle="miter"/>
                <v:imagedata o:title=""/>
                <o:lock v:ext="edit" aspectratio="f"/>
                <v:textbox>
                  <w:txbxContent>
                    <w:p>
                      <w:r>
                        <w:rPr>
                          <w:rFonts w:ascii="仿宋" w:hAnsi="仿宋" w:eastAsia="仿宋" w:cs="仿宋"/>
                          <w:bCs/>
                          <w:kern w:val="0"/>
                          <w:sz w:val="32"/>
                          <w:szCs w:val="32"/>
                        </w:rPr>
                        <w:drawing>
                          <wp:inline distT="0" distB="0" distL="0" distR="0">
                            <wp:extent cx="4055110" cy="5436235"/>
                            <wp:effectExtent l="0" t="0" r="0" b="0"/>
                            <wp:docPr id="25" name="图片 2" descr="D:\Desktop\规划附图03-城区高中压输配系统布置图4-20151220-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D:\Desktop\规划附图03-城区高中压输配系统布置图4-20151220-Model.jpg"/>
                                    <pic:cNvPicPr>
                                      <a:picLocks noChangeAspect="1" noChangeArrowheads="1"/>
                                    </pic:cNvPicPr>
                                  </pic:nvPicPr>
                                  <pic:blipFill>
                                    <a:blip r:embed="rId27" cstate="print"/>
                                    <a:srcRect b="4118"/>
                                    <a:stretch>
                                      <a:fillRect/>
                                    </a:stretch>
                                  </pic:blipFill>
                                  <pic:spPr>
                                    <a:xfrm>
                                      <a:off x="0" y="0"/>
                                      <a:ext cx="4118021" cy="5521125"/>
                                    </a:xfrm>
                                    <a:prstGeom prst="rect">
                                      <a:avLst/>
                                    </a:prstGeom>
                                    <a:noFill/>
                                    <a:ln w="9525">
                                      <a:noFill/>
                                      <a:miter lim="800000"/>
                                      <a:headEnd/>
                                      <a:tailEnd/>
                                    </a:ln>
                                  </pic:spPr>
                                </pic:pic>
                              </a:graphicData>
                            </a:graphic>
                          </wp:inline>
                        </w:drawing>
                      </w:r>
                    </w:p>
                  </w:txbxContent>
                </v:textbox>
                <w10:wrap type="square"/>
              </v:shape>
            </w:pict>
          </mc:Fallback>
        </mc:AlternateContent>
      </w:r>
    </w:p>
    <w:p>
      <w:pPr>
        <w:jc w:val="center"/>
        <w:rPr>
          <w:rStyle w:val="20"/>
          <w:rFonts w:ascii="仿宋" w:hAnsi="仿宋" w:eastAsia="仿宋" w:cs="仿宋"/>
          <w:b w:val="0"/>
          <w:kern w:val="0"/>
          <w:sz w:val="32"/>
          <w:szCs w:val="32"/>
        </w:rPr>
      </w:pP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（二）加强燃气行业管理。</w:t>
      </w:r>
      <w:r>
        <w:rPr>
          <w:rStyle w:val="20"/>
          <w:rFonts w:hint="eastAsia" w:ascii="仿宋" w:hAnsi="仿宋" w:eastAsia="仿宋" w:cs="仿宋"/>
          <w:b w:val="0"/>
          <w:kern w:val="0"/>
          <w:sz w:val="32"/>
          <w:szCs w:val="32"/>
        </w:rPr>
        <w:t>按照“重心下移、属地管理”的原则，健全市、区、街三级燃气行业管理体系，强化区级燃气行业管理职能。加强燃气设施建设运营，规范行业经营服务行为，保障燃气行业健康发展。</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（三）加强瓶装液化气管理。</w:t>
      </w:r>
      <w:r>
        <w:rPr>
          <w:rStyle w:val="20"/>
          <w:rFonts w:hint="eastAsia" w:ascii="仿宋" w:hAnsi="仿宋" w:eastAsia="仿宋" w:cs="仿宋"/>
          <w:b w:val="0"/>
          <w:kern w:val="0"/>
          <w:sz w:val="32"/>
          <w:szCs w:val="32"/>
        </w:rPr>
        <w:t>一是开展瓶装液化气供应市场整治。持续开展专项整治工作，不断巩固瓶装液化气供应市场秩序，全面摸查全市各类瓶装液化气无证经营点，重点整治查处无证经营黑点、瓶装液化气流动销售等违法行为，到2021年，无证经营点整治率超过90%，到2025年，无证经营点整治率达100%。二是加强瓶装液化气供应市场执法检查。完善燃气执法指引，建立有效的执法检查机制，各区和各相关部门组织开展常态化的执法检查，严厉打击各类违法经营行为，燃气违法行为查处率不低于 80%。三是加强瓶装液化气供应站点设置。根据居民用气需要，通过整合资源、提高瓶装气供应单个站点的供应规模等方式，科学合理布局，规范设臵合法供应站点，根本解决瓶装液化气安全隐患，保障广大用户用气需求。四是推进瓶装液化气供应全过程电子化监管。深化完善瓶装液化气智能监管平台建设，依托二维码技术，为全市瓶装气气瓶安装二维码，在对液化气气瓶、液化气用户、液化气经营设施、液化气运输车辆、液化气送气工等数据进行统一管理的基础上，通过改造现有灌装秤，实现对液化气供应检测、充装、运输、销售、配送、使用的全过程监管，并对出现的异常情况及时预警。</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（四）强化燃气安全监管。</w:t>
      </w:r>
      <w:r>
        <w:rPr>
          <w:rStyle w:val="20"/>
          <w:rFonts w:hint="eastAsia" w:ascii="仿宋" w:hAnsi="仿宋" w:eastAsia="仿宋" w:cs="仿宋"/>
          <w:b w:val="0"/>
          <w:kern w:val="0"/>
          <w:sz w:val="32"/>
          <w:szCs w:val="32"/>
        </w:rPr>
        <w:t>一是推进燃气安全生产标准化管理。根据《南昌市燃气管理条例》，围绕燃气安全管理各项要求，组织编制相关的规范标准，全面推行燃气安全标准化管理。针对各类燃气经营企业、设施、岗位，分别制定相应的安全管理和安全作业标准，敦促各燃气经营企业严格按照相关标准开展燃气安全管理工作。二是推进燃气安全生产网格化管理。将燃气安全纳入社区网格进行巡查管理，加强对网格管理员的培训，及时发现无证经营燃气、燃气设施维护保养不到位、违规供应和配送瓶装液化气、用户违规使用燃气等安全隐患。三是推进燃气安全生产信息化管理。大力推进先进技术手段在燃气安全监管方面的应用，在重要的燃气设施和经营场所安装视频监控、在线监测等设施，通过网络实现远程监管，以提高监管水平和效率。构建燃气智能监管系统，接入燃气管网SCADA（数据采集与监视控制系统）系统，实现基于地理信息系统的燃气管网动态安全监控。四是推进燃气安全隐患排查和整治。建立有效的燃气安全隐患排查和整改机制，落实企业的主体责任和各级政府部门的监管责任，全面排查全市城镇燃气安全隐患，建立完整的燃气安全隐患排查和整改台帐，确保及时发现和整治各类燃气安全隐患，最大程度地预防和降低安全风险。</w:t>
      </w:r>
    </w:p>
    <w:p>
      <w:pPr>
        <w:spacing w:line="560" w:lineRule="exact"/>
        <w:ind w:firstLine="640" w:firstLineChars="200"/>
        <w:rPr>
          <w:rStyle w:val="20"/>
          <w:rFonts w:ascii="仿宋" w:hAnsi="仿宋" w:eastAsia="仿宋" w:cs="仿宋"/>
          <w:b w:val="0"/>
          <w:kern w:val="0"/>
          <w:sz w:val="32"/>
          <w:szCs w:val="32"/>
        </w:rPr>
      </w:pPr>
    </w:p>
    <w:p>
      <w:pPr>
        <w:spacing w:line="560" w:lineRule="exact"/>
        <w:ind w:firstLine="640" w:firstLineChars="200"/>
        <w:rPr>
          <w:rStyle w:val="20"/>
          <w:rFonts w:ascii="仿宋" w:hAnsi="仿宋" w:eastAsia="仿宋" w:cs="仿宋"/>
          <w:b w:val="0"/>
          <w:sz w:val="32"/>
          <w:szCs w:val="32"/>
        </w:rPr>
      </w:pPr>
      <w:r>
        <w:rPr>
          <w:rStyle w:val="20"/>
          <w:rFonts w:ascii="仿宋" w:hAnsi="仿宋" w:eastAsia="仿宋" w:cs="仿宋"/>
          <w:b w:val="0"/>
          <w:sz w:val="32"/>
          <w:szCs w:val="32"/>
        </w:rPr>
        <w:br w:type="page"/>
      </w:r>
    </w:p>
    <w:p>
      <w:pPr>
        <w:spacing w:beforeLines="50" w:afterLines="50" w:line="560" w:lineRule="exact"/>
        <w:jc w:val="center"/>
        <w:outlineLvl w:val="1"/>
        <w:rPr>
          <w:rFonts w:ascii="仿宋" w:hAnsi="仿宋" w:eastAsia="仿宋" w:cs="仿宋"/>
          <w:b/>
          <w:bCs/>
          <w:sz w:val="32"/>
          <w:szCs w:val="32"/>
        </w:rPr>
      </w:pPr>
      <w:bookmarkStart w:id="74" w:name="_Toc8639222"/>
      <w:bookmarkStart w:id="75" w:name="_Toc63246038"/>
      <w:r>
        <w:rPr>
          <w:rFonts w:hint="eastAsia" w:ascii="仿宋" w:hAnsi="仿宋" w:eastAsia="仿宋" w:cs="仿宋"/>
          <w:b/>
          <w:bCs/>
          <w:sz w:val="32"/>
          <w:szCs w:val="32"/>
        </w:rPr>
        <w:t xml:space="preserve">第六节  </w:t>
      </w:r>
      <w:bookmarkEnd w:id="74"/>
      <w:r>
        <w:rPr>
          <w:rFonts w:hint="eastAsia" w:ascii="仿宋" w:hAnsi="仿宋" w:eastAsia="仿宋" w:cs="仿宋"/>
          <w:b/>
          <w:bCs/>
          <w:sz w:val="32"/>
          <w:szCs w:val="32"/>
        </w:rPr>
        <w:t>发展</w:t>
      </w:r>
      <w:r>
        <w:rPr>
          <w:rFonts w:ascii="仿宋" w:hAnsi="仿宋" w:eastAsia="仿宋" w:cs="仿宋"/>
          <w:b/>
          <w:bCs/>
          <w:sz w:val="32"/>
          <w:szCs w:val="32"/>
        </w:rPr>
        <w:t>安全绿色</w:t>
      </w:r>
      <w:r>
        <w:rPr>
          <w:rFonts w:hint="eastAsia" w:ascii="仿宋" w:hAnsi="仿宋" w:eastAsia="仿宋" w:cs="仿宋"/>
          <w:b/>
          <w:bCs/>
          <w:sz w:val="32"/>
          <w:szCs w:val="32"/>
        </w:rPr>
        <w:t>城市</w:t>
      </w:r>
      <w:r>
        <w:rPr>
          <w:rFonts w:ascii="仿宋" w:hAnsi="仿宋" w:eastAsia="仿宋" w:cs="仿宋"/>
          <w:b/>
          <w:bCs/>
          <w:sz w:val="32"/>
          <w:szCs w:val="32"/>
        </w:rPr>
        <w:t>水务</w:t>
      </w:r>
      <w:bookmarkEnd w:id="75"/>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提升</w:t>
      </w:r>
      <w:r>
        <w:rPr>
          <w:rStyle w:val="20"/>
          <w:rFonts w:ascii="仿宋" w:hAnsi="仿宋" w:eastAsia="仿宋" w:cs="仿宋"/>
          <w:b w:val="0"/>
          <w:kern w:val="0"/>
          <w:sz w:val="32"/>
          <w:szCs w:val="32"/>
        </w:rPr>
        <w:t>水务规划与管理能力</w:t>
      </w:r>
      <w:r>
        <w:rPr>
          <w:rStyle w:val="20"/>
          <w:rFonts w:hint="eastAsia" w:ascii="仿宋" w:hAnsi="仿宋" w:eastAsia="仿宋" w:cs="仿宋"/>
          <w:b w:val="0"/>
          <w:kern w:val="0"/>
          <w:sz w:val="32"/>
          <w:szCs w:val="32"/>
        </w:rPr>
        <w:t>、雨水疏导和污水收集处理能力、</w:t>
      </w:r>
      <w:r>
        <w:rPr>
          <w:rStyle w:val="20"/>
          <w:rFonts w:ascii="仿宋" w:hAnsi="仿宋" w:eastAsia="仿宋" w:cs="仿宋"/>
          <w:b w:val="0"/>
          <w:kern w:val="0"/>
          <w:sz w:val="32"/>
          <w:szCs w:val="32"/>
        </w:rPr>
        <w:t>水生态</w:t>
      </w:r>
      <w:r>
        <w:rPr>
          <w:rStyle w:val="20"/>
          <w:rFonts w:hint="eastAsia" w:ascii="仿宋" w:hAnsi="仿宋" w:eastAsia="仿宋" w:cs="仿宋"/>
          <w:b w:val="0"/>
          <w:kern w:val="0"/>
          <w:sz w:val="32"/>
          <w:szCs w:val="32"/>
        </w:rPr>
        <w:t>治理能力、内涝</w:t>
      </w:r>
      <w:r>
        <w:rPr>
          <w:rStyle w:val="20"/>
          <w:rFonts w:ascii="仿宋" w:hAnsi="仿宋" w:eastAsia="仿宋" w:cs="仿宋"/>
          <w:b w:val="0"/>
          <w:kern w:val="0"/>
          <w:sz w:val="32"/>
          <w:szCs w:val="32"/>
        </w:rPr>
        <w:t>减</w:t>
      </w:r>
      <w:r>
        <w:rPr>
          <w:rStyle w:val="20"/>
          <w:rFonts w:hint="eastAsia" w:ascii="仿宋" w:hAnsi="仿宋" w:eastAsia="仿宋" w:cs="仿宋"/>
          <w:b w:val="0"/>
          <w:kern w:val="0"/>
          <w:sz w:val="32"/>
          <w:szCs w:val="32"/>
        </w:rPr>
        <w:t>灾能力</w:t>
      </w:r>
      <w:r>
        <w:rPr>
          <w:rStyle w:val="20"/>
          <w:rFonts w:ascii="仿宋" w:hAnsi="仿宋" w:eastAsia="仿宋" w:cs="仿宋"/>
          <w:b w:val="0"/>
          <w:kern w:val="0"/>
          <w:sz w:val="32"/>
          <w:szCs w:val="32"/>
        </w:rPr>
        <w:t>，</w:t>
      </w:r>
      <w:r>
        <w:rPr>
          <w:rStyle w:val="20"/>
          <w:rFonts w:hint="eastAsia" w:ascii="仿宋" w:hAnsi="仿宋" w:eastAsia="仿宋" w:cs="仿宋"/>
          <w:b w:val="0"/>
          <w:kern w:val="0"/>
          <w:sz w:val="32"/>
          <w:szCs w:val="32"/>
        </w:rPr>
        <w:t>逐步实现</w:t>
      </w:r>
      <w:r>
        <w:rPr>
          <w:rStyle w:val="20"/>
          <w:rFonts w:ascii="仿宋" w:hAnsi="仿宋" w:eastAsia="仿宋" w:cs="仿宋"/>
          <w:b w:val="0"/>
          <w:kern w:val="0"/>
          <w:sz w:val="32"/>
          <w:szCs w:val="32"/>
        </w:rPr>
        <w:t>绿色安全</w:t>
      </w:r>
      <w:r>
        <w:rPr>
          <w:rStyle w:val="20"/>
          <w:rFonts w:hint="eastAsia" w:ascii="仿宋" w:hAnsi="仿宋" w:eastAsia="仿宋" w:cs="仿宋"/>
          <w:b w:val="0"/>
          <w:kern w:val="0"/>
          <w:sz w:val="32"/>
          <w:szCs w:val="32"/>
        </w:rPr>
        <w:t>城市</w:t>
      </w:r>
      <w:r>
        <w:rPr>
          <w:rStyle w:val="20"/>
          <w:rFonts w:ascii="仿宋" w:hAnsi="仿宋" w:eastAsia="仿宋" w:cs="仿宋"/>
          <w:b w:val="0"/>
          <w:kern w:val="0"/>
          <w:sz w:val="32"/>
          <w:szCs w:val="32"/>
        </w:rPr>
        <w:t>水务</w:t>
      </w:r>
      <w:r>
        <w:rPr>
          <w:rStyle w:val="20"/>
          <w:rFonts w:hint="eastAsia" w:ascii="仿宋" w:hAnsi="仿宋" w:eastAsia="仿宋" w:cs="仿宋"/>
          <w:b w:val="0"/>
          <w:kern w:val="0"/>
          <w:sz w:val="32"/>
          <w:szCs w:val="32"/>
        </w:rPr>
        <w:t>目标。</w:t>
      </w:r>
    </w:p>
    <w:p>
      <w:pPr>
        <w:spacing w:line="560" w:lineRule="exact"/>
        <w:ind w:firstLine="640" w:firstLineChars="200"/>
        <w:rPr>
          <w:rStyle w:val="20"/>
          <w:rFonts w:ascii="仿宋" w:hAnsi="仿宋" w:eastAsia="仿宋" w:cs="仿宋"/>
          <w:b w:val="0"/>
          <w:kern w:val="0"/>
          <w:sz w:val="30"/>
          <w:szCs w:val="30"/>
        </w:rPr>
      </w:pPr>
      <w:r>
        <w:rPr>
          <w:rStyle w:val="20"/>
          <w:rFonts w:hint="eastAsia" w:ascii="仿宋" w:hAnsi="仿宋" w:eastAsia="仿宋" w:cs="仿宋"/>
          <w:b w:val="0"/>
          <w:kern w:val="0"/>
          <w:sz w:val="32"/>
          <w:szCs w:val="32"/>
        </w:rPr>
        <w:t>2021年，南昌市建成区供水能力达到160万m3/ d；建成区污水处理厂总规模达到148.5万</w:t>
      </w:r>
      <w:r>
        <w:rPr>
          <w:rStyle w:val="20"/>
          <w:rFonts w:hint="eastAsia" w:cs="仿宋" w:asciiTheme="minorEastAsia" w:hAnsiTheme="minorEastAsia"/>
          <w:b w:val="0"/>
          <w:kern w:val="0"/>
          <w:sz w:val="32"/>
          <w:szCs w:val="32"/>
        </w:rPr>
        <w:t>m³</w:t>
      </w:r>
      <w:r>
        <w:rPr>
          <w:rStyle w:val="20"/>
          <w:rFonts w:hint="eastAsia" w:ascii="仿宋" w:hAnsi="仿宋" w:eastAsia="仿宋" w:cs="仿宋"/>
          <w:b w:val="0"/>
          <w:kern w:val="0"/>
          <w:sz w:val="32"/>
          <w:szCs w:val="32"/>
        </w:rPr>
        <w:t>/d，出水水质达到《城镇污水处理厂污染物排放标准》（GB18918-2016）一级A类排放标准的要求；建成区生活污水处理厂集中处理率达到95</w:t>
      </w:r>
      <w:r>
        <w:rPr>
          <w:rStyle w:val="20"/>
          <w:rFonts w:ascii="仿宋" w:hAnsi="仿宋" w:eastAsia="仿宋" w:cs="仿宋"/>
          <w:b w:val="0"/>
          <w:kern w:val="0"/>
          <w:sz w:val="32"/>
          <w:szCs w:val="32"/>
        </w:rPr>
        <w:t>.6</w:t>
      </w:r>
      <w:r>
        <w:rPr>
          <w:rStyle w:val="20"/>
          <w:rFonts w:hint="eastAsia" w:ascii="仿宋" w:hAnsi="仿宋" w:eastAsia="仿宋" w:cs="仿宋"/>
          <w:b w:val="0"/>
          <w:kern w:val="0"/>
          <w:sz w:val="32"/>
          <w:szCs w:val="32"/>
        </w:rPr>
        <w:t>%,城区</w:t>
      </w:r>
      <w:r>
        <w:rPr>
          <w:rStyle w:val="20"/>
          <w:rFonts w:ascii="仿宋" w:hAnsi="仿宋" w:eastAsia="仿宋" w:cs="仿宋"/>
          <w:b w:val="0"/>
          <w:kern w:val="0"/>
          <w:sz w:val="32"/>
          <w:szCs w:val="32"/>
        </w:rPr>
        <w:t>生活</w:t>
      </w:r>
      <w:r>
        <w:rPr>
          <w:rStyle w:val="20"/>
          <w:rFonts w:hint="eastAsia" w:ascii="仿宋" w:hAnsi="仿宋" w:eastAsia="仿宋" w:cs="仿宋"/>
          <w:b w:val="0"/>
          <w:kern w:val="0"/>
          <w:sz w:val="32"/>
          <w:szCs w:val="32"/>
        </w:rPr>
        <w:t>污水集中收集率达到51.33%，污泥无害化处置率达到90%。</w:t>
      </w:r>
    </w:p>
    <w:p>
      <w:pPr>
        <w:spacing w:line="560" w:lineRule="exact"/>
        <w:ind w:firstLine="60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0"/>
          <w:szCs w:val="30"/>
        </w:rPr>
        <w:t>2025年，南昌市建成区供水能力达到200 万m</w:t>
      </w:r>
      <w:r>
        <w:rPr>
          <w:rStyle w:val="20"/>
          <w:rFonts w:hint="eastAsia" w:ascii="仿宋" w:hAnsi="仿宋" w:eastAsia="仿宋" w:cs="仿宋"/>
          <w:b w:val="0"/>
          <w:kern w:val="0"/>
          <w:sz w:val="30"/>
          <w:szCs w:val="30"/>
          <w:vertAlign w:val="superscript"/>
        </w:rPr>
        <w:t>3</w:t>
      </w:r>
      <w:r>
        <w:rPr>
          <w:rStyle w:val="20"/>
          <w:rFonts w:hint="eastAsia" w:ascii="仿宋" w:hAnsi="仿宋" w:eastAsia="仿宋" w:cs="仿宋"/>
          <w:b w:val="0"/>
          <w:kern w:val="0"/>
          <w:sz w:val="30"/>
          <w:szCs w:val="30"/>
        </w:rPr>
        <w:t>/ d，管网压力合格率达到100%，管网漏损率控制在10％，出厂水水质9项指标和管网水水质7项指标的各单项合格率均达到100%；</w:t>
      </w:r>
      <w:r>
        <w:rPr>
          <w:rStyle w:val="20"/>
          <w:rFonts w:hint="eastAsia" w:ascii="仿宋" w:hAnsi="仿宋" w:eastAsia="仿宋" w:cs="仿宋"/>
          <w:b w:val="0"/>
          <w:kern w:val="0"/>
          <w:sz w:val="32"/>
          <w:szCs w:val="32"/>
        </w:rPr>
        <w:t>建成区污水处理厂总规模达到177万</w:t>
      </w:r>
      <w:r>
        <w:rPr>
          <w:rStyle w:val="20"/>
          <w:rFonts w:hint="eastAsia" w:cs="仿宋" w:asciiTheme="minorEastAsia" w:hAnsiTheme="minorEastAsia"/>
          <w:b w:val="0"/>
          <w:kern w:val="0"/>
          <w:sz w:val="32"/>
          <w:szCs w:val="32"/>
        </w:rPr>
        <w:t>m³</w:t>
      </w:r>
      <w:r>
        <w:rPr>
          <w:rStyle w:val="20"/>
          <w:rFonts w:hint="eastAsia" w:ascii="仿宋" w:hAnsi="仿宋" w:eastAsia="仿宋" w:cs="仿宋"/>
          <w:b w:val="0"/>
          <w:kern w:val="0"/>
          <w:sz w:val="32"/>
          <w:szCs w:val="32"/>
        </w:rPr>
        <w:t>/d，建成区生活污水处理厂集中处理率超过</w:t>
      </w:r>
      <w:r>
        <w:rPr>
          <w:rStyle w:val="20"/>
          <w:rFonts w:ascii="仿宋" w:hAnsi="仿宋" w:eastAsia="仿宋" w:cs="仿宋"/>
          <w:b w:val="0"/>
          <w:kern w:val="0"/>
          <w:sz w:val="32"/>
          <w:szCs w:val="32"/>
        </w:rPr>
        <w:t>96</w:t>
      </w:r>
      <w:r>
        <w:rPr>
          <w:rStyle w:val="20"/>
          <w:rFonts w:hint="eastAsia" w:ascii="仿宋" w:hAnsi="仿宋" w:eastAsia="仿宋" w:cs="仿宋"/>
          <w:b w:val="0"/>
          <w:kern w:val="0"/>
          <w:sz w:val="32"/>
          <w:szCs w:val="32"/>
        </w:rPr>
        <w:t>%,建成区</w:t>
      </w:r>
      <w:r>
        <w:rPr>
          <w:rStyle w:val="20"/>
          <w:rFonts w:ascii="仿宋" w:hAnsi="仿宋" w:eastAsia="仿宋" w:cs="仿宋"/>
          <w:b w:val="0"/>
          <w:kern w:val="0"/>
          <w:sz w:val="32"/>
          <w:szCs w:val="32"/>
        </w:rPr>
        <w:t>生活</w:t>
      </w:r>
      <w:r>
        <w:rPr>
          <w:rStyle w:val="20"/>
          <w:rFonts w:hint="eastAsia" w:ascii="仿宋" w:hAnsi="仿宋" w:eastAsia="仿宋" w:cs="仿宋"/>
          <w:b w:val="0"/>
          <w:kern w:val="0"/>
          <w:sz w:val="32"/>
          <w:szCs w:val="32"/>
        </w:rPr>
        <w:t>污水集中收集率60%，污泥无害化处置率超过90%</w:t>
      </w:r>
      <w:r>
        <w:rPr>
          <w:rStyle w:val="20"/>
          <w:rFonts w:ascii="仿宋" w:hAnsi="仿宋" w:eastAsia="仿宋" w:cs="仿宋"/>
          <w:b w:val="0"/>
          <w:kern w:val="0"/>
          <w:sz w:val="32"/>
          <w:szCs w:val="32"/>
        </w:rPr>
        <w:t xml:space="preserve"> 。</w:t>
      </w:r>
    </w:p>
    <w:p>
      <w:pPr>
        <w:pStyle w:val="16"/>
        <w:numPr>
          <w:ilvl w:val="0"/>
          <w:numId w:val="39"/>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76" w:name="_Toc63246039"/>
      <w:r>
        <w:rPr>
          <w:rStyle w:val="20"/>
          <w:rFonts w:hint="eastAsia" w:ascii="仿宋" w:hAnsi="仿宋" w:eastAsia="仿宋" w:cs="仿宋"/>
          <w:bCs w:val="0"/>
          <w:sz w:val="32"/>
          <w:szCs w:val="32"/>
        </w:rPr>
        <w:t>强化雨污收集处理</w:t>
      </w:r>
      <w:bookmarkEnd w:id="76"/>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（一）加快污水处理设施建设。</w:t>
      </w:r>
      <w:r>
        <w:rPr>
          <w:rStyle w:val="20"/>
          <w:rFonts w:hint="eastAsia" w:ascii="仿宋" w:hAnsi="仿宋" w:eastAsia="仿宋" w:cs="仿宋"/>
          <w:b w:val="0"/>
          <w:kern w:val="0"/>
          <w:sz w:val="32"/>
          <w:szCs w:val="32"/>
        </w:rPr>
        <w:t>全面贯彻落实国务院《水污染防治行动计划》，结合《南昌市中心</w:t>
      </w:r>
      <w:r>
        <w:rPr>
          <w:rStyle w:val="20"/>
          <w:rFonts w:ascii="仿宋" w:hAnsi="仿宋" w:eastAsia="仿宋" w:cs="仿宋"/>
          <w:b w:val="0"/>
          <w:kern w:val="0"/>
          <w:sz w:val="32"/>
          <w:szCs w:val="32"/>
        </w:rPr>
        <w:t>城区</w:t>
      </w:r>
      <w:r>
        <w:rPr>
          <w:rStyle w:val="20"/>
          <w:rFonts w:hint="eastAsia" w:ascii="仿宋" w:hAnsi="仿宋" w:eastAsia="仿宋" w:cs="仿宋"/>
          <w:b w:val="0"/>
          <w:kern w:val="0"/>
          <w:sz w:val="32"/>
          <w:szCs w:val="32"/>
        </w:rPr>
        <w:t>污水专项规划2019—2035》和“海绵城市”理念，加大新工艺、新技术和新材料的推广应用，整体推进市区排水设施改造，优化完善排水系统，通过全收集、全处理达标整治工程等措施，对城区生活污水处理进一步提质增效。以河道截污、污水处理、活水工程、黑臭水体治理为重点，深化河长责任制，将水污染防治目标任务落实到具体责任人。</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到2021年，完成青山湖、红谷滩污水处理厂扩容改造工程，污水处理厂总规模达到148.5万</w:t>
      </w:r>
      <w:r>
        <w:rPr>
          <w:rStyle w:val="20"/>
          <w:rFonts w:hint="eastAsia" w:cs="仿宋" w:asciiTheme="minorEastAsia" w:hAnsiTheme="minorEastAsia"/>
          <w:b w:val="0"/>
          <w:kern w:val="0"/>
          <w:sz w:val="32"/>
          <w:szCs w:val="32"/>
        </w:rPr>
        <w:t>m³</w:t>
      </w:r>
      <w:r>
        <w:rPr>
          <w:rStyle w:val="20"/>
          <w:rFonts w:hint="eastAsia" w:ascii="仿宋" w:hAnsi="仿宋" w:eastAsia="仿宋" w:cs="仿宋"/>
          <w:b w:val="0"/>
          <w:kern w:val="0"/>
          <w:sz w:val="32"/>
          <w:szCs w:val="32"/>
        </w:rPr>
        <w:t>/d，出水水质达到《城镇污水处理厂污染物排放标准》（GB18918-2016）一级A类排放标准的要求。建成区</w:t>
      </w:r>
      <w:r>
        <w:rPr>
          <w:rStyle w:val="20"/>
          <w:rFonts w:ascii="仿宋" w:hAnsi="仿宋" w:eastAsia="仿宋" w:cs="仿宋"/>
          <w:b w:val="0"/>
          <w:kern w:val="0"/>
          <w:sz w:val="32"/>
          <w:szCs w:val="32"/>
        </w:rPr>
        <w:t>生活</w:t>
      </w:r>
      <w:r>
        <w:rPr>
          <w:rStyle w:val="20"/>
          <w:rFonts w:hint="eastAsia" w:ascii="仿宋" w:hAnsi="仿宋" w:eastAsia="仿宋" w:cs="仿宋"/>
          <w:b w:val="0"/>
          <w:kern w:val="0"/>
          <w:sz w:val="32"/>
          <w:szCs w:val="32"/>
        </w:rPr>
        <w:t>污水处理厂集中处理率达到</w:t>
      </w:r>
      <w:r>
        <w:rPr>
          <w:rStyle w:val="20"/>
          <w:rFonts w:ascii="仿宋" w:hAnsi="仿宋" w:eastAsia="仿宋" w:cs="仿宋"/>
          <w:b w:val="0"/>
          <w:kern w:val="0"/>
          <w:sz w:val="32"/>
          <w:szCs w:val="32"/>
        </w:rPr>
        <w:t>95.6</w:t>
      </w:r>
      <w:r>
        <w:rPr>
          <w:rStyle w:val="20"/>
          <w:rFonts w:hint="eastAsia" w:ascii="仿宋" w:hAnsi="仿宋" w:eastAsia="仿宋" w:cs="仿宋"/>
          <w:b w:val="0"/>
          <w:kern w:val="0"/>
          <w:sz w:val="32"/>
          <w:szCs w:val="32"/>
        </w:rPr>
        <w:t>%，建成区污水收集率达到51.33%，建成区污泥无害化处置率达到90%，县城污水处理厂集中处理率达到85%。</w:t>
      </w:r>
    </w:p>
    <w:p>
      <w:pPr>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到2025年，完成航空城、瑶湖、九龙湖污水处理厂扩容改造工程等并新建城东污水处理厂，污水处理厂总规模达到177万</w:t>
      </w:r>
      <w:r>
        <w:rPr>
          <w:rStyle w:val="20"/>
          <w:rFonts w:hint="eastAsia" w:cs="仿宋" w:asciiTheme="minorEastAsia" w:hAnsiTheme="minorEastAsia"/>
          <w:b w:val="0"/>
          <w:kern w:val="0"/>
          <w:sz w:val="32"/>
          <w:szCs w:val="32"/>
        </w:rPr>
        <w:t>m³</w:t>
      </w:r>
      <w:r>
        <w:rPr>
          <w:rStyle w:val="20"/>
          <w:rFonts w:hint="eastAsia" w:ascii="仿宋" w:hAnsi="仿宋" w:eastAsia="仿宋" w:cs="仿宋"/>
          <w:b w:val="0"/>
          <w:kern w:val="0"/>
          <w:sz w:val="32"/>
          <w:szCs w:val="32"/>
        </w:rPr>
        <w:t>/d，建成区生活污水处理厂集中处理率达到</w:t>
      </w:r>
      <w:r>
        <w:rPr>
          <w:rStyle w:val="20"/>
          <w:rFonts w:ascii="仿宋" w:hAnsi="仿宋" w:eastAsia="仿宋" w:cs="仿宋"/>
          <w:b w:val="0"/>
          <w:kern w:val="0"/>
          <w:sz w:val="32"/>
          <w:szCs w:val="32"/>
        </w:rPr>
        <w:t>96</w:t>
      </w:r>
      <w:r>
        <w:rPr>
          <w:rStyle w:val="20"/>
          <w:rFonts w:hint="eastAsia" w:ascii="仿宋" w:hAnsi="仿宋" w:eastAsia="仿宋" w:cs="仿宋"/>
          <w:b w:val="0"/>
          <w:kern w:val="0"/>
          <w:sz w:val="32"/>
          <w:szCs w:val="32"/>
        </w:rPr>
        <w:t>%，污泥无害化处置率超过90%，县城污水处理厂集中处理率达到90%。新建水质净化站2座，总规模24万</w:t>
      </w:r>
      <w:r>
        <w:rPr>
          <w:rStyle w:val="20"/>
          <w:rFonts w:hint="eastAsia" w:cs="仿宋" w:asciiTheme="minorEastAsia" w:hAnsiTheme="minorEastAsia"/>
          <w:b w:val="0"/>
          <w:kern w:val="0"/>
          <w:sz w:val="32"/>
          <w:szCs w:val="32"/>
        </w:rPr>
        <w:t>m³</w:t>
      </w:r>
      <w:r>
        <w:rPr>
          <w:rStyle w:val="20"/>
          <w:rFonts w:hint="eastAsia" w:ascii="仿宋" w:hAnsi="仿宋" w:eastAsia="仿宋" w:cs="仿宋"/>
          <w:b w:val="0"/>
          <w:kern w:val="0"/>
          <w:sz w:val="32"/>
          <w:szCs w:val="32"/>
        </w:rPr>
        <w:t>/d。新建污水管道258.3 km，建设污水泵站9座，建设11座调蓄池，总规模36.1万</w:t>
      </w:r>
      <w:r>
        <w:rPr>
          <w:rStyle w:val="20"/>
          <w:rFonts w:hint="eastAsia" w:cs="仿宋" w:asciiTheme="minorEastAsia" w:hAnsiTheme="minorEastAsia"/>
          <w:b w:val="0"/>
          <w:kern w:val="0"/>
          <w:sz w:val="32"/>
          <w:szCs w:val="32"/>
        </w:rPr>
        <w:t>m³</w:t>
      </w:r>
      <w:r>
        <w:rPr>
          <w:rStyle w:val="20"/>
          <w:rFonts w:hint="eastAsia" w:ascii="仿宋" w:hAnsi="仿宋" w:eastAsia="仿宋" w:cs="仿宋"/>
          <w:b w:val="0"/>
          <w:kern w:val="0"/>
          <w:sz w:val="32"/>
          <w:szCs w:val="32"/>
        </w:rPr>
        <w:t>。</w:t>
      </w:r>
    </w:p>
    <w:p>
      <w:pPr>
        <w:jc w:val="center"/>
        <w:rPr>
          <w:rStyle w:val="20"/>
          <w:rFonts w:ascii="仿宋" w:hAnsi="仿宋" w:eastAsia="仿宋" w:cs="仿宋"/>
          <w:b w:val="0"/>
          <w:kern w:val="0"/>
          <w:sz w:val="32"/>
          <w:szCs w:val="32"/>
        </w:rPr>
      </w:pPr>
      <w:r>
        <w:rPr>
          <w:rStyle w:val="20"/>
          <w:rFonts w:ascii="仿宋" w:hAnsi="仿宋" w:eastAsia="仿宋" w:cs="仿宋"/>
          <w:b w:val="0"/>
          <w:kern w:val="0"/>
          <w:sz w:val="32"/>
        </w:rPr>
        <w:drawing>
          <wp:inline distT="0" distB="0" distL="0" distR="0">
            <wp:extent cx="5328285" cy="3892550"/>
            <wp:effectExtent l="19050" t="0" r="5715" b="0"/>
            <wp:docPr id="35" name="Picture 2" descr="D:\Desktop\11 规划污水处理厂服务范围图 -Mod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descr="D:\Desktop\11 规划污水处理厂服务范围图 -Model.jpg"/>
                    <pic:cNvPicPr>
                      <a:picLocks noChangeAspect="1" noChangeArrowheads="1"/>
                    </pic:cNvPicPr>
                  </pic:nvPicPr>
                  <pic:blipFill>
                    <a:blip r:embed="rId28" cstate="print">
                      <a:extLst>
                        <a:ext uri="{28A0092B-C50C-407E-A947-70E740481C1C}">
                          <a14:useLocalDpi xmlns:a14="http://schemas.microsoft.com/office/drawing/2010/main" val="0"/>
                        </a:ext>
                      </a:extLst>
                    </a:blip>
                    <a:srcRect r="3165"/>
                    <a:stretch>
                      <a:fillRect/>
                    </a:stretch>
                  </pic:blipFill>
                  <pic:spPr>
                    <a:xfrm>
                      <a:off x="0" y="0"/>
                      <a:ext cx="5328285" cy="3892550"/>
                    </a:xfrm>
                    <a:prstGeom prst="rect">
                      <a:avLst/>
                    </a:prstGeom>
                    <a:noFill/>
                    <a:ln>
                      <a:noFill/>
                    </a:ln>
                  </pic:spPr>
                </pic:pic>
              </a:graphicData>
            </a:graphic>
          </wp:inline>
        </w:drawing>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（二）完善污水排放监管体系。</w:t>
      </w:r>
      <w:r>
        <w:rPr>
          <w:rStyle w:val="20"/>
          <w:rFonts w:hint="eastAsia" w:ascii="仿宋" w:hAnsi="仿宋" w:eastAsia="仿宋" w:cs="仿宋"/>
          <w:b w:val="0"/>
          <w:kern w:val="0"/>
          <w:sz w:val="32"/>
          <w:szCs w:val="32"/>
        </w:rPr>
        <w:t>按程序修订完善城市排水条例，研究制定排污许可证管理办法、污水管理行业监管办法等规章，建立完善总量控制、排污许可、排污权交易等管理制度，强化城市污水处理、污泥处理监测。推动厂、站、网协调配套发展。逐步建立完善排水综合管理智能化信息系统，实现污水厂、泵站、管网运行调度自动化、远程监控可视化、政务管理电子化、指挥决策智能化，大幅提升排水系统运行的可靠性，提高环境风险预警能力。加强排水设施运行、养护维修监管，启动楼院排水设施改造，全面提升排水社会是完善水平。</w:t>
      </w:r>
    </w:p>
    <w:p>
      <w:pPr>
        <w:pStyle w:val="16"/>
        <w:numPr>
          <w:ilvl w:val="0"/>
          <w:numId w:val="39"/>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77" w:name="_Toc63246040"/>
      <w:r>
        <w:rPr>
          <w:rStyle w:val="20"/>
          <w:rFonts w:hint="eastAsia" w:ascii="仿宋" w:hAnsi="仿宋" w:eastAsia="仿宋" w:cs="仿宋"/>
          <w:bCs w:val="0"/>
          <w:sz w:val="32"/>
          <w:szCs w:val="32"/>
        </w:rPr>
        <w:t>提升内涝</w:t>
      </w:r>
      <w:r>
        <w:rPr>
          <w:rStyle w:val="20"/>
          <w:rFonts w:ascii="仿宋" w:hAnsi="仿宋" w:eastAsia="仿宋" w:cs="仿宋"/>
          <w:bCs w:val="0"/>
          <w:sz w:val="32"/>
          <w:szCs w:val="32"/>
        </w:rPr>
        <w:t>减</w:t>
      </w:r>
      <w:r>
        <w:rPr>
          <w:rStyle w:val="20"/>
          <w:rFonts w:hint="eastAsia" w:ascii="仿宋" w:hAnsi="仿宋" w:eastAsia="仿宋" w:cs="仿宋"/>
          <w:bCs w:val="0"/>
          <w:sz w:val="32"/>
          <w:szCs w:val="32"/>
        </w:rPr>
        <w:t>灾能力</w:t>
      </w:r>
      <w:bookmarkEnd w:id="77"/>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将中心城划分为13个排涝分区，疏浚桃花河水系、抚支故道等现状河道15条，另外，规划新建和改造电排站8座，使中心城排涝系统达到50年一遇的标准。三是排水管渠系统。改造象湖、艾溪湖等排涝区内现状不达标雨水管网，在瑶湖、青山湖等排涝区内新建雨水管渠，改造和新建雨水管网达到3～5年一遇的标准。四是易涝点治理。对南昌市48个易涝点进行综合治理，根据其成因不同，即管网能力不足、河道顶托、排水口封堵、管网系统问题、泵站能力不足、地势低洼等六种类型，分别采取针对性的治理方案。五是合流制溢流污染控制。加快推进合流制地区改造，有条件的地区进行分流制改造。</w:t>
      </w:r>
    </w:p>
    <w:p>
      <w:pPr>
        <w:pStyle w:val="16"/>
        <w:numPr>
          <w:ilvl w:val="0"/>
          <w:numId w:val="39"/>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78" w:name="_Toc63246041"/>
      <w:r>
        <w:rPr>
          <w:rStyle w:val="20"/>
          <w:rFonts w:hint="eastAsia" w:ascii="仿宋" w:hAnsi="仿宋" w:eastAsia="仿宋" w:cs="仿宋"/>
          <w:bCs w:val="0"/>
          <w:sz w:val="32"/>
          <w:szCs w:val="32"/>
        </w:rPr>
        <w:t>加强</w:t>
      </w:r>
      <w:r>
        <w:rPr>
          <w:rStyle w:val="20"/>
          <w:rFonts w:ascii="仿宋" w:hAnsi="仿宋" w:eastAsia="仿宋" w:cs="仿宋"/>
          <w:bCs w:val="0"/>
          <w:sz w:val="32"/>
          <w:szCs w:val="32"/>
        </w:rPr>
        <w:t>水</w:t>
      </w:r>
      <w:r>
        <w:rPr>
          <w:rStyle w:val="20"/>
          <w:rFonts w:hint="eastAsia" w:ascii="仿宋" w:hAnsi="仿宋" w:eastAsia="仿宋" w:cs="仿宋"/>
          <w:bCs w:val="0"/>
          <w:sz w:val="32"/>
          <w:szCs w:val="32"/>
        </w:rPr>
        <w:t>域</w:t>
      </w:r>
      <w:r>
        <w:rPr>
          <w:rStyle w:val="20"/>
          <w:rFonts w:ascii="仿宋" w:hAnsi="仿宋" w:eastAsia="仿宋" w:cs="仿宋"/>
          <w:bCs w:val="0"/>
          <w:sz w:val="32"/>
          <w:szCs w:val="32"/>
        </w:rPr>
        <w:t>生态</w:t>
      </w:r>
      <w:r>
        <w:rPr>
          <w:rStyle w:val="20"/>
          <w:rFonts w:hint="eastAsia" w:ascii="仿宋" w:hAnsi="仿宋" w:eastAsia="仿宋" w:cs="仿宋"/>
          <w:bCs w:val="0"/>
          <w:sz w:val="32"/>
          <w:szCs w:val="32"/>
        </w:rPr>
        <w:t>治理</w:t>
      </w:r>
      <w:bookmarkEnd w:id="78"/>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（一）优化各职能部门之间的关系。</w:t>
      </w:r>
      <w:r>
        <w:rPr>
          <w:rStyle w:val="20"/>
          <w:rFonts w:hint="eastAsia" w:ascii="仿宋" w:hAnsi="仿宋" w:eastAsia="仿宋" w:cs="仿宋"/>
          <w:b w:val="0"/>
          <w:kern w:val="0"/>
          <w:sz w:val="32"/>
          <w:szCs w:val="32"/>
        </w:rPr>
        <w:t>明确市、区水域环境卫生管理责任，对水环境的建设形成统一的总体目标、建设规划和行业标准，建立区、街（镇）水域环境卫生组织管理机构，实现水域管理执法全覆盖；河湖环境卫生管理执法，按“属地管理、权责一致”原则逐步下放到区。市负责对水域环境卫生进行监督检查、协调指导以及负责赣江主航道环境卫生管理执法。</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（二）加强水域环境治理。</w:t>
      </w:r>
      <w:r>
        <w:rPr>
          <w:rStyle w:val="20"/>
          <w:rFonts w:hint="eastAsia" w:ascii="仿宋" w:hAnsi="仿宋" w:eastAsia="仿宋" w:cs="仿宋"/>
          <w:b w:val="0"/>
          <w:kern w:val="0"/>
          <w:sz w:val="32"/>
          <w:szCs w:val="32"/>
        </w:rPr>
        <w:t>全面开展南昌城区水域市容环境卫生的现状调查、勘测及分析，明确南昌市水域市容环境卫生治理标准，加强水域市容环境卫生治理。及时清理废弃物，加强水域市容环境卫生执法工作，稳定水域市容环境卫生达标率，以赣江两岸为重点，确保临水建筑物、构筑物、船舶等容貌整洁，无乱摆放、乱搭建、乱张贴、乱涂写、乱刻画、乱拉挂、乱堆放。</w:t>
      </w:r>
    </w:p>
    <w:p>
      <w:pPr>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（三）全面推进水环境治理。</w:t>
      </w:r>
      <w:r>
        <w:rPr>
          <w:rStyle w:val="20"/>
          <w:rFonts w:hint="eastAsia" w:ascii="仿宋" w:hAnsi="仿宋" w:eastAsia="仿宋" w:cs="仿宋"/>
          <w:b w:val="0"/>
          <w:bCs w:val="0"/>
          <w:kern w:val="0"/>
          <w:sz w:val="32"/>
          <w:szCs w:val="32"/>
        </w:rPr>
        <w:t>对河湖进行水环境综合整治，全面改善全市水环境质量，努力打造“河畅、水清、岸绿、景美”的水生态环境。</w:t>
      </w:r>
      <w:r>
        <w:rPr>
          <w:rStyle w:val="20"/>
          <w:rFonts w:hint="eastAsia" w:ascii="仿宋" w:hAnsi="仿宋" w:eastAsia="仿宋" w:cs="仿宋"/>
          <w:b w:val="0"/>
          <w:kern w:val="0"/>
          <w:sz w:val="32"/>
          <w:szCs w:val="32"/>
        </w:rPr>
        <w:t>全面实施河长制湖长制，实施全域治水攻坚战，2021年重点推进老城区水环境治理，新建区、经开区、红谷滩新区前湖及乌沙河水环境综合治理以及赣江岸线、艾溪湖、瑶湖、莲溪河综合治理等，推进鄱阳湖生态环境专项整治和消灭V类及劣V类水专项行动，全市水质达到Ⅳ类及以上，实现城市“河道清洁、河水清澈、河岸美丽”。到2025年水环境质量和水质进一步提升。</w:t>
      </w:r>
    </w:p>
    <w:p>
      <w:pPr>
        <w:rPr>
          <w:rStyle w:val="20"/>
          <w:rFonts w:ascii="仿宋" w:hAnsi="仿宋" w:eastAsia="仿宋" w:cs="仿宋"/>
          <w:b w:val="0"/>
          <w:kern w:val="0"/>
          <w:sz w:val="32"/>
          <w:szCs w:val="32"/>
        </w:rPr>
      </w:pPr>
      <w:r>
        <w:rPr>
          <w:rStyle w:val="20"/>
          <w:rFonts w:ascii="仿宋" w:hAnsi="仿宋" w:eastAsia="仿宋" w:cs="仿宋"/>
          <w:b w:val="0"/>
          <w:kern w:val="0"/>
          <w:sz w:val="32"/>
          <w:szCs w:val="32"/>
        </w:rPr>
        <w:drawing>
          <wp:inline distT="0" distB="0" distL="0" distR="0">
            <wp:extent cx="5502910" cy="3841115"/>
            <wp:effectExtent l="19050" t="0" r="2540" b="0"/>
            <wp:docPr id="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29" cstate="print"/>
                    <a:srcRect l="12382" t="10510" r="3655" b="3653"/>
                    <a:stretch>
                      <a:fillRect/>
                    </a:stretch>
                  </pic:blipFill>
                  <pic:spPr>
                    <a:xfrm>
                      <a:off x="0" y="0"/>
                      <a:ext cx="5502910" cy="3841500"/>
                    </a:xfrm>
                    <a:prstGeom prst="rect">
                      <a:avLst/>
                    </a:prstGeom>
                    <a:noFill/>
                    <a:ln w="9525">
                      <a:noFill/>
                    </a:ln>
                  </pic:spPr>
                </pic:pic>
              </a:graphicData>
            </a:graphic>
          </wp:inline>
        </w:drawing>
      </w:r>
    </w:p>
    <w:p>
      <w:pPr>
        <w:jc w:val="center"/>
        <w:rPr>
          <w:rFonts w:ascii="仿宋" w:hAnsi="仿宋" w:eastAsia="仿宋" w:cs="仿宋"/>
          <w:sz w:val="32"/>
          <w:szCs w:val="32"/>
          <w:u w:val="single"/>
        </w:rPr>
      </w:pPr>
      <w:r>
        <w:rPr>
          <w:rFonts w:hint="eastAsia" w:ascii="仿宋" w:hAnsi="仿宋" w:eastAsia="仿宋" w:cs="仿宋"/>
          <w:sz w:val="32"/>
          <w:szCs w:val="32"/>
          <w:u w:val="single"/>
        </w:rPr>
        <w:t>水系环境治理规划图</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（四）黑臭水体治理。</w:t>
      </w:r>
      <w:r>
        <w:rPr>
          <w:rStyle w:val="20"/>
          <w:rFonts w:hint="eastAsia" w:ascii="仿宋" w:hAnsi="仿宋" w:eastAsia="仿宋" w:cs="仿宋"/>
          <w:b w:val="0"/>
          <w:kern w:val="0"/>
          <w:sz w:val="32"/>
          <w:szCs w:val="32"/>
        </w:rPr>
        <w:t>建成区在全部消除黑臭水体基础上，</w:t>
      </w:r>
      <w:r>
        <w:rPr>
          <w:rStyle w:val="20"/>
          <w:rFonts w:ascii="仿宋" w:hAnsi="仿宋" w:eastAsia="仿宋" w:cs="仿宋"/>
          <w:b w:val="0"/>
          <w:kern w:val="0"/>
          <w:sz w:val="32"/>
          <w:szCs w:val="32"/>
        </w:rPr>
        <w:t>建立水污染防控</w:t>
      </w:r>
      <w:r>
        <w:rPr>
          <w:rStyle w:val="20"/>
          <w:rFonts w:hint="eastAsia" w:ascii="仿宋" w:hAnsi="仿宋" w:eastAsia="仿宋" w:cs="仿宋"/>
          <w:b w:val="0"/>
          <w:kern w:val="0"/>
          <w:sz w:val="32"/>
          <w:szCs w:val="32"/>
        </w:rPr>
        <w:t>长</w:t>
      </w:r>
      <w:r>
        <w:rPr>
          <w:rStyle w:val="20"/>
          <w:rFonts w:ascii="仿宋" w:hAnsi="仿宋" w:eastAsia="仿宋" w:cs="仿宋"/>
          <w:b w:val="0"/>
          <w:kern w:val="0"/>
          <w:sz w:val="32"/>
          <w:szCs w:val="32"/>
        </w:rPr>
        <w:t>效机制，</w:t>
      </w:r>
      <w:r>
        <w:rPr>
          <w:rStyle w:val="20"/>
          <w:rFonts w:hint="eastAsia" w:ascii="仿宋" w:hAnsi="仿宋" w:eastAsia="仿宋" w:cs="仿宋"/>
          <w:b w:val="0"/>
          <w:kern w:val="0"/>
          <w:sz w:val="32"/>
          <w:szCs w:val="32"/>
        </w:rPr>
        <w:t>控制</w:t>
      </w:r>
      <w:r>
        <w:rPr>
          <w:rStyle w:val="20"/>
          <w:rFonts w:ascii="仿宋" w:hAnsi="仿宋" w:eastAsia="仿宋" w:cs="仿宋"/>
          <w:b w:val="0"/>
          <w:kern w:val="0"/>
          <w:sz w:val="32"/>
          <w:szCs w:val="32"/>
        </w:rPr>
        <w:t>新污染源产生，</w:t>
      </w:r>
      <w:r>
        <w:rPr>
          <w:rStyle w:val="20"/>
          <w:rFonts w:hint="eastAsia" w:ascii="仿宋" w:hAnsi="仿宋" w:eastAsia="仿宋" w:cs="仿宋"/>
          <w:b w:val="0"/>
          <w:kern w:val="0"/>
          <w:sz w:val="32"/>
          <w:szCs w:val="32"/>
        </w:rPr>
        <w:t>努力</w:t>
      </w:r>
      <w:r>
        <w:rPr>
          <w:rStyle w:val="20"/>
          <w:rFonts w:ascii="仿宋" w:hAnsi="仿宋" w:eastAsia="仿宋" w:cs="仿宋"/>
          <w:b w:val="0"/>
          <w:kern w:val="0"/>
          <w:sz w:val="32"/>
          <w:szCs w:val="32"/>
        </w:rPr>
        <w:t>控制</w:t>
      </w:r>
      <w:r>
        <w:rPr>
          <w:rStyle w:val="20"/>
          <w:rFonts w:hint="eastAsia" w:ascii="仿宋" w:hAnsi="仿宋" w:eastAsia="仿宋" w:cs="仿宋"/>
          <w:b w:val="0"/>
          <w:kern w:val="0"/>
          <w:sz w:val="32"/>
          <w:szCs w:val="32"/>
        </w:rPr>
        <w:t>污染</w:t>
      </w:r>
      <w:r>
        <w:rPr>
          <w:rStyle w:val="20"/>
          <w:rFonts w:ascii="仿宋" w:hAnsi="仿宋" w:eastAsia="仿宋" w:cs="仿宋"/>
          <w:b w:val="0"/>
          <w:kern w:val="0"/>
          <w:sz w:val="32"/>
          <w:szCs w:val="32"/>
        </w:rPr>
        <w:t>物排放总量，加快沿线生活污水</w:t>
      </w:r>
      <w:r>
        <w:rPr>
          <w:rStyle w:val="20"/>
          <w:rFonts w:hint="eastAsia" w:ascii="仿宋" w:hAnsi="仿宋" w:eastAsia="仿宋" w:cs="仿宋"/>
          <w:b w:val="0"/>
          <w:kern w:val="0"/>
          <w:sz w:val="32"/>
          <w:szCs w:val="32"/>
        </w:rPr>
        <w:t>治理</w:t>
      </w:r>
      <w:r>
        <w:rPr>
          <w:rStyle w:val="20"/>
          <w:rFonts w:ascii="仿宋" w:hAnsi="仿宋" w:eastAsia="仿宋" w:cs="仿宋"/>
          <w:b w:val="0"/>
          <w:kern w:val="0"/>
          <w:sz w:val="32"/>
          <w:szCs w:val="32"/>
        </w:rPr>
        <w:t>，</w:t>
      </w:r>
      <w:r>
        <w:rPr>
          <w:rStyle w:val="20"/>
          <w:rFonts w:hint="eastAsia" w:ascii="仿宋" w:hAnsi="仿宋" w:eastAsia="仿宋" w:cs="仿宋"/>
          <w:b w:val="0"/>
          <w:kern w:val="0"/>
          <w:sz w:val="32"/>
          <w:szCs w:val="32"/>
        </w:rPr>
        <w:t>加大</w:t>
      </w:r>
      <w:r>
        <w:rPr>
          <w:rStyle w:val="20"/>
          <w:rFonts w:ascii="仿宋" w:hAnsi="仿宋" w:eastAsia="仿宋" w:cs="仿宋"/>
          <w:b w:val="0"/>
          <w:kern w:val="0"/>
          <w:sz w:val="32"/>
          <w:szCs w:val="32"/>
        </w:rPr>
        <w:t>执法检查力度，</w:t>
      </w:r>
      <w:r>
        <w:rPr>
          <w:rStyle w:val="20"/>
          <w:rFonts w:hint="eastAsia" w:ascii="仿宋" w:hAnsi="仿宋" w:eastAsia="仿宋" w:cs="仿宋"/>
          <w:b w:val="0"/>
          <w:kern w:val="0"/>
          <w:sz w:val="32"/>
          <w:szCs w:val="32"/>
        </w:rPr>
        <w:t>实现水体长治久清。</w:t>
      </w:r>
    </w:p>
    <w:p>
      <w:pPr>
        <w:widowControl/>
        <w:jc w:val="left"/>
        <w:rPr>
          <w:rStyle w:val="20"/>
          <w:rFonts w:ascii="仿宋" w:hAnsi="仿宋" w:eastAsia="仿宋" w:cs="仿宋"/>
          <w:b w:val="0"/>
          <w:kern w:val="0"/>
          <w:sz w:val="32"/>
          <w:szCs w:val="32"/>
        </w:rPr>
      </w:pPr>
    </w:p>
    <w:p>
      <w:pPr>
        <w:widowControl/>
        <w:jc w:val="left"/>
        <w:rPr>
          <w:rStyle w:val="20"/>
          <w:rFonts w:ascii="仿宋" w:hAnsi="仿宋" w:eastAsia="仿宋" w:cs="仿宋"/>
          <w:b w:val="0"/>
          <w:kern w:val="0"/>
          <w:sz w:val="32"/>
          <w:szCs w:val="32"/>
        </w:rPr>
      </w:pPr>
    </w:p>
    <w:p>
      <w:pPr>
        <w:widowControl/>
        <w:jc w:val="left"/>
        <w:rPr>
          <w:rStyle w:val="20"/>
          <w:rFonts w:ascii="仿宋" w:hAnsi="仿宋" w:eastAsia="仿宋" w:cs="仿宋"/>
          <w:b w:val="0"/>
          <w:kern w:val="0"/>
          <w:sz w:val="32"/>
          <w:szCs w:val="32"/>
        </w:rPr>
      </w:pPr>
    </w:p>
    <w:p>
      <w:pPr>
        <w:widowControl/>
        <w:jc w:val="left"/>
        <w:rPr>
          <w:rStyle w:val="20"/>
          <w:rFonts w:ascii="仿宋" w:hAnsi="仿宋" w:eastAsia="仿宋" w:cs="仿宋"/>
          <w:b w:val="0"/>
          <w:kern w:val="0"/>
          <w:sz w:val="32"/>
          <w:szCs w:val="32"/>
        </w:rPr>
      </w:pPr>
    </w:p>
    <w:p>
      <w:pPr>
        <w:widowControl/>
        <w:jc w:val="left"/>
        <w:rPr>
          <w:rStyle w:val="20"/>
          <w:rFonts w:ascii="仿宋" w:hAnsi="仿宋" w:eastAsia="仿宋" w:cs="仿宋"/>
          <w:b w:val="0"/>
          <w:kern w:val="0"/>
          <w:sz w:val="32"/>
          <w:szCs w:val="32"/>
        </w:rPr>
      </w:pPr>
    </w:p>
    <w:p>
      <w:pPr>
        <w:widowControl/>
        <w:jc w:val="left"/>
        <w:rPr>
          <w:rStyle w:val="20"/>
          <w:rFonts w:ascii="仿宋" w:hAnsi="仿宋" w:eastAsia="仿宋" w:cs="仿宋"/>
          <w:b w:val="0"/>
          <w:kern w:val="0"/>
          <w:sz w:val="32"/>
          <w:szCs w:val="32"/>
        </w:rPr>
      </w:pPr>
      <w:r>
        <w:rPr>
          <w:rStyle w:val="20"/>
          <w:rFonts w:ascii="仿宋" w:hAnsi="仿宋" w:eastAsia="仿宋" w:cs="仿宋"/>
          <w:b w:val="0"/>
          <w:kern w:val="0"/>
          <w:sz w:val="32"/>
          <w:szCs w:val="32"/>
        </w:rPr>
        <w:br w:type="page"/>
      </w:r>
    </w:p>
    <w:p>
      <w:pPr>
        <w:spacing w:beforeLines="50" w:afterLines="50" w:line="560" w:lineRule="exact"/>
        <w:jc w:val="center"/>
        <w:outlineLvl w:val="1"/>
        <w:rPr>
          <w:rFonts w:ascii="仿宋" w:hAnsi="仿宋" w:eastAsia="仿宋" w:cs="仿宋"/>
          <w:b/>
          <w:bCs/>
          <w:sz w:val="32"/>
          <w:szCs w:val="32"/>
        </w:rPr>
      </w:pPr>
      <w:bookmarkStart w:id="79" w:name="_Toc63246042"/>
      <w:r>
        <w:rPr>
          <w:rFonts w:hint="eastAsia" w:ascii="仿宋" w:hAnsi="仿宋" w:eastAsia="仿宋" w:cs="仿宋"/>
          <w:b/>
          <w:bCs/>
          <w:sz w:val="32"/>
          <w:szCs w:val="32"/>
        </w:rPr>
        <w:t>第七节  提高设施精细管养水平</w:t>
      </w:r>
      <w:bookmarkEnd w:id="79"/>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进一步</w:t>
      </w:r>
      <w:r>
        <w:rPr>
          <w:rStyle w:val="20"/>
          <w:rFonts w:ascii="仿宋" w:hAnsi="仿宋" w:eastAsia="仿宋" w:cs="仿宋"/>
          <w:b w:val="0"/>
          <w:kern w:val="0"/>
          <w:sz w:val="32"/>
          <w:szCs w:val="32"/>
        </w:rPr>
        <w:t>加大设施管护</w:t>
      </w:r>
      <w:r>
        <w:rPr>
          <w:rStyle w:val="20"/>
          <w:rFonts w:hint="eastAsia" w:ascii="仿宋" w:hAnsi="仿宋" w:eastAsia="仿宋" w:cs="仿宋"/>
          <w:b w:val="0"/>
          <w:kern w:val="0"/>
          <w:sz w:val="32"/>
          <w:szCs w:val="32"/>
        </w:rPr>
        <w:t>和</w:t>
      </w:r>
      <w:r>
        <w:rPr>
          <w:rStyle w:val="20"/>
          <w:rFonts w:ascii="仿宋" w:hAnsi="仿宋" w:eastAsia="仿宋" w:cs="仿宋"/>
          <w:b w:val="0"/>
          <w:kern w:val="0"/>
          <w:sz w:val="32"/>
          <w:szCs w:val="32"/>
        </w:rPr>
        <w:t>维修力度，</w:t>
      </w:r>
      <w:r>
        <w:rPr>
          <w:rStyle w:val="20"/>
          <w:rFonts w:hint="eastAsia" w:ascii="仿宋" w:hAnsi="仿宋" w:eastAsia="仿宋" w:cs="仿宋"/>
          <w:b w:val="0"/>
          <w:kern w:val="0"/>
          <w:sz w:val="32"/>
          <w:szCs w:val="32"/>
        </w:rPr>
        <w:t>推进各类设施的普查建档工作，</w:t>
      </w:r>
      <w:r>
        <w:rPr>
          <w:rStyle w:val="20"/>
          <w:rFonts w:ascii="仿宋" w:hAnsi="仿宋" w:eastAsia="仿宋" w:cs="仿宋"/>
          <w:b w:val="0"/>
          <w:kern w:val="0"/>
          <w:sz w:val="32"/>
          <w:szCs w:val="32"/>
        </w:rPr>
        <w:t>提升</w:t>
      </w:r>
      <w:r>
        <w:rPr>
          <w:rStyle w:val="20"/>
          <w:rFonts w:hint="eastAsia" w:ascii="仿宋" w:hAnsi="仿宋" w:eastAsia="仿宋" w:cs="仿宋"/>
          <w:b w:val="0"/>
          <w:kern w:val="0"/>
          <w:sz w:val="32"/>
          <w:szCs w:val="32"/>
        </w:rPr>
        <w:t>设施的检测能力和智慧化</w:t>
      </w:r>
      <w:r>
        <w:rPr>
          <w:rStyle w:val="20"/>
          <w:rFonts w:ascii="仿宋" w:hAnsi="仿宋" w:eastAsia="仿宋" w:cs="仿宋"/>
          <w:b w:val="0"/>
          <w:kern w:val="0"/>
          <w:sz w:val="32"/>
          <w:szCs w:val="32"/>
        </w:rPr>
        <w:t>水平，努力为</w:t>
      </w:r>
      <w:r>
        <w:rPr>
          <w:rStyle w:val="20"/>
          <w:rFonts w:hint="eastAsia" w:ascii="仿宋" w:hAnsi="仿宋" w:eastAsia="仿宋" w:cs="仿宋"/>
          <w:b w:val="0"/>
          <w:kern w:val="0"/>
          <w:sz w:val="32"/>
          <w:szCs w:val="32"/>
        </w:rPr>
        <w:t>市民</w:t>
      </w:r>
      <w:r>
        <w:rPr>
          <w:rStyle w:val="20"/>
          <w:rFonts w:ascii="仿宋" w:hAnsi="仿宋" w:eastAsia="仿宋" w:cs="仿宋"/>
          <w:b w:val="0"/>
          <w:kern w:val="0"/>
          <w:sz w:val="32"/>
          <w:szCs w:val="32"/>
        </w:rPr>
        <w:t>营造舒适的城市</w:t>
      </w:r>
      <w:r>
        <w:rPr>
          <w:rStyle w:val="20"/>
          <w:rFonts w:hint="eastAsia" w:ascii="仿宋" w:hAnsi="仿宋" w:eastAsia="仿宋" w:cs="仿宋"/>
          <w:b w:val="0"/>
          <w:kern w:val="0"/>
          <w:sz w:val="32"/>
          <w:szCs w:val="32"/>
        </w:rPr>
        <w:t>环境</w:t>
      </w:r>
      <w:r>
        <w:rPr>
          <w:rStyle w:val="20"/>
          <w:rFonts w:ascii="仿宋" w:hAnsi="仿宋" w:eastAsia="仿宋" w:cs="仿宋"/>
          <w:b w:val="0"/>
          <w:kern w:val="0"/>
          <w:sz w:val="32"/>
          <w:szCs w:val="32"/>
        </w:rPr>
        <w:t>。</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2021年，城市快速路、主干路、次干路道路完好率完好率95%以上，背街小巷道路完好率不低于85%；建成区桥隧智慧管理覆盖80%；建成区地下管网普查建档覆盖80%。2021年新增停车泊位数不低于12万个。</w:t>
      </w:r>
    </w:p>
    <w:p>
      <w:pPr>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2025年，城市快速路、主干路、次干路道路完好率98%以上，背街小巷道路完好率不低于90%。建成区桥隧智慧管理覆盖100%；建成区地下管网普查建档覆盖95%。2025年停车泊位数进一步增加。</w:t>
      </w:r>
    </w:p>
    <w:p>
      <w:pPr>
        <w:pStyle w:val="16"/>
        <w:numPr>
          <w:ilvl w:val="0"/>
          <w:numId w:val="40"/>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80" w:name="_Toc63246043"/>
      <w:bookmarkStart w:id="81" w:name="_Toc8639225"/>
      <w:r>
        <w:rPr>
          <w:rStyle w:val="20"/>
          <w:rFonts w:hint="eastAsia" w:ascii="仿宋" w:hAnsi="仿宋" w:eastAsia="仿宋" w:cs="仿宋"/>
          <w:bCs w:val="0"/>
          <w:sz w:val="32"/>
          <w:szCs w:val="32"/>
        </w:rPr>
        <w:t>提升道桥管养维护水平</w:t>
      </w:r>
      <w:bookmarkEnd w:id="80"/>
      <w:bookmarkEnd w:id="81"/>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（一）市政道路管养维护。</w:t>
      </w:r>
      <w:r>
        <w:rPr>
          <w:rStyle w:val="20"/>
          <w:rFonts w:hint="eastAsia" w:ascii="仿宋" w:hAnsi="仿宋" w:eastAsia="仿宋" w:cs="仿宋"/>
          <w:b w:val="0"/>
          <w:kern w:val="0"/>
          <w:sz w:val="32"/>
          <w:szCs w:val="32"/>
        </w:rPr>
        <w:t>一是强化市政道路管理。建立市政道路管理的综合协调机制和维护管理考评机制，加强占道挖掘控管和批后监管，严格控制道路开挖和占用道路行为。根据“长期规划、分步实施，建管统筹，突出重点、量力而行、标本兼治、着眼长效”的原则，充分发挥市、区两级积极性，建立高效的市政道路日常养护机制，加强基层维修队伍建设，完善道路病害处置机制，推进市政道路管理精细化、专业化、科技化，到2021年确保城市快速路、主干路、次干路道路完好率95%以上，背街小巷道路完好率不低于85%；到2025年确保城市快速路、主干路、次干路道路完好率98%以上，背街小巷道路完好率不低于90%。二是加强市政道路日常维护管养。加大主次干道、支路车行道以及快速路、人行道的日常巡查和小修维护力度，及时处置全市市政道路（含人行天桥、地下通道等）出现的坑凼、破损、沉陷、网裂、破板等日常病害；解决道路局部路段出现的大面积沉陷、网裂或破损问题；清理“绊脚桩”，加大黄土裸露路面绿化覆盖或硬覆盖力度；升级改造主次干道，延长道路使用寿命，提高道路使用质量。三是升级换代道路管养设备。添置沥青路面综合养护车、综合热再生养护车、稀浆封层机等现代化养护设备及大型压路机、铣刨机等维修设备，提升装备水平和道路管养维护能力。</w:t>
      </w:r>
    </w:p>
    <w:p>
      <w:pPr>
        <w:ind w:firstLine="640" w:firstLineChars="200"/>
        <w:rPr>
          <w:rStyle w:val="20"/>
          <w:rFonts w:ascii="仿宋" w:hAnsi="仿宋" w:eastAsia="仿宋" w:cs="仿宋"/>
          <w:b w:val="0"/>
          <w:kern w:val="0"/>
          <w:sz w:val="32"/>
          <w:szCs w:val="32"/>
        </w:rPr>
      </w:pPr>
      <w:r>
        <w:rPr>
          <w:rStyle w:val="20"/>
          <w:rFonts w:ascii="仿宋" w:hAnsi="仿宋" w:eastAsia="仿宋" w:cs="仿宋"/>
          <w:b w:val="0"/>
          <w:kern w:val="0"/>
          <w:sz w:val="32"/>
        </w:rPr>
        <w:drawing>
          <wp:inline distT="0" distB="0" distL="0" distR="0">
            <wp:extent cx="4498975" cy="4627245"/>
            <wp:effectExtent l="19050" t="0" r="0" b="0"/>
            <wp:docPr id="22" name="图片 2" descr="D:\Desktop\04建成区道路交通设施现状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descr="D:\Desktop\04建成区道路交通设施现状图.jpg"/>
                    <pic:cNvPicPr>
                      <a:picLocks noChangeAspect="1" noChangeArrowheads="1"/>
                    </pic:cNvPicPr>
                  </pic:nvPicPr>
                  <pic:blipFill>
                    <a:blip r:embed="rId30" cstate="print"/>
                    <a:srcRect l="2354" t="10061" r="2790" b="21082"/>
                    <a:stretch>
                      <a:fillRect/>
                    </a:stretch>
                  </pic:blipFill>
                  <pic:spPr>
                    <a:xfrm>
                      <a:off x="0" y="0"/>
                      <a:ext cx="4501664" cy="4629844"/>
                    </a:xfrm>
                    <a:prstGeom prst="rect">
                      <a:avLst/>
                    </a:prstGeom>
                    <a:noFill/>
                    <a:ln w="9525">
                      <a:noFill/>
                      <a:miter lim="800000"/>
                      <a:headEnd/>
                      <a:tailEnd/>
                    </a:ln>
                  </pic:spPr>
                </pic:pic>
              </a:graphicData>
            </a:graphic>
          </wp:inline>
        </w:drawing>
      </w:r>
    </w:p>
    <w:p>
      <w:pPr>
        <w:jc w:val="center"/>
        <w:rPr>
          <w:rFonts w:ascii="仿宋" w:hAnsi="仿宋" w:eastAsia="仿宋" w:cs="仿宋"/>
          <w:sz w:val="32"/>
          <w:szCs w:val="32"/>
          <w:u w:val="single"/>
        </w:rPr>
      </w:pPr>
      <w:r>
        <w:rPr>
          <w:rFonts w:hint="eastAsia" w:ascii="仿宋" w:hAnsi="仿宋" w:eastAsia="仿宋" w:cs="仿宋"/>
          <w:sz w:val="32"/>
          <w:szCs w:val="32"/>
          <w:u w:val="single"/>
        </w:rPr>
        <w:t>道路交通设施分布图</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（二）桥隧管养和安全监管。</w:t>
      </w:r>
      <w:r>
        <w:rPr>
          <w:rStyle w:val="20"/>
          <w:rFonts w:hint="eastAsia" w:ascii="仿宋" w:hAnsi="仿宋" w:eastAsia="仿宋" w:cs="仿宋"/>
          <w:b w:val="0"/>
          <w:kern w:val="0"/>
          <w:sz w:val="32"/>
          <w:szCs w:val="32"/>
        </w:rPr>
        <w:t>一是健全桥隧安全监管机制。建立桥梁隧道管理综合协调机制和维护管理考评机制，加强桥梁隧道行业管理。建立全覆盖的桥隧日常维护管理、安全监管和病害治理机制，完善桥隧应急管理体系，加强应急技术与应急资金储备，引进管理和专业技术人才，提升技术管理力量，优化桥隧养护设备与科技信息管理等硬件配置，探索桥隧维护管养新模式，及时处置桥隧病害病险，确保桥隧设施安全无重大事故。二是加强桥隧安全监测。建立桥隧管理信息系统，建设桥梁健康监测平台，实施桥梁在线监测。完成八一大桥、南昌大桥、英雄大桥、生米大桥、朝阳大桥、艾溪湖大桥、坛子口立交桥、老福山立交桥、青山湖隧道、洛阳路隧道、红谷隧道、象湖隧道等重要桥隧的健康监测和在线监测；同时新建桥隧必须同时设计、同步施工、同步验收桥隧健康检测系统和超载超重监控系统。三是建立桥隧智慧管理系统。城市桥隧智慧管理系统以“预防性养护、前瞻性管理”的目标，实现“一桥一档”的电子化户籍式管理。建立自动化、智能化的桥隧经常性检测、定期检测功能及预警功能，为桥隧检测和安全运行提供技术保障；提高桥隧养护单位的管理水平和管理效率，降低管理成本，尽快建立桥隧智慧管理系统。四是更新桥隧养护设备。新增大型升降车、专业巡桥车等桥梁维护设备和平整度仪、弯沉仪、横向力测试车、路面破损综合检测车和桥隧检测设备等，提升桥梁隧道管养维护能力和安全保障水平。</w:t>
      </w:r>
    </w:p>
    <w:p>
      <w:pPr>
        <w:pStyle w:val="16"/>
        <w:numPr>
          <w:ilvl w:val="0"/>
          <w:numId w:val="40"/>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82" w:name="_Toc63246044"/>
      <w:r>
        <w:rPr>
          <w:rStyle w:val="20"/>
          <w:rFonts w:hint="eastAsia" w:ascii="仿宋" w:hAnsi="仿宋" w:eastAsia="仿宋" w:cs="仿宋"/>
          <w:bCs w:val="0"/>
          <w:sz w:val="32"/>
          <w:szCs w:val="32"/>
        </w:rPr>
        <w:t>提升城市家具管养维护水平</w:t>
      </w:r>
      <w:bookmarkEnd w:id="82"/>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（一）开展家具专项整治。</w:t>
      </w:r>
      <w:r>
        <w:rPr>
          <w:rStyle w:val="20"/>
          <w:rFonts w:hint="eastAsia" w:ascii="仿宋" w:hAnsi="仿宋" w:eastAsia="仿宋" w:cs="仿宋"/>
          <w:b w:val="0"/>
          <w:kern w:val="0"/>
          <w:sz w:val="32"/>
          <w:szCs w:val="32"/>
        </w:rPr>
        <w:t>按照“功能多样、高质优品、风格统一、凸显特色”的原则，根据《南昌市建成区城市家具规划设计导则》要求，开展城市家具专项整治，将南昌地域文化特色融入城市家具风格、材质、色彩等细部设计，对城市道路上的六大类23小类城市家具进行规范化设置。2021年完成50%老旧城市家具更新，建成一批精美的城市小品、街头雕塑和休闲设施；结合道路提升改造和建筑立面综合改造项目，实施城市道路家具更新。到2025年老旧城市家具更新率达</w:t>
      </w:r>
      <w:r>
        <w:rPr>
          <w:rStyle w:val="20"/>
          <w:rFonts w:ascii="仿宋" w:hAnsi="仿宋" w:eastAsia="仿宋" w:cs="仿宋"/>
          <w:b w:val="0"/>
          <w:kern w:val="0"/>
          <w:sz w:val="32"/>
          <w:szCs w:val="32"/>
        </w:rPr>
        <w:t>100</w:t>
      </w:r>
      <w:r>
        <w:rPr>
          <w:rStyle w:val="20"/>
          <w:rFonts w:hint="eastAsia" w:ascii="仿宋" w:hAnsi="仿宋" w:eastAsia="仿宋" w:cs="仿宋"/>
          <w:b w:val="0"/>
          <w:kern w:val="0"/>
          <w:sz w:val="32"/>
          <w:szCs w:val="32"/>
        </w:rPr>
        <w:t>%，建立城市家具数据库和长效管理机制。</w:t>
      </w:r>
    </w:p>
    <w:p>
      <w:pPr>
        <w:spacing w:line="560" w:lineRule="exact"/>
        <w:ind w:firstLine="642" w:firstLineChars="200"/>
        <w:rPr>
          <w:rStyle w:val="20"/>
          <w:rFonts w:ascii="仿宋" w:hAnsi="仿宋" w:eastAsia="仿宋" w:cs="仿宋"/>
          <w:bCs w:val="0"/>
          <w:kern w:val="0"/>
          <w:sz w:val="32"/>
          <w:szCs w:val="32"/>
        </w:rPr>
      </w:pPr>
      <w:r>
        <w:rPr>
          <w:rStyle w:val="20"/>
          <w:rFonts w:hint="eastAsia" w:ascii="仿宋" w:hAnsi="仿宋" w:eastAsia="仿宋" w:cs="仿宋"/>
          <w:bCs w:val="0"/>
          <w:kern w:val="0"/>
          <w:sz w:val="32"/>
          <w:szCs w:val="32"/>
        </w:rPr>
        <w:t>（二）专项整治井盖井具。</w:t>
      </w:r>
      <w:r>
        <w:rPr>
          <w:rStyle w:val="20"/>
          <w:rFonts w:hint="eastAsia" w:ascii="仿宋" w:hAnsi="仿宋" w:eastAsia="仿宋" w:cs="仿宋"/>
          <w:b w:val="0"/>
          <w:kern w:val="0"/>
          <w:sz w:val="32"/>
          <w:szCs w:val="32"/>
        </w:rPr>
        <w:t>建立健全日常管理、巡查发现、应急处置、联席例会、责任追究等机制。在全面普查的基础上，开展城市道路井盖井具专项整治，解决城市各类井盖缺失、破损、塌陷、下沉、突起等病害问题，确保窨井盖与道路路面平齐。推广防盗、防沉降、防噪音、防松动的新型井具。建立井盖整治工作台帐及病害井盖井具信息系统，加强井具设施信息化管理，确保井盖井具设施坚固、安全、平整、美观。市政道路管护部门及各井盖产权单位要创新举措，完善管理机制，及时发现处治破损、缺失的各类井盖并形成井盖井具整治工作的长效机制。2021年整治工作基本完成，并形成长效管理机制。</w:t>
      </w:r>
    </w:p>
    <w:p>
      <w:pPr>
        <w:pStyle w:val="16"/>
        <w:numPr>
          <w:ilvl w:val="0"/>
          <w:numId w:val="40"/>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83" w:name="_Toc63246045"/>
      <w:r>
        <w:rPr>
          <w:rStyle w:val="20"/>
          <w:rFonts w:hint="eastAsia" w:ascii="仿宋" w:hAnsi="仿宋" w:eastAsia="仿宋" w:cs="仿宋"/>
          <w:bCs w:val="0"/>
          <w:sz w:val="32"/>
          <w:szCs w:val="32"/>
        </w:rPr>
        <w:t>提升地下管网管养维护</w:t>
      </w:r>
      <w:r>
        <w:rPr>
          <w:rStyle w:val="20"/>
          <w:rFonts w:ascii="仿宋" w:hAnsi="仿宋" w:eastAsia="仿宋" w:cs="仿宋"/>
          <w:bCs w:val="0"/>
          <w:sz w:val="32"/>
          <w:szCs w:val="32"/>
        </w:rPr>
        <w:t>水平</w:t>
      </w:r>
      <w:bookmarkEnd w:id="83"/>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（一）加强规划统筹，严格规划管理。</w:t>
      </w:r>
      <w:r>
        <w:rPr>
          <w:rStyle w:val="20"/>
          <w:rFonts w:hint="eastAsia" w:ascii="仿宋" w:hAnsi="仿宋" w:eastAsia="仿宋" w:cs="仿宋"/>
          <w:b w:val="0"/>
          <w:kern w:val="0"/>
          <w:sz w:val="32"/>
          <w:szCs w:val="32"/>
        </w:rPr>
        <w:t>进一步扩大检测范围和完善数据普查，根据普查结果和城市各类地下管线的相关规划，结合旧城改造、新区建设、道路施工等工程，严格编制好各部门具体管网规划，做到统一规划。从规划、管理、建设、维护等方面发力，共织城市地下“绿色”管网，打造城市地下管网安全生态圈。</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（二）加强部门联动，形成建设合力。</w:t>
      </w:r>
      <w:r>
        <w:rPr>
          <w:rStyle w:val="20"/>
          <w:rFonts w:hint="eastAsia" w:ascii="仿宋" w:hAnsi="仿宋" w:eastAsia="仿宋" w:cs="仿宋"/>
          <w:b w:val="0"/>
          <w:kern w:val="0"/>
          <w:sz w:val="32"/>
          <w:szCs w:val="32"/>
        </w:rPr>
        <w:t>城市地下管网建设涉及诸多主管部门，各部门需运用互联网、大数据等新技术手段，加强信息沟通与相互协作。施工单位、企业要健全综合管理机制，明确岗位施工职责，协调地下管线管理部门之间的施工关系。各部门合作实施管网全生命周期管理，着重解决“重建设、轻养护”现象，全面推进地下管网高质量建设。</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（三）明确产权管理，落实责任与目标。</w:t>
      </w:r>
      <w:r>
        <w:rPr>
          <w:rStyle w:val="20"/>
          <w:rFonts w:hint="eastAsia" w:ascii="仿宋" w:hAnsi="仿宋" w:eastAsia="仿宋" w:cs="仿宋"/>
          <w:b w:val="0"/>
          <w:kern w:val="0"/>
          <w:sz w:val="32"/>
          <w:szCs w:val="32"/>
        </w:rPr>
        <w:t>协调相关建设部门收集竣工资料和结合现场勘察等措施，摸清管网现状，进一步明确管网产权管理的范围。按照规划打通关键节点，使得建成的管线能组网运行，充分提高管网收集、输送的效率。逐步建立一套管网设施的评价标准，制定不同的管养维护或更新标准，在经济、合理的前提下提升管养工作水平。</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（四）完善档案资料，实现信息共享。</w:t>
      </w:r>
      <w:r>
        <w:rPr>
          <w:rStyle w:val="20"/>
          <w:rFonts w:hint="eastAsia" w:ascii="仿宋" w:hAnsi="仿宋" w:eastAsia="仿宋" w:cs="仿宋"/>
          <w:b w:val="0"/>
          <w:kern w:val="0"/>
          <w:sz w:val="32"/>
          <w:szCs w:val="32"/>
        </w:rPr>
        <w:t>在全面地下管网普查的基础上，摸清通讯、电力、供水、排水等管线现状，建立健全地下管网档案资料，并更新管线数据库，全面准确掌握各类数据，全部纳入数字化管理平台信息库。对管线平台信息资源有效整合，形成城市管网地理信息系统，实现地下管线信息资源共享，在条件成熟的情况下逐步免费开放信息平台，方便施工单位和管网使用单位查询使用，做到地下管线信息数据最大限度开放和应用。</w:t>
      </w:r>
    </w:p>
    <w:p>
      <w:pPr>
        <w:pStyle w:val="16"/>
        <w:numPr>
          <w:ilvl w:val="0"/>
          <w:numId w:val="40"/>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84" w:name="_Toc63246046"/>
      <w:r>
        <w:rPr>
          <w:rStyle w:val="20"/>
          <w:rFonts w:ascii="仿宋" w:hAnsi="仿宋" w:eastAsia="仿宋" w:cs="仿宋"/>
          <w:bCs w:val="0"/>
          <w:sz w:val="32"/>
          <w:szCs w:val="32"/>
        </w:rPr>
        <w:t>提升</w:t>
      </w:r>
      <w:r>
        <w:rPr>
          <w:rStyle w:val="20"/>
          <w:rFonts w:hint="eastAsia" w:ascii="仿宋" w:hAnsi="仿宋" w:eastAsia="仿宋" w:cs="仿宋"/>
          <w:bCs w:val="0"/>
          <w:sz w:val="32"/>
          <w:szCs w:val="32"/>
        </w:rPr>
        <w:t>设施运行的监</w:t>
      </w:r>
      <w:r>
        <w:rPr>
          <w:rStyle w:val="20"/>
          <w:rFonts w:ascii="仿宋" w:hAnsi="仿宋" w:eastAsia="仿宋" w:cs="仿宋"/>
          <w:bCs w:val="0"/>
          <w:sz w:val="32"/>
          <w:szCs w:val="32"/>
        </w:rPr>
        <w:t>测</w:t>
      </w:r>
      <w:r>
        <w:rPr>
          <w:rStyle w:val="20"/>
          <w:rFonts w:hint="eastAsia" w:ascii="仿宋" w:hAnsi="仿宋" w:eastAsia="仿宋" w:cs="仿宋"/>
          <w:bCs w:val="0"/>
          <w:sz w:val="32"/>
          <w:szCs w:val="32"/>
        </w:rPr>
        <w:t>能力。</w:t>
      </w:r>
      <w:bookmarkEnd w:id="84"/>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（一）建立设施运行监测系统。</w:t>
      </w:r>
      <w:r>
        <w:rPr>
          <w:rStyle w:val="20"/>
          <w:rFonts w:hint="eastAsia" w:ascii="仿宋" w:hAnsi="仿宋" w:eastAsia="仿宋" w:cs="仿宋"/>
          <w:b w:val="0"/>
          <w:kern w:val="0"/>
          <w:sz w:val="32"/>
          <w:szCs w:val="32"/>
        </w:rPr>
        <w:t>建立设施精准编号和质量溯源制度以及养护企业第一责任制；健全城市管理设施安全风险评估制度，加强对设施的动态监测、源头防控和过程控制技术等的运用,加强基础设施运行监测和预报预警能力，实现基础设施安全稳定运行。</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（二）提升</w:t>
      </w:r>
      <w:r>
        <w:rPr>
          <w:rStyle w:val="20"/>
          <w:rFonts w:ascii="仿宋" w:hAnsi="仿宋" w:eastAsia="仿宋" w:cs="仿宋"/>
          <w:bCs w:val="0"/>
          <w:kern w:val="0"/>
          <w:sz w:val="32"/>
          <w:szCs w:val="32"/>
        </w:rPr>
        <w:t>设施检测</w:t>
      </w:r>
      <w:r>
        <w:rPr>
          <w:rStyle w:val="20"/>
          <w:rFonts w:hint="eastAsia" w:ascii="仿宋" w:hAnsi="仿宋" w:eastAsia="仿宋" w:cs="仿宋"/>
          <w:bCs w:val="0"/>
          <w:kern w:val="0"/>
          <w:sz w:val="32"/>
          <w:szCs w:val="32"/>
        </w:rPr>
        <w:t>能力</w:t>
      </w:r>
      <w:r>
        <w:rPr>
          <w:rStyle w:val="20"/>
          <w:rFonts w:ascii="仿宋" w:hAnsi="仿宋" w:eastAsia="仿宋" w:cs="仿宋"/>
          <w:bCs w:val="0"/>
          <w:kern w:val="0"/>
          <w:sz w:val="32"/>
          <w:szCs w:val="32"/>
        </w:rPr>
        <w:t>。</w:t>
      </w:r>
      <w:r>
        <w:rPr>
          <w:rStyle w:val="20"/>
          <w:rFonts w:hint="eastAsia" w:ascii="仿宋" w:hAnsi="仿宋" w:eastAsia="仿宋" w:cs="仿宋"/>
          <w:b w:val="0"/>
          <w:kern w:val="0"/>
          <w:sz w:val="32"/>
          <w:szCs w:val="32"/>
        </w:rPr>
        <w:t>整合现有市政道路、桥梁、排水、垃圾处置等领域的检验检测技术资源，统筹规划组建市级检测机构。支持社会力量发展第三方检测。加强技术保障、装备设施配置，逐步配齐道路</w:t>
      </w:r>
      <w:r>
        <w:rPr>
          <w:rStyle w:val="20"/>
          <w:rFonts w:ascii="仿宋" w:hAnsi="仿宋" w:eastAsia="仿宋" w:cs="仿宋"/>
          <w:b w:val="0"/>
          <w:kern w:val="0"/>
          <w:sz w:val="32"/>
          <w:szCs w:val="32"/>
        </w:rPr>
        <w:t>、桥梁、管道、</w:t>
      </w:r>
      <w:r>
        <w:rPr>
          <w:rStyle w:val="20"/>
          <w:rFonts w:hint="eastAsia" w:ascii="仿宋" w:hAnsi="仿宋" w:eastAsia="仿宋" w:cs="仿宋"/>
          <w:b w:val="0"/>
          <w:kern w:val="0"/>
          <w:sz w:val="32"/>
          <w:szCs w:val="32"/>
        </w:rPr>
        <w:t>沿线</w:t>
      </w:r>
      <w:r>
        <w:rPr>
          <w:rStyle w:val="20"/>
          <w:rFonts w:ascii="仿宋" w:hAnsi="仿宋" w:eastAsia="仿宋" w:cs="仿宋"/>
          <w:b w:val="0"/>
          <w:kern w:val="0"/>
          <w:sz w:val="32"/>
          <w:szCs w:val="32"/>
        </w:rPr>
        <w:t>设施等</w:t>
      </w:r>
      <w:r>
        <w:rPr>
          <w:rStyle w:val="20"/>
          <w:rFonts w:hint="eastAsia" w:ascii="仿宋" w:hAnsi="仿宋" w:eastAsia="仿宋" w:cs="仿宋"/>
          <w:b w:val="0"/>
          <w:kern w:val="0"/>
          <w:sz w:val="32"/>
          <w:szCs w:val="32"/>
        </w:rPr>
        <w:t>方面</w:t>
      </w:r>
      <w:r>
        <w:rPr>
          <w:rStyle w:val="20"/>
          <w:rFonts w:ascii="仿宋" w:hAnsi="仿宋" w:eastAsia="仿宋" w:cs="仿宋"/>
          <w:b w:val="0"/>
          <w:kern w:val="0"/>
          <w:sz w:val="32"/>
          <w:szCs w:val="32"/>
        </w:rPr>
        <w:t>的检测</w:t>
      </w:r>
      <w:r>
        <w:rPr>
          <w:rStyle w:val="20"/>
          <w:rFonts w:hint="eastAsia" w:ascii="仿宋" w:hAnsi="仿宋" w:eastAsia="仿宋" w:cs="仿宋"/>
          <w:b w:val="0"/>
          <w:kern w:val="0"/>
          <w:sz w:val="32"/>
          <w:szCs w:val="32"/>
        </w:rPr>
        <w:t>设备，进一步增强检测能力。通过</w:t>
      </w:r>
      <w:r>
        <w:rPr>
          <w:rStyle w:val="20"/>
          <w:rFonts w:ascii="仿宋" w:hAnsi="仿宋" w:eastAsia="仿宋" w:cs="仿宋"/>
          <w:b w:val="0"/>
          <w:kern w:val="0"/>
          <w:sz w:val="32"/>
          <w:szCs w:val="32"/>
        </w:rPr>
        <w:t>多功能道路检测车实现无损</w:t>
      </w:r>
      <w:r>
        <w:rPr>
          <w:rStyle w:val="20"/>
          <w:rFonts w:hint="eastAsia" w:ascii="仿宋" w:hAnsi="仿宋" w:eastAsia="仿宋" w:cs="仿宋"/>
          <w:b w:val="0"/>
          <w:kern w:val="0"/>
          <w:sz w:val="32"/>
          <w:szCs w:val="32"/>
        </w:rPr>
        <w:t>自动</w:t>
      </w:r>
      <w:r>
        <w:rPr>
          <w:rStyle w:val="20"/>
          <w:rFonts w:ascii="仿宋" w:hAnsi="仿宋" w:eastAsia="仿宋" w:cs="仿宋"/>
          <w:b w:val="0"/>
          <w:kern w:val="0"/>
          <w:sz w:val="32"/>
          <w:szCs w:val="32"/>
        </w:rPr>
        <w:t>检测，同时检测路面损坏，</w:t>
      </w:r>
      <w:r>
        <w:rPr>
          <w:rStyle w:val="20"/>
          <w:rFonts w:hint="eastAsia" w:ascii="仿宋" w:hAnsi="仿宋" w:eastAsia="仿宋" w:cs="仿宋"/>
          <w:b w:val="0"/>
          <w:kern w:val="0"/>
          <w:sz w:val="32"/>
          <w:szCs w:val="32"/>
        </w:rPr>
        <w:t>平整</w:t>
      </w:r>
      <w:r>
        <w:rPr>
          <w:rStyle w:val="20"/>
          <w:rFonts w:ascii="仿宋" w:hAnsi="仿宋" w:eastAsia="仿宋" w:cs="仿宋"/>
          <w:b w:val="0"/>
          <w:kern w:val="0"/>
          <w:sz w:val="32"/>
          <w:szCs w:val="32"/>
        </w:rPr>
        <w:t>度</w:t>
      </w:r>
      <w:r>
        <w:rPr>
          <w:rStyle w:val="20"/>
          <w:rFonts w:hint="eastAsia" w:ascii="仿宋" w:hAnsi="仿宋" w:eastAsia="仿宋" w:cs="仿宋"/>
          <w:b w:val="0"/>
          <w:kern w:val="0"/>
          <w:sz w:val="32"/>
          <w:szCs w:val="32"/>
        </w:rPr>
        <w:t>、车</w:t>
      </w:r>
      <w:r>
        <w:rPr>
          <w:rStyle w:val="20"/>
          <w:rFonts w:ascii="仿宋" w:hAnsi="仿宋" w:eastAsia="仿宋" w:cs="仿宋"/>
          <w:b w:val="0"/>
          <w:kern w:val="0"/>
          <w:sz w:val="32"/>
          <w:szCs w:val="32"/>
        </w:rPr>
        <w:t>撤</w:t>
      </w:r>
      <w:r>
        <w:rPr>
          <w:rStyle w:val="20"/>
          <w:rFonts w:hint="eastAsia" w:ascii="仿宋" w:hAnsi="仿宋" w:eastAsia="仿宋" w:cs="仿宋"/>
          <w:b w:val="0"/>
          <w:kern w:val="0"/>
          <w:sz w:val="32"/>
          <w:szCs w:val="32"/>
        </w:rPr>
        <w:t>、</w:t>
      </w:r>
      <w:r>
        <w:rPr>
          <w:rStyle w:val="20"/>
          <w:rFonts w:ascii="仿宋" w:hAnsi="仿宋" w:eastAsia="仿宋" w:cs="仿宋"/>
          <w:b w:val="0"/>
          <w:kern w:val="0"/>
          <w:sz w:val="32"/>
          <w:szCs w:val="32"/>
        </w:rPr>
        <w:t>抗滑性能和</w:t>
      </w:r>
      <w:r>
        <w:rPr>
          <w:rStyle w:val="20"/>
          <w:rFonts w:hint="eastAsia" w:ascii="仿宋" w:hAnsi="仿宋" w:eastAsia="仿宋" w:cs="仿宋"/>
          <w:b w:val="0"/>
          <w:kern w:val="0"/>
          <w:sz w:val="32"/>
          <w:szCs w:val="32"/>
        </w:rPr>
        <w:t>结构强度</w:t>
      </w:r>
      <w:r>
        <w:rPr>
          <w:rStyle w:val="20"/>
          <w:rFonts w:ascii="仿宋" w:hAnsi="仿宋" w:eastAsia="仿宋" w:cs="仿宋"/>
          <w:b w:val="0"/>
          <w:kern w:val="0"/>
          <w:sz w:val="32"/>
          <w:szCs w:val="32"/>
        </w:rPr>
        <w:t>以及道路线型与沿线设施</w:t>
      </w:r>
      <w:r>
        <w:rPr>
          <w:rStyle w:val="20"/>
          <w:rFonts w:hint="eastAsia" w:ascii="仿宋" w:hAnsi="仿宋" w:eastAsia="仿宋" w:cs="仿宋"/>
          <w:b w:val="0"/>
          <w:kern w:val="0"/>
          <w:sz w:val="32"/>
          <w:szCs w:val="32"/>
        </w:rPr>
        <w:t>等</w:t>
      </w:r>
      <w:r>
        <w:rPr>
          <w:rStyle w:val="20"/>
          <w:rFonts w:ascii="仿宋" w:hAnsi="仿宋" w:eastAsia="仿宋" w:cs="仿宋"/>
          <w:b w:val="0"/>
          <w:kern w:val="0"/>
          <w:sz w:val="32"/>
          <w:szCs w:val="32"/>
        </w:rPr>
        <w:t>。</w:t>
      </w:r>
      <w:r>
        <w:rPr>
          <w:rStyle w:val="20"/>
          <w:rFonts w:hint="eastAsia" w:ascii="仿宋" w:hAnsi="仿宋" w:eastAsia="仿宋" w:cs="仿宋"/>
          <w:b w:val="0"/>
          <w:kern w:val="0"/>
          <w:sz w:val="32"/>
          <w:szCs w:val="32"/>
        </w:rPr>
        <w:t>提升桥梁</w:t>
      </w:r>
      <w:r>
        <w:rPr>
          <w:rStyle w:val="20"/>
          <w:rFonts w:ascii="仿宋" w:hAnsi="仿宋" w:eastAsia="仿宋" w:cs="仿宋"/>
          <w:b w:val="0"/>
          <w:kern w:val="0"/>
          <w:sz w:val="32"/>
          <w:szCs w:val="32"/>
        </w:rPr>
        <w:t>无损伤检测技术</w:t>
      </w:r>
      <w:r>
        <w:rPr>
          <w:rStyle w:val="20"/>
          <w:rFonts w:hint="eastAsia" w:ascii="仿宋" w:hAnsi="仿宋" w:eastAsia="仿宋" w:cs="仿宋"/>
          <w:b w:val="0"/>
          <w:kern w:val="0"/>
          <w:sz w:val="32"/>
          <w:szCs w:val="32"/>
        </w:rPr>
        <w:t>，利用</w:t>
      </w:r>
      <w:r>
        <w:rPr>
          <w:rStyle w:val="20"/>
          <w:rFonts w:ascii="仿宋" w:hAnsi="仿宋" w:eastAsia="仿宋" w:cs="仿宋"/>
          <w:b w:val="0"/>
          <w:kern w:val="0"/>
          <w:sz w:val="32"/>
          <w:szCs w:val="32"/>
        </w:rPr>
        <w:t>相关</w:t>
      </w:r>
      <w:r>
        <w:rPr>
          <w:rStyle w:val="20"/>
          <w:rFonts w:hint="eastAsia" w:ascii="仿宋" w:hAnsi="仿宋" w:eastAsia="仿宋" w:cs="仿宋"/>
          <w:b w:val="0"/>
          <w:kern w:val="0"/>
          <w:sz w:val="32"/>
          <w:szCs w:val="32"/>
        </w:rPr>
        <w:t>激光</w:t>
      </w:r>
      <w:r>
        <w:rPr>
          <w:rStyle w:val="20"/>
          <w:rFonts w:ascii="仿宋" w:hAnsi="仿宋" w:eastAsia="仿宋" w:cs="仿宋"/>
          <w:b w:val="0"/>
          <w:kern w:val="0"/>
          <w:sz w:val="32"/>
          <w:szCs w:val="32"/>
        </w:rPr>
        <w:t>雷达</w:t>
      </w:r>
      <w:r>
        <w:rPr>
          <w:rStyle w:val="20"/>
          <w:rFonts w:hint="eastAsia" w:ascii="仿宋" w:hAnsi="仿宋" w:eastAsia="仿宋" w:cs="仿宋"/>
          <w:b w:val="0"/>
          <w:kern w:val="0"/>
          <w:sz w:val="32"/>
          <w:szCs w:val="32"/>
        </w:rPr>
        <w:t>测试</w:t>
      </w:r>
      <w:r>
        <w:rPr>
          <w:rStyle w:val="20"/>
          <w:rFonts w:ascii="仿宋" w:hAnsi="仿宋" w:eastAsia="仿宋" w:cs="仿宋"/>
          <w:b w:val="0"/>
          <w:kern w:val="0"/>
          <w:sz w:val="32"/>
          <w:szCs w:val="32"/>
        </w:rPr>
        <w:t>桥梁下部结构</w:t>
      </w:r>
      <w:r>
        <w:rPr>
          <w:rStyle w:val="20"/>
          <w:rFonts w:hint="eastAsia" w:ascii="仿宋" w:hAnsi="仿宋" w:eastAsia="仿宋" w:cs="仿宋"/>
          <w:b w:val="0"/>
          <w:kern w:val="0"/>
          <w:sz w:val="32"/>
          <w:szCs w:val="32"/>
        </w:rPr>
        <w:t>的</w:t>
      </w:r>
      <w:r>
        <w:rPr>
          <w:rStyle w:val="20"/>
          <w:rFonts w:ascii="仿宋" w:hAnsi="仿宋" w:eastAsia="仿宋" w:cs="仿宋"/>
          <w:b w:val="0"/>
          <w:kern w:val="0"/>
          <w:sz w:val="32"/>
          <w:szCs w:val="32"/>
        </w:rPr>
        <w:t>挠度</w:t>
      </w:r>
      <w:r>
        <w:rPr>
          <w:rStyle w:val="20"/>
          <w:rFonts w:hint="eastAsia" w:ascii="仿宋" w:hAnsi="仿宋" w:eastAsia="仿宋" w:cs="仿宋"/>
          <w:b w:val="0"/>
          <w:kern w:val="0"/>
          <w:sz w:val="32"/>
          <w:szCs w:val="32"/>
        </w:rPr>
        <w:t>，</w:t>
      </w:r>
      <w:r>
        <w:rPr>
          <w:rStyle w:val="20"/>
          <w:rFonts w:ascii="仿宋" w:hAnsi="仿宋" w:eastAsia="仿宋" w:cs="仿宋"/>
          <w:b w:val="0"/>
          <w:kern w:val="0"/>
          <w:sz w:val="32"/>
          <w:szCs w:val="32"/>
        </w:rPr>
        <w:t>利用全息干涉仪等测量桥面</w:t>
      </w:r>
      <w:r>
        <w:rPr>
          <w:rStyle w:val="20"/>
          <w:rFonts w:hint="eastAsia" w:ascii="仿宋" w:hAnsi="仿宋" w:eastAsia="仿宋" w:cs="仿宋"/>
          <w:b w:val="0"/>
          <w:kern w:val="0"/>
          <w:sz w:val="32"/>
          <w:szCs w:val="32"/>
        </w:rPr>
        <w:t>变</w:t>
      </w:r>
      <w:r>
        <w:rPr>
          <w:rStyle w:val="20"/>
          <w:rFonts w:ascii="仿宋" w:hAnsi="仿宋" w:eastAsia="仿宋" w:cs="仿宋"/>
          <w:b w:val="0"/>
          <w:kern w:val="0"/>
          <w:sz w:val="32"/>
          <w:szCs w:val="32"/>
        </w:rPr>
        <w:t>形等。</w:t>
      </w:r>
      <w:r>
        <w:rPr>
          <w:rStyle w:val="20"/>
          <w:rFonts w:hint="eastAsia" w:ascii="仿宋" w:hAnsi="仿宋" w:eastAsia="仿宋" w:cs="仿宋"/>
          <w:b w:val="0"/>
          <w:kern w:val="0"/>
          <w:sz w:val="32"/>
          <w:szCs w:val="32"/>
        </w:rPr>
        <w:t>提升</w:t>
      </w:r>
      <w:r>
        <w:rPr>
          <w:rStyle w:val="20"/>
          <w:rFonts w:ascii="仿宋" w:hAnsi="仿宋" w:eastAsia="仿宋" w:cs="仿宋"/>
          <w:b w:val="0"/>
          <w:kern w:val="0"/>
          <w:sz w:val="32"/>
          <w:szCs w:val="32"/>
        </w:rPr>
        <w:t>地下管网探测和检测技术，</w:t>
      </w:r>
      <w:r>
        <w:rPr>
          <w:rStyle w:val="20"/>
          <w:rFonts w:hint="eastAsia" w:ascii="仿宋" w:hAnsi="仿宋" w:eastAsia="仿宋" w:cs="仿宋"/>
          <w:b w:val="0"/>
          <w:kern w:val="0"/>
          <w:sz w:val="32"/>
          <w:szCs w:val="32"/>
        </w:rPr>
        <w:t>逐步</w:t>
      </w:r>
      <w:r>
        <w:rPr>
          <w:rStyle w:val="20"/>
          <w:rFonts w:ascii="仿宋" w:hAnsi="仿宋" w:eastAsia="仿宋" w:cs="仿宋"/>
          <w:b w:val="0"/>
          <w:kern w:val="0"/>
          <w:sz w:val="32"/>
          <w:szCs w:val="32"/>
        </w:rPr>
        <w:t>实现</w:t>
      </w:r>
      <w:r>
        <w:rPr>
          <w:rStyle w:val="20"/>
          <w:rFonts w:hint="eastAsia" w:ascii="仿宋" w:hAnsi="仿宋" w:eastAsia="仿宋" w:cs="仿宋"/>
          <w:b w:val="0"/>
          <w:kern w:val="0"/>
          <w:sz w:val="32"/>
          <w:szCs w:val="32"/>
        </w:rPr>
        <w:t>地下管网</w:t>
      </w:r>
      <w:r>
        <w:rPr>
          <w:rStyle w:val="20"/>
          <w:rFonts w:ascii="仿宋" w:hAnsi="仿宋" w:eastAsia="仿宋" w:cs="仿宋"/>
          <w:b w:val="0"/>
          <w:kern w:val="0"/>
          <w:sz w:val="32"/>
          <w:szCs w:val="32"/>
        </w:rPr>
        <w:t>泄露检测，</w:t>
      </w:r>
      <w:r>
        <w:rPr>
          <w:rStyle w:val="20"/>
          <w:rFonts w:hint="eastAsia" w:ascii="仿宋" w:hAnsi="仿宋" w:eastAsia="仿宋" w:cs="仿宋"/>
          <w:b w:val="0"/>
          <w:kern w:val="0"/>
          <w:sz w:val="32"/>
          <w:szCs w:val="32"/>
        </w:rPr>
        <w:t>腐蚀检测</w:t>
      </w:r>
      <w:r>
        <w:rPr>
          <w:rStyle w:val="20"/>
          <w:rFonts w:ascii="仿宋" w:hAnsi="仿宋" w:eastAsia="仿宋" w:cs="仿宋"/>
          <w:b w:val="0"/>
          <w:kern w:val="0"/>
          <w:sz w:val="32"/>
          <w:szCs w:val="32"/>
        </w:rPr>
        <w:t>、管体无损检测、管网管廊的远程监控等。</w:t>
      </w:r>
    </w:p>
    <w:p>
      <w:pPr>
        <w:pStyle w:val="16"/>
        <w:numPr>
          <w:ilvl w:val="0"/>
          <w:numId w:val="40"/>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85" w:name="_Toc63246047"/>
      <w:r>
        <w:rPr>
          <w:rStyle w:val="20"/>
          <w:rFonts w:hint="eastAsia" w:ascii="仿宋" w:hAnsi="仿宋" w:eastAsia="仿宋" w:cs="仿宋"/>
          <w:bCs w:val="0"/>
          <w:sz w:val="32"/>
          <w:szCs w:val="32"/>
        </w:rPr>
        <w:t>优化停车资源配置</w:t>
      </w:r>
      <w:bookmarkEnd w:id="85"/>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按照“建设多元化、管理属地化、设施智能化”的思路，建立主体责任明确、管理手段先进、服务方式便捷、资源利用高效、持续协调发展的城市停车场管理新格局。</w:t>
      </w:r>
    </w:p>
    <w:p>
      <w:pPr>
        <w:spacing w:line="560" w:lineRule="exact"/>
        <w:ind w:firstLine="60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0"/>
          <w:szCs w:val="30"/>
        </w:rPr>
        <w:t>（一）建立停车场供应体系。</w:t>
      </w:r>
      <w:r>
        <w:rPr>
          <w:rStyle w:val="20"/>
          <w:rFonts w:hint="eastAsia" w:ascii="仿宋" w:hAnsi="仿宋" w:eastAsia="仿宋" w:cs="仿宋"/>
          <w:b w:val="0"/>
          <w:kern w:val="0"/>
          <w:sz w:val="32"/>
          <w:szCs w:val="32"/>
        </w:rPr>
        <w:t>实施以供定需，充分利用市场行为撬动社会和公共两种资源，增强城市停车资源的总体供应能力。加快配建停车场和公共停车场建设，大力推广机械式立体停车方式，利用道路、广场、公园绿地等地下空间资源建设公共停车场。合理施划道路停车泊位，形成“以配建停车为主、公共停车为辅、道路停车为补充”的停车场供应体系。</w:t>
      </w:r>
    </w:p>
    <w:p>
      <w:pPr>
        <w:spacing w:line="560" w:lineRule="exact"/>
        <w:ind w:firstLine="60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0"/>
          <w:szCs w:val="30"/>
        </w:rPr>
        <w:t>（二）加大停车场建设力度。</w:t>
      </w:r>
      <w:r>
        <w:rPr>
          <w:rStyle w:val="20"/>
          <w:rFonts w:hint="eastAsia" w:ascii="仿宋" w:hAnsi="仿宋" w:eastAsia="仿宋" w:cs="仿宋"/>
          <w:b w:val="0"/>
          <w:kern w:val="0"/>
          <w:sz w:val="32"/>
          <w:szCs w:val="32"/>
        </w:rPr>
        <w:t>根据《南昌市公共停车场建设三年行动》，继续加大公共停车场建设力度，新建住宅配建停车位应100%建充电设施或预留新能源汽车充电设施安装条件，社会公共个停车场建设充电设施或预留建设安装条件的车位比不低于10%。2021年，计划新增12万个停车泊位，其中配建泊位9.5万个、公共停车泊位2.5万个。2025年停车泊位数进一步增加。</w:t>
      </w:r>
    </w:p>
    <w:p>
      <w:pPr>
        <w:jc w:val="center"/>
        <w:rPr>
          <w:rStyle w:val="20"/>
          <w:rFonts w:ascii="仿宋" w:hAnsi="仿宋" w:eastAsia="仿宋" w:cs="仿宋"/>
          <w:bCs w:val="0"/>
          <w:kern w:val="0"/>
          <w:sz w:val="30"/>
          <w:szCs w:val="30"/>
        </w:rPr>
      </w:pPr>
      <w:r>
        <w:rPr>
          <w:rFonts w:ascii="仿宋" w:hAnsi="仿宋" w:eastAsia="仿宋" w:cs="仿宋"/>
          <w:bCs/>
          <w:kern w:val="0"/>
          <w:sz w:val="32"/>
          <w:szCs w:val="32"/>
        </w:rPr>
        <w:drawing>
          <wp:inline distT="0" distB="0" distL="0" distR="0">
            <wp:extent cx="5139055" cy="3632835"/>
            <wp:effectExtent l="19050" t="0" r="4445" b="0"/>
            <wp:docPr id="5122" name="Picture 2" descr="D:\Desktop\5-停车场分布图(控股材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D:\Desktop\5-停车场分布图(控股材料).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5139055" cy="3632835"/>
                    </a:xfrm>
                    <a:prstGeom prst="rect">
                      <a:avLst/>
                    </a:prstGeom>
                    <a:noFill/>
                  </pic:spPr>
                </pic:pic>
              </a:graphicData>
            </a:graphic>
          </wp:inline>
        </w:drawing>
      </w:r>
    </w:p>
    <w:p>
      <w:pPr>
        <w:ind w:firstLine="602" w:firstLineChars="200"/>
        <w:jc w:val="left"/>
        <w:rPr>
          <w:rStyle w:val="20"/>
          <w:rFonts w:ascii="仿宋" w:hAnsi="仿宋" w:eastAsia="仿宋" w:cs="仿宋"/>
          <w:b w:val="0"/>
          <w:kern w:val="0"/>
          <w:sz w:val="32"/>
          <w:szCs w:val="32"/>
        </w:rPr>
      </w:pPr>
      <w:r>
        <w:rPr>
          <w:rStyle w:val="20"/>
          <w:rFonts w:hint="eastAsia" w:ascii="仿宋" w:hAnsi="仿宋" w:eastAsia="仿宋" w:cs="仿宋"/>
          <w:bCs w:val="0"/>
          <w:kern w:val="0"/>
          <w:sz w:val="30"/>
          <w:szCs w:val="30"/>
        </w:rPr>
        <w:t>（三）推广停车位共享使用模式。</w:t>
      </w:r>
      <w:r>
        <w:rPr>
          <w:rStyle w:val="20"/>
          <w:rFonts w:hint="eastAsia" w:ascii="仿宋" w:hAnsi="仿宋" w:eastAsia="仿宋" w:cs="仿宋"/>
          <w:b w:val="0"/>
          <w:kern w:val="0"/>
          <w:sz w:val="32"/>
          <w:szCs w:val="32"/>
        </w:rPr>
        <w:t>鼓励机关和企事业单位停车场夜间开放，重点解决老城区、住宅小区、医院等区域的停车矛盾问题。按照“中心高于外围、路内高于路外、地面高于地下”的原则，运用价格杠杆调节停车需求，提高停车泊位利用率。建立智能停车诱导APP，推广停车位共享使用模式，提升停车管理和服务水平。</w:t>
      </w:r>
    </w:p>
    <w:p>
      <w:pPr>
        <w:widowControl/>
        <w:jc w:val="left"/>
        <w:rPr>
          <w:rFonts w:ascii="仿宋_GB2312" w:hAnsi="仿宋_GB2312" w:eastAsia="仿宋_GB2312" w:cs="仿宋_GB2312"/>
          <w:sz w:val="32"/>
          <w:szCs w:val="32"/>
        </w:rPr>
      </w:pPr>
      <w:r>
        <w:rPr>
          <w:rFonts w:ascii="仿宋_GB2312" w:hAnsi="仿宋_GB2312" w:eastAsia="仿宋_GB2312" w:cs="仿宋_GB2312"/>
          <w:sz w:val="32"/>
          <w:szCs w:val="32"/>
        </w:rPr>
        <w:br w:type="page"/>
      </w:r>
    </w:p>
    <w:p>
      <w:pPr>
        <w:spacing w:beforeLines="50" w:afterLines="50" w:line="560" w:lineRule="exact"/>
        <w:jc w:val="center"/>
        <w:outlineLvl w:val="1"/>
        <w:rPr>
          <w:rFonts w:ascii="仿宋" w:hAnsi="仿宋" w:eastAsia="仿宋" w:cs="仿宋"/>
          <w:b/>
          <w:bCs/>
          <w:sz w:val="32"/>
          <w:szCs w:val="32"/>
        </w:rPr>
      </w:pPr>
      <w:bookmarkStart w:id="86" w:name="_Toc63246048"/>
      <w:r>
        <w:rPr>
          <w:rFonts w:hint="eastAsia" w:ascii="仿宋" w:hAnsi="仿宋" w:eastAsia="仿宋" w:cs="仿宋"/>
          <w:b/>
          <w:bCs/>
          <w:sz w:val="32"/>
          <w:szCs w:val="32"/>
        </w:rPr>
        <w:t>第八节  提升综合执法服务能力</w:t>
      </w:r>
      <w:bookmarkEnd w:id="86"/>
    </w:p>
    <w:p>
      <w:pPr>
        <w:spacing w:line="560" w:lineRule="exact"/>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树立执法</w:t>
      </w:r>
      <w:r>
        <w:rPr>
          <w:rStyle w:val="20"/>
          <w:rFonts w:ascii="仿宋" w:hAnsi="仿宋" w:eastAsia="仿宋" w:cs="仿宋"/>
          <w:b w:val="0"/>
          <w:kern w:val="0"/>
          <w:sz w:val="32"/>
          <w:szCs w:val="32"/>
        </w:rPr>
        <w:t>为民的理念，</w:t>
      </w:r>
      <w:r>
        <w:rPr>
          <w:rStyle w:val="20"/>
          <w:rFonts w:hint="eastAsia" w:ascii="仿宋" w:hAnsi="仿宋" w:eastAsia="仿宋" w:cs="仿宋"/>
          <w:b w:val="0"/>
          <w:kern w:val="0"/>
          <w:sz w:val="32"/>
          <w:szCs w:val="32"/>
        </w:rPr>
        <w:t>理清城管执法边界，建立联合执法机制，落实执法重心下移，加强城市管理执法队伍建设，依托执法办案系统，智能发现案情，优化标准、流程、监督体系，提升执法水平和公众满意度。</w:t>
      </w:r>
    </w:p>
    <w:p>
      <w:pPr>
        <w:spacing w:line="560" w:lineRule="exact"/>
        <w:ind w:firstLine="640" w:firstLineChars="200"/>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2021年，城市管理综合执法体制机制和联合执法工作机制基本完成，执法边界理清和执法重心下移成效显著，成立市“无人机中队”，街面秩序得到有效整治，全面清查处理存量违法建设目标任务完成，累计查处比例达100%，控制新增违法建设做到“零增长”。2025年，城市管理综合执法机制和联合执法机制形成常态，新增违法建设做到“零增长”，智能化执法装备基本齐全。</w:t>
      </w:r>
    </w:p>
    <w:p>
      <w:pPr>
        <w:pStyle w:val="16"/>
        <w:numPr>
          <w:ilvl w:val="0"/>
          <w:numId w:val="41"/>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87" w:name="_Toc63246049"/>
      <w:r>
        <w:rPr>
          <w:rStyle w:val="20"/>
          <w:rFonts w:hint="eastAsia" w:ascii="仿宋" w:hAnsi="仿宋" w:eastAsia="仿宋" w:cs="仿宋"/>
          <w:bCs w:val="0"/>
          <w:sz w:val="32"/>
          <w:szCs w:val="32"/>
        </w:rPr>
        <w:t>理清城管执法边界</w:t>
      </w:r>
      <w:bookmarkEnd w:id="87"/>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（一）精简管理职责。</w:t>
      </w:r>
      <w:r>
        <w:rPr>
          <w:rStyle w:val="20"/>
          <w:rFonts w:hint="eastAsia" w:ascii="仿宋" w:hAnsi="仿宋" w:eastAsia="仿宋" w:cs="仿宋"/>
          <w:b w:val="0"/>
          <w:kern w:val="0"/>
          <w:sz w:val="32"/>
          <w:szCs w:val="32"/>
        </w:rPr>
        <w:t>按照转变政府职能的要求，妥善处理政府与市场、政府与社会的关系，深化“放管服”改革，全面清理和认真审查城管部门承担的责任，把于法无据、与改革发展要求不符的职责事项取消，不该管的坚决不管，为城管执法机构减负。</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（二）明晰执法边界。</w:t>
      </w:r>
      <w:r>
        <w:rPr>
          <w:rStyle w:val="20"/>
          <w:rFonts w:hint="eastAsia" w:ascii="仿宋" w:hAnsi="仿宋" w:eastAsia="仿宋" w:cs="仿宋"/>
          <w:b w:val="0"/>
          <w:kern w:val="0"/>
          <w:sz w:val="32"/>
          <w:szCs w:val="32"/>
        </w:rPr>
        <w:t>抓紧整合其他部门划转的职责，合理确定集中行政处罚权的范围，重点集中多头执法、职责交叉、不需进行复杂技术鉴定的违法行为处罚权。划清城管执法部门与其他职能部门的权责边界，编制和公布各类</w:t>
      </w:r>
      <w:r>
        <w:rPr>
          <w:rStyle w:val="20"/>
          <w:rFonts w:ascii="仿宋" w:hAnsi="仿宋" w:eastAsia="仿宋" w:cs="仿宋"/>
          <w:b w:val="0"/>
          <w:kern w:val="0"/>
          <w:sz w:val="32"/>
          <w:szCs w:val="32"/>
        </w:rPr>
        <w:t>执法队伍执法边界清单</w:t>
      </w:r>
      <w:r>
        <w:rPr>
          <w:rStyle w:val="20"/>
          <w:rFonts w:hint="eastAsia" w:ascii="仿宋" w:hAnsi="仿宋" w:eastAsia="仿宋" w:cs="仿宋"/>
          <w:b w:val="0"/>
          <w:kern w:val="0"/>
          <w:sz w:val="32"/>
          <w:szCs w:val="32"/>
        </w:rPr>
        <w:t>。就执法队伍现状来看，执法人员难以承担需要专业技术力量支撑的执法工作，对专业型、技术性要求高的执法事项，有相关专业行政主管部门实施方可达到较好的管理效果。</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（三）推进法定执法。</w:t>
      </w:r>
      <w:r>
        <w:rPr>
          <w:rStyle w:val="20"/>
          <w:rFonts w:hint="eastAsia" w:ascii="仿宋" w:hAnsi="仿宋" w:eastAsia="仿宋" w:cs="仿宋"/>
          <w:b w:val="0"/>
          <w:kern w:val="0"/>
          <w:sz w:val="32"/>
          <w:szCs w:val="32"/>
        </w:rPr>
        <w:t>加快地方立法进程，依法界定城管执法的职责边界。城管执法是一个典型的末端执法，要使末端执法权有效，必须与前端立法相互衔接。通过立法规定的硬约束机制，实现不同部门之间配合协调的无缝隙衔接，从而从根本上实现减少矛盾冲突和暴力事件的发生。</w:t>
      </w:r>
    </w:p>
    <w:p>
      <w:pPr>
        <w:pStyle w:val="16"/>
        <w:numPr>
          <w:ilvl w:val="0"/>
          <w:numId w:val="41"/>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88" w:name="_Toc63246050"/>
      <w:r>
        <w:rPr>
          <w:rStyle w:val="20"/>
          <w:rFonts w:hint="eastAsia" w:ascii="仿宋" w:hAnsi="仿宋" w:eastAsia="仿宋" w:cs="仿宋"/>
          <w:bCs w:val="0"/>
          <w:sz w:val="32"/>
          <w:szCs w:val="32"/>
        </w:rPr>
        <w:t>建立联合执法工作机制</w:t>
      </w:r>
      <w:bookmarkEnd w:id="88"/>
    </w:p>
    <w:p>
      <w:pPr>
        <w:spacing w:line="560" w:lineRule="exact"/>
        <w:ind w:firstLine="642" w:firstLineChars="200"/>
        <w:jc w:val="left"/>
        <w:rPr>
          <w:rStyle w:val="20"/>
          <w:rFonts w:ascii="仿宋" w:hAnsi="仿宋" w:eastAsia="仿宋" w:cs="仿宋"/>
          <w:bCs w:val="0"/>
          <w:kern w:val="0"/>
          <w:sz w:val="32"/>
          <w:szCs w:val="32"/>
        </w:rPr>
      </w:pPr>
      <w:r>
        <w:rPr>
          <w:rStyle w:val="20"/>
          <w:rFonts w:hint="eastAsia" w:ascii="仿宋" w:hAnsi="仿宋" w:eastAsia="仿宋" w:cs="仿宋"/>
          <w:bCs w:val="0"/>
          <w:kern w:val="0"/>
          <w:sz w:val="32"/>
          <w:szCs w:val="32"/>
        </w:rPr>
        <w:t>（一）建立非常设议事协调机构。</w:t>
      </w:r>
      <w:r>
        <w:rPr>
          <w:rStyle w:val="20"/>
          <w:rFonts w:hint="eastAsia" w:ascii="仿宋" w:hAnsi="仿宋" w:eastAsia="仿宋" w:cs="仿宋"/>
          <w:b w:val="0"/>
          <w:kern w:val="0"/>
          <w:sz w:val="32"/>
          <w:szCs w:val="32"/>
        </w:rPr>
        <w:t>由市政府负责人担任领导，有关职能部门负责人担任委员。加强本级城管执法机构与职能部门的工作衔接和协调联动，从源头上解决相关部门与城管执法机构之间职责不明、配合不好、保障不力的问题。形成运作高效、配合密切的城管执法联动机制。</w:t>
      </w:r>
    </w:p>
    <w:p>
      <w:pPr>
        <w:spacing w:line="560" w:lineRule="exact"/>
        <w:ind w:firstLine="642" w:firstLineChars="200"/>
        <w:jc w:val="left"/>
        <w:rPr>
          <w:rStyle w:val="20"/>
          <w:rFonts w:ascii="仿宋" w:hAnsi="仿宋" w:eastAsia="仿宋" w:cs="仿宋"/>
          <w:bCs w:val="0"/>
          <w:kern w:val="0"/>
          <w:sz w:val="32"/>
          <w:szCs w:val="32"/>
        </w:rPr>
      </w:pPr>
      <w:r>
        <w:rPr>
          <w:rStyle w:val="20"/>
          <w:rFonts w:hint="eastAsia" w:ascii="仿宋" w:hAnsi="仿宋" w:eastAsia="仿宋" w:cs="仿宋"/>
          <w:bCs w:val="0"/>
          <w:kern w:val="0"/>
          <w:sz w:val="32"/>
          <w:szCs w:val="32"/>
        </w:rPr>
        <w:t>（二）推进城管执法与公、检、法等部门的联动协作。</w:t>
      </w:r>
      <w:r>
        <w:rPr>
          <w:rStyle w:val="20"/>
          <w:rFonts w:hint="eastAsia" w:ascii="仿宋" w:hAnsi="仿宋" w:eastAsia="仿宋" w:cs="仿宋"/>
          <w:b w:val="0"/>
          <w:kern w:val="0"/>
          <w:sz w:val="32"/>
          <w:szCs w:val="32"/>
        </w:rPr>
        <w:t>建立城管公安联动执法工作机制、城管交警联动执法工作机制。对重点领域，各类执法交叉执法难度大的区域，建立针对性的多部门联动执法机制等。</w:t>
      </w:r>
    </w:p>
    <w:p>
      <w:pPr>
        <w:spacing w:line="560" w:lineRule="exact"/>
        <w:ind w:firstLine="642" w:firstLineChars="200"/>
        <w:jc w:val="left"/>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（三）建立重点区域和重点领域的综合执法部门。</w:t>
      </w:r>
      <w:r>
        <w:rPr>
          <w:rStyle w:val="20"/>
          <w:rFonts w:hint="eastAsia" w:ascii="仿宋" w:hAnsi="仿宋" w:eastAsia="仿宋" w:cs="仿宋"/>
          <w:b w:val="0"/>
          <w:kern w:val="0"/>
          <w:sz w:val="32"/>
          <w:szCs w:val="32"/>
        </w:rPr>
        <w:t>在现有城市管理行政处罚权相对集中的基础上，重点将与群众生产生活密切相关、执法频率高、多头执法扰民问题突出、专业技术要求适宜、与城市管理密切相关且需要集中行使行政处罚权的领域推行综合执法，其具体范围包括：环境保护、市场监管、公安交管管理、自然资源管理、水务管理、建设管理等授权的行政处罚权和相应的行政强制措施。城市管理综合执法部门可以实施与综合执法范围内法律法规规定的行政处罚权有关的行政强制措施。依法依规加大重要交通枢纽区域管理行政执法权下放力度，适时在南昌机场、南昌西站、南昌火车站、各客运站等周边区域推行跨部门的综合执法，强化重点交通枢纽的综合治理能力。</w:t>
      </w:r>
    </w:p>
    <w:p>
      <w:pPr>
        <w:jc w:val="center"/>
        <w:rPr>
          <w:rStyle w:val="20"/>
          <w:rFonts w:ascii="仿宋" w:hAnsi="仿宋" w:eastAsia="仿宋" w:cs="仿宋"/>
          <w:bCs w:val="0"/>
          <w:kern w:val="0"/>
          <w:sz w:val="32"/>
          <w:szCs w:val="32"/>
        </w:rPr>
      </w:pPr>
      <w:r>
        <w:rPr>
          <w:rFonts w:ascii="仿宋" w:hAnsi="仿宋" w:eastAsia="仿宋" w:cs="仿宋"/>
          <w:b/>
          <w:kern w:val="0"/>
          <w:sz w:val="32"/>
          <w:szCs w:val="32"/>
        </w:rPr>
        <w:drawing>
          <wp:inline distT="0" distB="0" distL="0" distR="0">
            <wp:extent cx="5581650" cy="4444365"/>
            <wp:effectExtent l="19050" t="0" r="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32">
                      <a:extLst>
                        <a:ext uri="{28A0092B-C50C-407E-A947-70E740481C1C}">
                          <a14:useLocalDpi xmlns:a14="http://schemas.microsoft.com/office/drawing/2010/main" val="0"/>
                        </a:ext>
                      </a:extLst>
                    </a:blip>
                    <a:srcRect l="43273" t="21921" r="14640" b="18495"/>
                    <a:stretch>
                      <a:fillRect/>
                    </a:stretch>
                  </pic:blipFill>
                  <pic:spPr>
                    <a:xfrm>
                      <a:off x="0" y="0"/>
                      <a:ext cx="5581650" cy="4444365"/>
                    </a:xfrm>
                    <a:prstGeom prst="rect">
                      <a:avLst/>
                    </a:prstGeom>
                  </pic:spPr>
                </pic:pic>
              </a:graphicData>
            </a:graphic>
          </wp:inline>
        </w:drawing>
      </w:r>
    </w:p>
    <w:p>
      <w:pPr>
        <w:pStyle w:val="16"/>
        <w:numPr>
          <w:ilvl w:val="0"/>
          <w:numId w:val="41"/>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89" w:name="_Toc63246051"/>
      <w:r>
        <w:rPr>
          <w:rStyle w:val="20"/>
          <w:rFonts w:hint="eastAsia" w:ascii="仿宋" w:hAnsi="仿宋" w:eastAsia="仿宋" w:cs="仿宋"/>
          <w:bCs w:val="0"/>
          <w:sz w:val="32"/>
          <w:szCs w:val="32"/>
        </w:rPr>
        <w:t>下移执法重心、建立长效机制</w:t>
      </w:r>
      <w:bookmarkEnd w:id="89"/>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（一）积极推动执法事项属地化管理。</w:t>
      </w:r>
      <w:r>
        <w:rPr>
          <w:rStyle w:val="20"/>
          <w:rFonts w:hint="eastAsia" w:ascii="仿宋" w:hAnsi="仿宋" w:eastAsia="仿宋" w:cs="仿宋"/>
          <w:b w:val="0"/>
          <w:kern w:val="0"/>
          <w:sz w:val="32"/>
          <w:szCs w:val="32"/>
        </w:rPr>
        <w:t>市城市管理和综合执法行政主管部门主要负责全市城市管理综合执法工作的行业指导、监督、考核，以及跨区域及重大复杂违法违规案件的查处。按照属地管理、权责一致原则，简政放权、放管结合、优化服务的要求，全市城市管理行政执法实行区一级执法。区城管执法部门向街道（镇）派驻执法机构（详见执法</w:t>
      </w:r>
      <w:r>
        <w:rPr>
          <w:rStyle w:val="20"/>
          <w:rFonts w:ascii="仿宋" w:hAnsi="仿宋" w:eastAsia="仿宋" w:cs="仿宋"/>
          <w:b w:val="0"/>
          <w:kern w:val="0"/>
          <w:sz w:val="32"/>
          <w:szCs w:val="32"/>
        </w:rPr>
        <w:t>分区图</w:t>
      </w:r>
      <w:r>
        <w:rPr>
          <w:rStyle w:val="20"/>
          <w:rFonts w:hint="eastAsia" w:ascii="仿宋" w:hAnsi="仿宋" w:eastAsia="仿宋" w:cs="仿宋"/>
          <w:b w:val="0"/>
          <w:kern w:val="0"/>
          <w:sz w:val="32"/>
          <w:szCs w:val="32"/>
        </w:rPr>
        <w:t>）。派驻机构业务工作接受区城市管理执法行政主管部门的领导，日常管理以所在街道（镇）为主，其负责人事调整、交流、晋升和年度考核应当征求派驻地党（工）委的意见。推进街道（镇）职能转变，工作重点转向城市管理和公共服务。逐步实现城市管理执法工作全覆盖，并向乡镇延伸，推进城乡一体化发展。</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（二）建立长效机制。</w:t>
      </w:r>
      <w:r>
        <w:rPr>
          <w:rStyle w:val="20"/>
          <w:rFonts w:hint="eastAsia" w:ascii="仿宋" w:hAnsi="仿宋" w:eastAsia="仿宋" w:cs="仿宋"/>
          <w:b w:val="0"/>
          <w:kern w:val="0"/>
          <w:sz w:val="32"/>
          <w:szCs w:val="32"/>
        </w:rPr>
        <w:t>强化行业管理与执法部门配合机制，确定部门权责边界。行业主管部门将相对集中行政处罚权的职能划转到城管执法部门以后，应按照“权责一致”原则明确各自职责和工作衔接流程，按各自职责承担相应监管的主体责任。同时，城市执法部门人员应当具备相关行业专业技术能力履行执法职责。执法部门依法查处违法违规行为，及时通报相关行业主管部门。完善执法部门与行业主管部门之间的信息共享机制，建立综合信息平台，加快综合执法信息平台与政务服务信息平台融合，逐步实现基层网格化管理与政务服务、综合执法信息互联互通，实现信息资源共享，提高行政执法效能。建立联合执法长效机制，加强工作会商，对涉及民生、公共利益、公共安全等重点执法领域，以及管辖边界交叉、重叠等特殊区域组织开展联合执法，提高执法合力，避免突击性、运动式执法。</w:t>
      </w:r>
    </w:p>
    <w:p>
      <w:pPr>
        <w:pStyle w:val="16"/>
        <w:numPr>
          <w:ilvl w:val="0"/>
          <w:numId w:val="41"/>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90" w:name="_Toc63246052"/>
      <w:r>
        <w:rPr>
          <w:rStyle w:val="20"/>
          <w:rFonts w:hint="eastAsia" w:ascii="仿宋" w:hAnsi="仿宋" w:eastAsia="仿宋" w:cs="仿宋"/>
          <w:bCs w:val="0"/>
          <w:sz w:val="32"/>
          <w:szCs w:val="32"/>
        </w:rPr>
        <w:t>强化队伍建设</w:t>
      </w:r>
      <w:bookmarkEnd w:id="90"/>
    </w:p>
    <w:p>
      <w:pPr>
        <w:numPr>
          <w:ilvl w:val="0"/>
          <w:numId w:val="42"/>
        </w:num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加强执法力量。</w:t>
      </w:r>
      <w:r>
        <w:rPr>
          <w:rStyle w:val="20"/>
          <w:rFonts w:hint="eastAsia" w:ascii="仿宋" w:hAnsi="仿宋" w:eastAsia="仿宋" w:cs="仿宋"/>
          <w:b w:val="0"/>
          <w:kern w:val="0"/>
          <w:sz w:val="32"/>
          <w:szCs w:val="32"/>
        </w:rPr>
        <w:t>根据国务院《城市管理行政执法条例》，合理确定管理执法人员配备比例，建议按常驻人口不低于万分之六配置。根据城市管理执法工作特点，科学确定城市管理执法人员的配备比例标准，区域面积大、流动人口多、管理执法任务重的地区，适度调高管理执法人员配备比例。统筹解决好执法人员身份编制问题，在核定的行政编制数额内，具备条件的应当属于行政编制。执法力量要向基层倾斜，适度提高一线特别是城市管理基础较为薄弱的镇（乡）和城郊结合部的执法力量配备比例。</w:t>
      </w:r>
    </w:p>
    <w:p>
      <w:pPr>
        <w:numPr>
          <w:ilvl w:val="0"/>
          <w:numId w:val="42"/>
        </w:num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改善执法装备。</w:t>
      </w:r>
      <w:r>
        <w:rPr>
          <w:rStyle w:val="20"/>
          <w:rFonts w:hint="eastAsia" w:ascii="仿宋" w:hAnsi="仿宋" w:eastAsia="仿宋" w:cs="仿宋"/>
          <w:b w:val="0"/>
          <w:kern w:val="0"/>
          <w:sz w:val="32"/>
          <w:szCs w:val="32"/>
        </w:rPr>
        <w:t>按照智慧城管智能终端建设的要求，强化智能化执法装备，配备智能执法终端，实现视频实时回传，可视化指挥调度。成立市“无人机中队”，增强科技化、动态化、智慧化监管水平。在公务用车制度改革过程中，加快城管执法执勤专用车辆编制的核定。</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（三）严格队伍管理。</w:t>
      </w:r>
      <w:r>
        <w:rPr>
          <w:rStyle w:val="20"/>
          <w:rFonts w:hint="eastAsia" w:ascii="仿宋" w:hAnsi="仿宋" w:eastAsia="仿宋" w:cs="仿宋"/>
          <w:b w:val="0"/>
          <w:kern w:val="0"/>
          <w:sz w:val="32"/>
          <w:szCs w:val="32"/>
        </w:rPr>
        <w:t>严格执法人员素质要求，加强思想道德和素质教育，提升执法人员业务能力，打造政治坚定、作风优良、纪律严明、廉洁务实的执法队伍。坚持德才兼备、以德为先的用人标准，注重选拔对党忠诚、个人干净、敢于担当、善于做群众工作的干部到执法部门任职。建立执法人员参照公务员进行职级并行，解决基层执法队伍基数大、职数少问题，落实职业保障制度，提供均等化的职业发展机会。加强执法队伍队容风纪管理，加强统一规范管理制度、执法标示、执法装备、法律文书等，到2021年底，统一执法制式服装和标志标示。</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（四）加强人才培养。</w:t>
      </w:r>
      <w:r>
        <w:rPr>
          <w:rStyle w:val="20"/>
          <w:rFonts w:hint="eastAsia" w:ascii="仿宋" w:hAnsi="仿宋" w:eastAsia="仿宋" w:cs="仿宋"/>
          <w:b w:val="0"/>
          <w:kern w:val="0"/>
          <w:sz w:val="32"/>
          <w:szCs w:val="32"/>
        </w:rPr>
        <w:t>加强思想道德和素质教育，提升执法人员业务能力，依托行政学院及大专院校等开展城市管理和执法人员业务技能、法制理论培训，创新教育培训方法，实行行政执法人员持证上岗和资格管理制度。按照队伍正规化标准，建设一支信念坚定、执法为民、敢于担当、清正廉洁的城市管理执法队伍。严格执法队员的准入门槛，逐步建立城市管理执法新入职人员岗前培训。强化执法理念和执法业务培训，对全市各层次城市管理执法人员进行针对性、多批次、全覆盖的培训，岗前培训率达到100%。确保科级以上干部职工每年轮训时间不少于1周，并将培训情况纳入个人年度考核。构建城管执法职称评价体系，建立职业化执法队伍。与高校合作，采用“专业培养+社会实践”联合培养的方式，为城市管理储备专业人才。</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（五）规范协管队伍。</w:t>
      </w:r>
      <w:r>
        <w:rPr>
          <w:rStyle w:val="20"/>
          <w:rFonts w:hint="eastAsia" w:ascii="仿宋" w:hAnsi="仿宋" w:eastAsia="仿宋" w:cs="仿宋"/>
          <w:b w:val="0"/>
          <w:kern w:val="0"/>
          <w:sz w:val="32"/>
          <w:szCs w:val="32"/>
        </w:rPr>
        <w:t>按照“总量控制、逐步较少”的原则，合理配置城市管理执法协管人员。加强协管人员的聘用、管理与培训制度，2021年底，建立统一的协管人员招聘、管理、奖惩、退出等制度。充分发挥协管员的作用，明确协管人员职责，主要从事宣传教育、巡查、信息收集、违法行为劝阻等辅助和配合事务，不得从事具体执法工作。按照“谁聘用、谁管理、谁负责”的原则，协管人员从事执法辅助事务以及超越辅助事务所形成的后续责任，由本级城市管理部门承担。</w:t>
      </w:r>
    </w:p>
    <w:p>
      <w:pPr>
        <w:pStyle w:val="16"/>
        <w:numPr>
          <w:ilvl w:val="0"/>
          <w:numId w:val="41"/>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91" w:name="_Toc63246053"/>
      <w:r>
        <w:rPr>
          <w:rStyle w:val="20"/>
          <w:rFonts w:hint="eastAsia" w:ascii="仿宋" w:hAnsi="仿宋" w:eastAsia="仿宋" w:cs="仿宋"/>
          <w:bCs w:val="0"/>
          <w:sz w:val="32"/>
          <w:szCs w:val="32"/>
        </w:rPr>
        <w:t>规范执法行为</w:t>
      </w:r>
      <w:bookmarkEnd w:id="91"/>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（一）制定权责清单。</w:t>
      </w:r>
      <w:r>
        <w:rPr>
          <w:rStyle w:val="20"/>
          <w:rFonts w:hint="eastAsia" w:ascii="仿宋" w:hAnsi="仿宋" w:eastAsia="仿宋" w:cs="仿宋"/>
          <w:b w:val="0"/>
          <w:kern w:val="0"/>
          <w:sz w:val="32"/>
          <w:szCs w:val="32"/>
        </w:rPr>
        <w:t>按照转变政府职能、规范行政权力运行的要求，全面清理调整现有城市管理和综合执法职责，优化权力运行流程。依法建立城市管理和执法部门的权力和责任清单，向社会公开职能职责、执法依据、处罚标准、运行流程、监督途径和问责机制。制定责任清单与权力清单工作要统筹推进，并实行动态管理和调整。优化权力运行流程，理清执法权责清单以及执法与管理的职责边界，细化行政执法自由裁量权标准，完善执法程序，倡导“721”工作法。</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（二）完善执法监督。</w:t>
      </w:r>
      <w:r>
        <w:rPr>
          <w:rStyle w:val="20"/>
          <w:rFonts w:hint="eastAsia" w:ascii="仿宋" w:hAnsi="仿宋" w:eastAsia="仿宋" w:cs="仿宋"/>
          <w:b w:val="0"/>
          <w:kern w:val="0"/>
          <w:sz w:val="32"/>
          <w:szCs w:val="32"/>
        </w:rPr>
        <w:t>完善执法制度，改进执法方式，提高执法能力，把严格规范公正文明执法的要求落实到城市管理执法全过程。建立健全行政处罚适用规则和裁量基准制度、执法全过程记录制度、重大执法决定法制审核制度、执法办案评议考核制度和执法公示制度。按照标准化、流程化、精细化要求，对执法环节、程序和时限作出具体规定，规范执法工作流程，建立健全执法的全流程设计，逐步实现城市管理执法工作全流程覆盖。对现行与城市管理和综合执法体制改革不符的法律法规进行全面梳理，加快制定修订一批具有南昌地方特色的城市管理综合执法方面的地方标准，形成完备的标准体系。全面落实行政执法属地责任制，健全责任追究机制和纠错问责机制，畅通管理相对人监督渠道和行政复议渠道。建立健全督办与督察、督察与监察工作的衔接机制，形成考评、督办、整改、反馈的运行机制。</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（三）改进执法方式。</w:t>
      </w:r>
      <w:r>
        <w:rPr>
          <w:rStyle w:val="20"/>
          <w:rFonts w:hint="eastAsia" w:ascii="仿宋" w:hAnsi="仿宋" w:eastAsia="仿宋" w:cs="仿宋"/>
          <w:b w:val="0"/>
          <w:kern w:val="0"/>
          <w:sz w:val="32"/>
          <w:szCs w:val="32"/>
        </w:rPr>
        <w:t>推动行政执法公示制度、执法全过程记录制度、重大执法决定法制审核制度改革。城市管理执法人员应当严格履行执法程序，做到着装整齐、用语规范、举止文明，依法规范行使行政检查权和行政强制权，严禁随意采取强制执法措施。坚持教育与处罚相结合，根据违法行为的性质和危害后果，灵活运用不同执法方式，对情节较轻或危害后果能够及时消除的，应当多做说服沟通工作，加强教育、告诫、引导。综合运用行政指导、行政奖励、行政扶助、行政调解等非强制行政手段，引导当事人自觉遵守法律法规，及时化解矛盾纷争，促进社会和谐稳定。</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（四）规范执法制度。</w:t>
      </w:r>
      <w:r>
        <w:rPr>
          <w:rStyle w:val="20"/>
          <w:rFonts w:hint="eastAsia" w:ascii="仿宋" w:hAnsi="仿宋" w:eastAsia="仿宋" w:cs="仿宋"/>
          <w:b w:val="0"/>
          <w:kern w:val="0"/>
          <w:sz w:val="32"/>
          <w:szCs w:val="32"/>
        </w:rPr>
        <w:t>完善执法程序，规范办案流程，明确办案时限，提高办案效率；改进执法方式，坚持城管执法为民理念，坚持文明执法，依法规范行使行政检查权和行政强制权，严禁随意采取强制执法措施；完善监督机制，加强执法监督，畅通监督渠道，主动接受法律监督、行政监督、社会监督，全面落实行政执法责任制，健全责任追究机制、纠错问责机制。</w:t>
      </w:r>
    </w:p>
    <w:p>
      <w:pPr>
        <w:spacing w:line="560" w:lineRule="exact"/>
        <w:ind w:firstLine="642" w:firstLineChars="200"/>
        <w:rPr>
          <w:rStyle w:val="20"/>
          <w:rFonts w:ascii="仿宋" w:hAnsi="仿宋" w:eastAsia="仿宋" w:cs="仿宋"/>
          <w:b w:val="0"/>
          <w:kern w:val="0"/>
          <w:sz w:val="32"/>
          <w:szCs w:val="32"/>
        </w:rPr>
      </w:pPr>
      <w:r>
        <w:rPr>
          <w:rStyle w:val="20"/>
          <w:rFonts w:hint="eastAsia" w:ascii="仿宋" w:hAnsi="仿宋" w:eastAsia="仿宋" w:cs="仿宋"/>
          <w:bCs w:val="0"/>
          <w:kern w:val="0"/>
          <w:sz w:val="32"/>
          <w:szCs w:val="32"/>
        </w:rPr>
        <w:t>（五）加强执法规范化。</w:t>
      </w:r>
      <w:r>
        <w:rPr>
          <w:rStyle w:val="20"/>
          <w:rFonts w:hint="eastAsia" w:ascii="仿宋" w:hAnsi="仿宋" w:eastAsia="仿宋" w:cs="仿宋"/>
          <w:b w:val="0"/>
          <w:kern w:val="0"/>
          <w:sz w:val="32"/>
          <w:szCs w:val="32"/>
        </w:rPr>
        <w:t>根据《南昌市城管执法队伍规范化建设手册》要求，围绕“抓基层打基础、严管理促规范、强素质树形象”的工作思路，以“队伍建设展现新气象，依法行政树立新导向”为目标方向，全面加强城市管理执法规范化建设，达到人员配置科学合理、办公用房功能齐全、装备配备标准规范、管理制度健全完善、单位运转高效有力、队伍素质明显提升、经费保障充足到位的建设目标，使全市城市管理执法队伍建设有新起色，队伍素质有新提高，队伍形象有新提升。</w:t>
      </w:r>
    </w:p>
    <w:p>
      <w:pPr>
        <w:pStyle w:val="16"/>
        <w:numPr>
          <w:ilvl w:val="0"/>
          <w:numId w:val="41"/>
        </w:numPr>
        <w:shd w:val="clear" w:color="auto" w:fill="FFFFFF"/>
        <w:spacing w:before="0" w:beforeAutospacing="0" w:after="0" w:afterAutospacing="0" w:line="560" w:lineRule="exact"/>
        <w:ind w:left="0" w:firstLine="642" w:firstLineChars="200"/>
        <w:jc w:val="both"/>
        <w:outlineLvl w:val="2"/>
        <w:rPr>
          <w:rStyle w:val="20"/>
          <w:rFonts w:ascii="仿宋" w:hAnsi="仿宋" w:eastAsia="仿宋" w:cs="仿宋"/>
          <w:bCs w:val="0"/>
          <w:sz w:val="32"/>
          <w:szCs w:val="32"/>
        </w:rPr>
      </w:pPr>
      <w:bookmarkStart w:id="92" w:name="_Toc63246054"/>
      <w:bookmarkStart w:id="93" w:name="_Toc8639218"/>
      <w:r>
        <w:rPr>
          <w:rStyle w:val="20"/>
          <w:rFonts w:hint="eastAsia" w:ascii="仿宋" w:hAnsi="仿宋" w:eastAsia="仿宋" w:cs="仿宋"/>
          <w:bCs w:val="0"/>
          <w:sz w:val="32"/>
          <w:szCs w:val="32"/>
        </w:rPr>
        <w:t>整治</w:t>
      </w:r>
      <w:r>
        <w:rPr>
          <w:rStyle w:val="20"/>
          <w:rFonts w:ascii="仿宋" w:hAnsi="仿宋" w:eastAsia="仿宋" w:cs="仿宋"/>
          <w:bCs w:val="0"/>
          <w:sz w:val="32"/>
          <w:szCs w:val="32"/>
        </w:rPr>
        <w:t>街面秩序</w:t>
      </w:r>
      <w:bookmarkEnd w:id="92"/>
      <w:bookmarkEnd w:id="93"/>
    </w:p>
    <w:p>
      <w:pPr>
        <w:spacing w:line="560" w:lineRule="exact"/>
        <w:ind w:firstLine="642" w:firstLineChars="200"/>
        <w:rPr>
          <w:rStyle w:val="20"/>
          <w:rFonts w:ascii="仿宋" w:hAnsi="仿宋" w:eastAsia="仿宋" w:cs="仿宋"/>
          <w:bCs w:val="0"/>
          <w:kern w:val="0"/>
          <w:sz w:val="32"/>
          <w:szCs w:val="32"/>
        </w:rPr>
      </w:pPr>
      <w:r>
        <w:rPr>
          <w:rStyle w:val="20"/>
          <w:rFonts w:ascii="仿宋" w:hAnsi="仿宋" w:eastAsia="仿宋" w:cs="仿宋"/>
          <w:kern w:val="0"/>
          <w:sz w:val="32"/>
          <w:szCs w:val="32"/>
        </w:rPr>
        <w:t>（</w:t>
      </w:r>
      <w:r>
        <w:rPr>
          <w:rStyle w:val="20"/>
          <w:rFonts w:hint="eastAsia" w:ascii="仿宋" w:hAnsi="仿宋" w:eastAsia="仿宋" w:cs="仿宋"/>
          <w:kern w:val="0"/>
          <w:sz w:val="32"/>
          <w:szCs w:val="32"/>
        </w:rPr>
        <w:t>一</w:t>
      </w:r>
      <w:r>
        <w:rPr>
          <w:rStyle w:val="20"/>
          <w:rFonts w:ascii="仿宋" w:hAnsi="仿宋" w:eastAsia="仿宋" w:cs="仿宋"/>
          <w:kern w:val="0"/>
          <w:sz w:val="32"/>
          <w:szCs w:val="32"/>
        </w:rPr>
        <w:t>）施工围挡整治。</w:t>
      </w:r>
      <w:r>
        <w:rPr>
          <w:rFonts w:hint="eastAsia" w:ascii="仿宋" w:hAnsi="仿宋" w:eastAsia="仿宋" w:cs="仿宋"/>
          <w:sz w:val="32"/>
          <w:szCs w:val="32"/>
        </w:rPr>
        <w:t>坚持“从严审批、合理设置、加强维护、严格时限”的原则，按照“严格、精细、到位、美化”的城市管理要求,进一步落实《南昌市施工围挡设置及维护监督管理办法》、《南昌市施工围挡设置标准图集》。统一围挡样式、落实分类设置、强化执法监管，强力推进围挡专项整治工作，彻底规范施工围挡设置，全面实现施工围挡外观干净、设置规范、特色明显、品位高雅的目标。</w:t>
      </w:r>
    </w:p>
    <w:p>
      <w:pPr>
        <w:spacing w:line="560" w:lineRule="exact"/>
        <w:ind w:firstLine="642" w:firstLineChars="200"/>
        <w:rPr>
          <w:rStyle w:val="20"/>
          <w:rFonts w:ascii="仿宋" w:hAnsi="仿宋" w:eastAsia="仿宋" w:cs="仿宋"/>
          <w:b w:val="0"/>
          <w:bCs w:val="0"/>
          <w:kern w:val="0"/>
          <w:sz w:val="32"/>
          <w:szCs w:val="32"/>
        </w:rPr>
      </w:pPr>
      <w:r>
        <w:rPr>
          <w:rStyle w:val="20"/>
          <w:rFonts w:ascii="仿宋" w:hAnsi="仿宋" w:eastAsia="仿宋" w:cs="仿宋"/>
          <w:bCs w:val="0"/>
          <w:kern w:val="0"/>
          <w:sz w:val="32"/>
          <w:szCs w:val="32"/>
        </w:rPr>
        <w:t>（</w:t>
      </w:r>
      <w:r>
        <w:rPr>
          <w:rStyle w:val="20"/>
          <w:rFonts w:hint="eastAsia" w:ascii="仿宋" w:hAnsi="仿宋" w:eastAsia="仿宋" w:cs="仿宋"/>
          <w:bCs w:val="0"/>
          <w:kern w:val="0"/>
          <w:sz w:val="32"/>
          <w:szCs w:val="32"/>
        </w:rPr>
        <w:t>二</w:t>
      </w:r>
      <w:r>
        <w:rPr>
          <w:rStyle w:val="20"/>
          <w:rFonts w:ascii="仿宋" w:hAnsi="仿宋" w:eastAsia="仿宋" w:cs="仿宋"/>
          <w:bCs w:val="0"/>
          <w:kern w:val="0"/>
          <w:sz w:val="32"/>
          <w:szCs w:val="32"/>
        </w:rPr>
        <w:t>）违法建设治理。</w:t>
      </w:r>
      <w:r>
        <w:rPr>
          <w:rStyle w:val="20"/>
          <w:rFonts w:ascii="仿宋" w:hAnsi="仿宋" w:eastAsia="仿宋" w:cs="仿宋"/>
          <w:b w:val="0"/>
          <w:kern w:val="0"/>
          <w:sz w:val="32"/>
          <w:szCs w:val="32"/>
        </w:rPr>
        <w:t>违法建设治理。</w:t>
      </w:r>
      <w:r>
        <w:rPr>
          <w:rStyle w:val="20"/>
          <w:rFonts w:hint="eastAsia" w:ascii="仿宋" w:hAnsi="仿宋" w:eastAsia="仿宋" w:cs="仿宋"/>
          <w:b w:val="0"/>
          <w:kern w:val="0"/>
          <w:sz w:val="32"/>
          <w:szCs w:val="32"/>
        </w:rPr>
        <w:t>持续开展建成区违法建设专项治理行动</w:t>
      </w:r>
      <w:r>
        <w:rPr>
          <w:rStyle w:val="20"/>
          <w:rFonts w:ascii="仿宋" w:hAnsi="仿宋" w:eastAsia="仿宋" w:cs="仿宋"/>
          <w:b w:val="0"/>
          <w:kern w:val="0"/>
          <w:sz w:val="32"/>
          <w:szCs w:val="32"/>
        </w:rPr>
        <w:t>。</w:t>
      </w:r>
      <w:r>
        <w:rPr>
          <w:rStyle w:val="20"/>
          <w:rFonts w:hint="eastAsia" w:ascii="仿宋" w:hAnsi="仿宋" w:eastAsia="仿宋" w:cs="仿宋"/>
          <w:b w:val="0"/>
          <w:kern w:val="0"/>
          <w:sz w:val="32"/>
          <w:szCs w:val="32"/>
        </w:rPr>
        <w:t>按照网络化的管理要求，全面落实“定区域、定岗位、定责任、定人员”的管控制度，加强技防措施，不断完善智慧城管系统功能，逐步实现“天上看、地上查、网上管”。充分运用行政管理、行政执法、行政监察、司法介入、典型曝光等多种手段，加强执法联动。按照“及时发现、及时报告、及时处理”的要求，快速拆除在建违法建设，坚决遏制新增违法建设，并形成长效管理机制，</w:t>
      </w:r>
      <w:r>
        <w:rPr>
          <w:rStyle w:val="20"/>
          <w:rFonts w:ascii="仿宋" w:hAnsi="仿宋" w:eastAsia="仿宋" w:cs="仿宋"/>
          <w:b w:val="0"/>
          <w:kern w:val="0"/>
          <w:sz w:val="32"/>
          <w:szCs w:val="32"/>
        </w:rPr>
        <w:t>到202</w:t>
      </w:r>
      <w:r>
        <w:rPr>
          <w:rStyle w:val="20"/>
          <w:rFonts w:hint="eastAsia" w:ascii="仿宋" w:hAnsi="仿宋" w:eastAsia="仿宋" w:cs="仿宋"/>
          <w:b w:val="0"/>
          <w:kern w:val="0"/>
          <w:sz w:val="32"/>
          <w:szCs w:val="32"/>
        </w:rPr>
        <w:t>5</w:t>
      </w:r>
      <w:r>
        <w:rPr>
          <w:rStyle w:val="20"/>
          <w:rFonts w:ascii="仿宋" w:hAnsi="仿宋" w:eastAsia="仿宋" w:cs="仿宋"/>
          <w:b w:val="0"/>
          <w:kern w:val="0"/>
          <w:sz w:val="32"/>
          <w:szCs w:val="32"/>
        </w:rPr>
        <w:t>年新增违法建设做到“零增长”</w:t>
      </w:r>
      <w:r>
        <w:rPr>
          <w:rStyle w:val="20"/>
          <w:rFonts w:hint="eastAsia" w:ascii="仿宋" w:hAnsi="仿宋" w:eastAsia="仿宋" w:cs="仿宋"/>
          <w:b w:val="0"/>
          <w:kern w:val="0"/>
          <w:sz w:val="32"/>
          <w:szCs w:val="32"/>
        </w:rPr>
        <w:t>；综合施策、分类消除历史遗留存量违法建设。</w:t>
      </w:r>
    </w:p>
    <w:p>
      <w:pPr>
        <w:spacing w:line="560" w:lineRule="exact"/>
        <w:ind w:firstLine="642" w:firstLineChars="200"/>
        <w:rPr>
          <w:rStyle w:val="20"/>
          <w:rFonts w:ascii="仿宋" w:hAnsi="仿宋" w:eastAsia="仿宋" w:cs="仿宋"/>
          <w:bCs w:val="0"/>
          <w:kern w:val="0"/>
          <w:sz w:val="32"/>
          <w:szCs w:val="32"/>
        </w:rPr>
      </w:pPr>
      <w:r>
        <w:rPr>
          <w:rStyle w:val="20"/>
          <w:rFonts w:hint="eastAsia" w:ascii="仿宋" w:hAnsi="仿宋" w:eastAsia="仿宋" w:cs="仿宋"/>
          <w:bCs w:val="0"/>
          <w:kern w:val="0"/>
          <w:sz w:val="32"/>
          <w:szCs w:val="32"/>
        </w:rPr>
        <w:t>（</w:t>
      </w:r>
      <w:r>
        <w:rPr>
          <w:rStyle w:val="20"/>
          <w:rFonts w:ascii="仿宋" w:hAnsi="仿宋" w:eastAsia="仿宋" w:cs="仿宋"/>
          <w:bCs w:val="0"/>
          <w:kern w:val="0"/>
          <w:sz w:val="32"/>
          <w:szCs w:val="32"/>
        </w:rPr>
        <w:t>三</w:t>
      </w:r>
      <w:r>
        <w:rPr>
          <w:rStyle w:val="20"/>
          <w:rFonts w:hint="eastAsia" w:ascii="仿宋" w:hAnsi="仿宋" w:eastAsia="仿宋" w:cs="仿宋"/>
          <w:bCs w:val="0"/>
          <w:kern w:val="0"/>
          <w:sz w:val="32"/>
          <w:szCs w:val="32"/>
        </w:rPr>
        <w:t>）规范建筑垃圾运输。</w:t>
      </w:r>
      <w:r>
        <w:rPr>
          <w:rStyle w:val="20"/>
          <w:rFonts w:hint="eastAsia" w:ascii="仿宋" w:hAnsi="仿宋" w:eastAsia="仿宋" w:cs="仿宋"/>
          <w:b w:val="0"/>
          <w:bCs w:val="0"/>
          <w:kern w:val="0"/>
          <w:sz w:val="32"/>
          <w:szCs w:val="32"/>
        </w:rPr>
        <w:t>根据《南昌市城市</w:t>
      </w:r>
      <w:r>
        <w:rPr>
          <w:rStyle w:val="20"/>
          <w:rFonts w:ascii="仿宋" w:hAnsi="仿宋" w:eastAsia="仿宋" w:cs="仿宋"/>
          <w:b w:val="0"/>
          <w:bCs w:val="0"/>
          <w:kern w:val="0"/>
          <w:sz w:val="32"/>
          <w:szCs w:val="32"/>
        </w:rPr>
        <w:t>建筑垃圾管理条例</w:t>
      </w:r>
      <w:r>
        <w:rPr>
          <w:rStyle w:val="20"/>
          <w:rFonts w:hint="eastAsia" w:ascii="仿宋" w:hAnsi="仿宋" w:eastAsia="仿宋" w:cs="仿宋"/>
          <w:b w:val="0"/>
          <w:bCs w:val="0"/>
          <w:kern w:val="0"/>
          <w:sz w:val="32"/>
          <w:szCs w:val="32"/>
        </w:rPr>
        <w:t>》《关于进一步做好全市建筑垃圾及散装物料运输管理的实施方案》要求，严格按照工地出入口“四不开工、四不出门”原则，采取“管控全区域、巡查全路段、整治全天候”的执法方式，全面推广新型密闭运输车，设立建筑垃圾执法勤务岗亭，重点从强化工地源头管理、规范车辆运输、工地出入口安装远程视频监控等方面加强渣余土运输管理。保持渣土运输管理的高压态势，扩大全密闭渣土运输重点区域范围，严厉打击非法运输渣土行为，有效发挥建筑垃圾运输车辆监管系统平台的作用，对全市1100辆密闭渣土车辆启用在线监控，建立渣土运输管理信息平台与路面执法队伍协调联动的工作机制，实现卫星定位监测、建设工程施工、渣土处置、运输车辆通行、渣土运输违法行为查处、扬尘污染防治管理等信息共享。建立渣土运输管理监督举报制度。任何单位和个人有权对渣土运输违法行为、渣土运输管理和执法活动进行监督举报。</w:t>
      </w:r>
    </w:p>
    <w:p>
      <w:pPr>
        <w:spacing w:line="560" w:lineRule="exact"/>
        <w:ind w:firstLine="642" w:firstLineChars="200"/>
        <w:rPr>
          <w:rStyle w:val="20"/>
          <w:rFonts w:ascii="仿宋" w:hAnsi="仿宋" w:eastAsia="仿宋" w:cs="仿宋"/>
          <w:bCs w:val="0"/>
          <w:kern w:val="0"/>
          <w:sz w:val="32"/>
          <w:szCs w:val="32"/>
        </w:rPr>
      </w:pPr>
      <w:r>
        <w:rPr>
          <w:rStyle w:val="20"/>
          <w:rFonts w:ascii="仿宋" w:hAnsi="仿宋" w:eastAsia="仿宋" w:cs="仿宋"/>
          <w:bCs w:val="0"/>
          <w:kern w:val="0"/>
          <w:sz w:val="32"/>
          <w:szCs w:val="32"/>
        </w:rPr>
        <w:t>（</w:t>
      </w:r>
      <w:r>
        <w:rPr>
          <w:rStyle w:val="20"/>
          <w:rFonts w:hint="eastAsia" w:ascii="仿宋" w:hAnsi="仿宋" w:eastAsia="仿宋" w:cs="仿宋"/>
          <w:bCs w:val="0"/>
          <w:kern w:val="0"/>
          <w:sz w:val="32"/>
          <w:szCs w:val="32"/>
        </w:rPr>
        <w:t>四</w:t>
      </w:r>
      <w:r>
        <w:rPr>
          <w:rStyle w:val="20"/>
          <w:rFonts w:ascii="仿宋" w:hAnsi="仿宋" w:eastAsia="仿宋" w:cs="仿宋"/>
          <w:bCs w:val="0"/>
          <w:kern w:val="0"/>
          <w:sz w:val="32"/>
          <w:szCs w:val="32"/>
        </w:rPr>
        <w:t>）</w:t>
      </w:r>
      <w:r>
        <w:rPr>
          <w:rStyle w:val="20"/>
          <w:rFonts w:ascii="仿宋" w:hAnsi="仿宋" w:eastAsia="仿宋" w:cs="仿宋"/>
          <w:kern w:val="0"/>
          <w:sz w:val="32"/>
          <w:szCs w:val="32"/>
        </w:rPr>
        <w:t>非机车（含共享单车）停放秩序治理。</w:t>
      </w:r>
      <w:r>
        <w:rPr>
          <w:rStyle w:val="20"/>
          <w:rFonts w:hint="eastAsia" w:ascii="仿宋" w:hAnsi="仿宋" w:eastAsia="仿宋" w:cs="仿宋"/>
          <w:kern w:val="0"/>
          <w:sz w:val="32"/>
          <w:szCs w:val="32"/>
        </w:rPr>
        <w:t>持续开展非机动车停放整治行动，规范停放秩序，创新管理模式，提升停放管理水平</w:t>
      </w:r>
      <w:r>
        <w:rPr>
          <w:rStyle w:val="20"/>
          <w:rFonts w:ascii="仿宋" w:hAnsi="仿宋" w:eastAsia="仿宋" w:cs="仿宋"/>
          <w:kern w:val="0"/>
          <w:sz w:val="32"/>
          <w:szCs w:val="32"/>
        </w:rPr>
        <w:t>。</w:t>
      </w:r>
      <w:r>
        <w:rPr>
          <w:rFonts w:hint="eastAsia" w:ascii="仿宋_GB2312" w:hAnsi="仿宋_GB2312" w:eastAsia="仿宋_GB2312" w:cs="仿宋_GB2312"/>
          <w:sz w:val="32"/>
          <w:szCs w:val="32"/>
        </w:rPr>
        <w:t>加大对共享单车、共享电动车规范停放的监管，将运营企业车辆信息、停放秩序、线下运维、应急处置管理纳入考核体系，综合采取经济处罚、个人信用评价等措施，有效规范用户车辆停放。</w:t>
      </w:r>
      <w:r>
        <w:rPr>
          <w:rStyle w:val="20"/>
          <w:rFonts w:ascii="仿宋" w:hAnsi="仿宋" w:eastAsia="仿宋" w:cs="仿宋"/>
          <w:kern w:val="0"/>
          <w:sz w:val="32"/>
          <w:szCs w:val="32"/>
        </w:rPr>
        <w:t>按照《南昌市城区公共区域非机动车停放区设置技术导则》的要求，</w:t>
      </w:r>
      <w:r>
        <w:rPr>
          <w:rFonts w:hint="eastAsia" w:ascii="仿宋_GB2312" w:hAnsi="仿宋_GB2312" w:eastAsia="仿宋_GB2312" w:cs="仿宋_GB2312"/>
          <w:sz w:val="32"/>
          <w:szCs w:val="32"/>
        </w:rPr>
        <w:t>指导各县区（开发区、湾里管理局）优化非机动车停放点的设置，按照“交通相宜、衔接接驳、规模适度、因地制宜”的原则，科学有序设置停放点位。</w:t>
      </w:r>
      <w:r>
        <w:rPr>
          <w:rStyle w:val="20"/>
          <w:rFonts w:hint="eastAsia" w:ascii="仿宋" w:hAnsi="仿宋" w:eastAsia="仿宋" w:cs="仿宋"/>
          <w:kern w:val="0"/>
          <w:sz w:val="32"/>
          <w:szCs w:val="32"/>
        </w:rPr>
        <w:t>强化非机动车日常管理，持续推广“路长制”、“电子围栏”等共享单车管理模式，通过强化执法部门的监督管理，运营企业主体责任的落实，市民文明骑行的宣传引导，市场配置管理的技术创新，建立健全非机动车规范管理的长效机制，形成部门企业市民多方形成合力齐抓共管的良好局面，确保非机动车管理规范停放有序</w:t>
      </w:r>
      <w:r>
        <w:rPr>
          <w:rStyle w:val="20"/>
          <w:rFonts w:ascii="仿宋" w:hAnsi="仿宋" w:eastAsia="仿宋" w:cs="仿宋"/>
          <w:kern w:val="0"/>
          <w:sz w:val="32"/>
          <w:szCs w:val="32"/>
        </w:rPr>
        <w:t>。</w:t>
      </w:r>
    </w:p>
    <w:p>
      <w:pPr>
        <w:spacing w:line="560" w:lineRule="exact"/>
        <w:ind w:firstLine="642" w:firstLineChars="200"/>
        <w:rPr>
          <w:rStyle w:val="20"/>
          <w:rFonts w:ascii="仿宋" w:hAnsi="仿宋" w:eastAsia="仿宋" w:cs="仿宋"/>
          <w:bCs w:val="0"/>
          <w:kern w:val="0"/>
          <w:sz w:val="32"/>
          <w:szCs w:val="32"/>
        </w:rPr>
      </w:pPr>
      <w:r>
        <w:rPr>
          <w:rStyle w:val="20"/>
          <w:rFonts w:ascii="仿宋" w:hAnsi="仿宋" w:eastAsia="仿宋" w:cs="仿宋"/>
          <w:bCs w:val="0"/>
          <w:kern w:val="0"/>
          <w:sz w:val="32"/>
          <w:szCs w:val="32"/>
        </w:rPr>
        <w:t>（五）</w:t>
      </w:r>
      <w:r>
        <w:rPr>
          <w:rStyle w:val="20"/>
          <w:rFonts w:ascii="仿宋" w:hAnsi="仿宋" w:eastAsia="仿宋" w:cs="仿宋"/>
          <w:kern w:val="0"/>
          <w:sz w:val="32"/>
          <w:szCs w:val="32"/>
        </w:rPr>
        <w:t>占道摊点整治。</w:t>
      </w:r>
      <w:r>
        <w:rPr>
          <w:rFonts w:hint="eastAsia" w:ascii="仿宋" w:hAnsi="仿宋" w:eastAsia="仿宋" w:cs="仿宋"/>
          <w:sz w:val="32"/>
          <w:szCs w:val="32"/>
          <w:shd w:val="clear" w:color="auto" w:fill="FFFFFF"/>
        </w:rPr>
        <w:t>按照“区为主体、合理规划、疏堵结合、严管重罚”的工作要求，以建设“干净整齐、畅通有序、文明友善、和谐宜居”城市为目标，加强占道摊贩的管理，强化占道经营督查整改实效，坚持“坐商入店、游商入摊”的原则，在有条件的区域分类设置临时摊点疏导区，按网格化要求规范管理。及时清理规范各类占道亭棚，整治占道活禽宰杀、贩卖野生动物及其它各类流动摊贩，不断提高市民群众的获得感。</w:t>
      </w:r>
    </w:p>
    <w:p>
      <w:pPr>
        <w:spacing w:line="560" w:lineRule="exact"/>
        <w:ind w:firstLine="642" w:firstLineChars="200"/>
        <w:rPr>
          <w:rStyle w:val="20"/>
          <w:rFonts w:ascii="仿宋" w:hAnsi="仿宋" w:eastAsia="仿宋" w:cs="仿宋"/>
          <w:bCs w:val="0"/>
          <w:kern w:val="0"/>
          <w:sz w:val="32"/>
          <w:szCs w:val="32"/>
        </w:rPr>
      </w:pPr>
      <w:r>
        <w:rPr>
          <w:rStyle w:val="20"/>
          <w:rFonts w:ascii="仿宋" w:hAnsi="仿宋" w:eastAsia="仿宋" w:cs="仿宋"/>
          <w:bCs w:val="0"/>
          <w:kern w:val="0"/>
          <w:sz w:val="32"/>
          <w:szCs w:val="32"/>
        </w:rPr>
        <w:t>（六）建筑工地整治。</w:t>
      </w:r>
      <w:r>
        <w:rPr>
          <w:rStyle w:val="20"/>
          <w:rFonts w:ascii="仿宋" w:hAnsi="仿宋" w:eastAsia="仿宋" w:cs="仿宋"/>
          <w:b w:val="0"/>
          <w:bCs w:val="0"/>
          <w:kern w:val="0"/>
          <w:sz w:val="32"/>
          <w:szCs w:val="32"/>
        </w:rPr>
        <w:t>落实责任、严格监督，对市区所有建筑工地、闲置用地进行全面检查，严格落实工地“</w:t>
      </w:r>
      <w:r>
        <w:rPr>
          <w:rStyle w:val="20"/>
          <w:rFonts w:hint="eastAsia" w:ascii="仿宋" w:hAnsi="仿宋" w:eastAsia="仿宋" w:cs="仿宋"/>
          <w:b w:val="0"/>
          <w:bCs w:val="0"/>
          <w:kern w:val="0"/>
          <w:sz w:val="32"/>
          <w:szCs w:val="32"/>
        </w:rPr>
        <w:t>四</w:t>
      </w:r>
      <w:r>
        <w:rPr>
          <w:rStyle w:val="20"/>
          <w:rFonts w:ascii="仿宋" w:hAnsi="仿宋" w:eastAsia="仿宋" w:cs="仿宋"/>
          <w:b w:val="0"/>
          <w:bCs w:val="0"/>
          <w:kern w:val="0"/>
          <w:sz w:val="32"/>
          <w:szCs w:val="32"/>
        </w:rPr>
        <w:t>不开工、四不出门”管理措施，做到施工现场周边</w:t>
      </w:r>
      <w:r>
        <w:rPr>
          <w:rStyle w:val="20"/>
          <w:rFonts w:hint="eastAsia" w:ascii="仿宋" w:hAnsi="仿宋" w:eastAsia="仿宋" w:cs="仿宋"/>
          <w:b w:val="0"/>
          <w:bCs w:val="0"/>
          <w:kern w:val="0"/>
          <w:sz w:val="32"/>
          <w:szCs w:val="32"/>
        </w:rPr>
        <w:t>100%围挡，工地物料堆放100%覆盖，工地路面100%硬化，土方开挖100%湿法作业，出工地车辆100%冲洗，渣土车辆运输100%密闭。到2020年底，县级以上建成区建筑工地达到“六个百分百”要求，到2021年底前，全市所有建筑工地全部达到“六个百分百”要求。</w:t>
      </w:r>
      <w:r>
        <w:rPr>
          <w:rStyle w:val="20"/>
          <w:rFonts w:ascii="仿宋" w:hAnsi="仿宋" w:eastAsia="仿宋" w:cs="仿宋"/>
          <w:b w:val="0"/>
          <w:bCs w:val="0"/>
          <w:kern w:val="0"/>
          <w:sz w:val="32"/>
          <w:szCs w:val="32"/>
        </w:rPr>
        <w:t>推动建筑工地专项整治各项工作深入持久地开展，要遏制野蛮施工、粗放施工。积极推广使用自动化、机械化的高效降尘设备设施，提高建筑工程、市政工程和拆除工程施工的文明程度。鼓励施工单位研究开发运用绿色环保施工技术、工艺和设备，控制建筑施工扬尘对大气造成的污染。切实改善城市投资环境，实现市容环境有效提升。</w:t>
      </w:r>
    </w:p>
    <w:p>
      <w:pPr>
        <w:spacing w:line="560" w:lineRule="exact"/>
        <w:ind w:firstLine="642" w:firstLineChars="200"/>
        <w:rPr>
          <w:rStyle w:val="20"/>
          <w:rFonts w:ascii="仿宋" w:hAnsi="仿宋" w:eastAsia="仿宋" w:cs="仿宋"/>
          <w:bCs w:val="0"/>
          <w:kern w:val="0"/>
          <w:sz w:val="32"/>
          <w:szCs w:val="32"/>
        </w:rPr>
      </w:pPr>
      <w:r>
        <w:rPr>
          <w:rStyle w:val="20"/>
          <w:rFonts w:ascii="仿宋" w:hAnsi="仿宋" w:eastAsia="仿宋" w:cs="仿宋"/>
          <w:bCs w:val="0"/>
          <w:kern w:val="0"/>
          <w:sz w:val="32"/>
          <w:szCs w:val="32"/>
        </w:rPr>
        <w:t>（七）农贸市场整治。</w:t>
      </w:r>
      <w:r>
        <w:rPr>
          <w:rStyle w:val="20"/>
          <w:rFonts w:hint="eastAsia" w:ascii="仿宋" w:hAnsi="仿宋" w:eastAsia="仿宋" w:cs="仿宋"/>
          <w:b w:val="0"/>
          <w:bCs w:val="0"/>
          <w:kern w:val="0"/>
          <w:sz w:val="32"/>
          <w:szCs w:val="32"/>
        </w:rPr>
        <w:t>围绕“干净、整洁、有序、便民”的要求，强化日常监管，不断提升现有101个农贸市场管理水平，不断完善农贸市场基础设施条件，全力打造环境干净整洁、经营秩序井然、管理文明规范、基础设施完善、面貌焕然一新、人民群众满意“全省领先、全国一流”的农贸市场。2021年，集中力量对城区农贸市场进行专项整治，建立健全农贸市场长效管理考核机制，有效破解农贸市场长效管理难题，实现农贸市场日常管理精准化、规范化、常态化。2025年，城区农贸市场改造提升和环境整治得到明显改善，建立完善长效管理机制。</w:t>
      </w:r>
    </w:p>
    <w:p>
      <w:pPr>
        <w:spacing w:line="560" w:lineRule="exact"/>
        <w:ind w:firstLine="642" w:firstLineChars="200"/>
        <w:rPr>
          <w:rStyle w:val="20"/>
          <w:rFonts w:ascii="仿宋" w:hAnsi="仿宋" w:eastAsia="仿宋" w:cs="仿宋"/>
          <w:b w:val="0"/>
          <w:kern w:val="0"/>
          <w:sz w:val="32"/>
          <w:szCs w:val="32"/>
        </w:rPr>
      </w:pPr>
      <w:r>
        <w:rPr>
          <w:rStyle w:val="20"/>
          <w:rFonts w:ascii="仿宋" w:hAnsi="仿宋" w:eastAsia="仿宋" w:cs="仿宋"/>
          <w:bCs w:val="0"/>
          <w:kern w:val="0"/>
          <w:sz w:val="32"/>
          <w:szCs w:val="32"/>
        </w:rPr>
        <w:t>（八）“六小”乱象整治。</w:t>
      </w:r>
      <w:r>
        <w:rPr>
          <w:rStyle w:val="20"/>
          <w:rFonts w:ascii="仿宋" w:hAnsi="仿宋" w:eastAsia="仿宋" w:cs="仿宋"/>
          <w:b w:val="0"/>
          <w:bCs w:val="0"/>
          <w:kern w:val="0"/>
          <w:sz w:val="32"/>
          <w:szCs w:val="32"/>
        </w:rPr>
        <w:t>全面提高全市“六小”（指小餐饮、小食品店、小浴室、小美容美发店、小歌舞厅、小旅馆等）行业经营者的依法经营意识和卫生管理水平，切实改善“六小”行业环境卫生状况。做到许可证、营业执照等证照齐全，悬挂在醒目位置。管理制度健全，实现卫生管理制度上墙，消毒设施齐全，操作规范，从业人员持有有效的健康证和卫生知识培训合格证，共同保护消费者合法权益，基本符合“六小”行业标准。</w:t>
      </w:r>
      <w:r>
        <w:rPr>
          <w:rStyle w:val="20"/>
          <w:rFonts w:hint="eastAsia" w:ascii="仿宋" w:hAnsi="仿宋" w:eastAsia="仿宋" w:cs="仿宋"/>
          <w:b w:val="0"/>
          <w:kern w:val="0"/>
          <w:sz w:val="32"/>
          <w:szCs w:val="32"/>
        </w:rPr>
        <w:br w:type="page"/>
      </w:r>
    </w:p>
    <w:p>
      <w:pPr>
        <w:pStyle w:val="28"/>
        <w:numPr>
          <w:ilvl w:val="0"/>
          <w:numId w:val="1"/>
        </w:numPr>
        <w:spacing w:beforeLines="100" w:afterLines="100" w:line="360" w:lineRule="auto"/>
        <w:ind w:firstLineChars="0"/>
        <w:jc w:val="center"/>
        <w:outlineLvl w:val="0"/>
        <w:rPr>
          <w:rFonts w:ascii="Times New Roman" w:hAnsi="Times New Roman" w:eastAsia="黑体" w:cs="Times New Roman"/>
          <w:sz w:val="44"/>
          <w:szCs w:val="44"/>
        </w:rPr>
      </w:pPr>
      <w:bookmarkStart w:id="94" w:name="_Toc8639242"/>
      <w:bookmarkStart w:id="95" w:name="_Toc63246055"/>
      <w:r>
        <w:rPr>
          <w:rFonts w:hint="eastAsia" w:ascii="Times New Roman" w:hAnsi="Times New Roman" w:eastAsia="黑体" w:cs="Times New Roman"/>
          <w:sz w:val="44"/>
          <w:szCs w:val="44"/>
        </w:rPr>
        <w:t>保障措施</w:t>
      </w:r>
      <w:bookmarkEnd w:id="94"/>
      <w:bookmarkEnd w:id="95"/>
    </w:p>
    <w:p>
      <w:pPr>
        <w:spacing w:beforeLines="50" w:afterLines="50" w:line="560" w:lineRule="exact"/>
        <w:jc w:val="center"/>
        <w:outlineLvl w:val="1"/>
        <w:rPr>
          <w:rFonts w:ascii="仿宋" w:hAnsi="仿宋" w:eastAsia="仿宋" w:cs="仿宋"/>
          <w:b/>
          <w:bCs/>
          <w:sz w:val="32"/>
          <w:szCs w:val="32"/>
        </w:rPr>
      </w:pPr>
      <w:bookmarkStart w:id="96" w:name="_Toc63246056"/>
      <w:bookmarkStart w:id="97" w:name="_Toc8639243"/>
      <w:r>
        <w:rPr>
          <w:rFonts w:hint="eastAsia" w:ascii="仿宋" w:hAnsi="仿宋" w:eastAsia="仿宋" w:cs="仿宋"/>
          <w:b/>
          <w:bCs/>
          <w:sz w:val="32"/>
          <w:szCs w:val="32"/>
        </w:rPr>
        <w:t>第一节  加强组织领导</w:t>
      </w:r>
      <w:bookmarkEnd w:id="96"/>
      <w:bookmarkEnd w:id="97"/>
    </w:p>
    <w:p>
      <w:pPr>
        <w:spacing w:line="560" w:lineRule="exact"/>
        <w:ind w:firstLine="640" w:firstLineChars="200"/>
        <w:jc w:val="left"/>
        <w:rPr>
          <w:rStyle w:val="20"/>
          <w:rFonts w:ascii="仿宋" w:hAnsi="仿宋" w:eastAsia="仿宋" w:cs="仿宋"/>
          <w:b w:val="0"/>
          <w:sz w:val="32"/>
          <w:szCs w:val="32"/>
        </w:rPr>
      </w:pPr>
      <w:r>
        <w:rPr>
          <w:rStyle w:val="20"/>
          <w:rFonts w:hint="eastAsia" w:ascii="仿宋" w:hAnsi="仿宋" w:eastAsia="仿宋" w:cs="仿宋"/>
          <w:b w:val="0"/>
          <w:sz w:val="32"/>
          <w:szCs w:val="32"/>
        </w:rPr>
        <w:t>建立规划实施保障机制。建立组织领导机制，成立规划实施领导小组，制定组织领导制度，协调解决规划实施中的重大问题，监督检查重大事项进展和落实情况。建立规划目标管理责任制，将本规划确定的相关任务分解纳入各部门年度工作目标，切实抓好落实。建立规划实施科学考核评价机制，加强规划实施的宣传和民主监督，形成全社会关心规划、参与实施和共同监督的良好氛围。</w:t>
      </w:r>
    </w:p>
    <w:p>
      <w:pPr>
        <w:spacing w:line="560" w:lineRule="exact"/>
        <w:ind w:firstLine="640" w:firstLineChars="200"/>
        <w:jc w:val="left"/>
        <w:rPr>
          <w:rStyle w:val="20"/>
          <w:rFonts w:ascii="仿宋" w:hAnsi="仿宋" w:eastAsia="仿宋" w:cs="仿宋"/>
          <w:b w:val="0"/>
          <w:sz w:val="32"/>
          <w:szCs w:val="32"/>
        </w:rPr>
      </w:pPr>
      <w:r>
        <w:rPr>
          <w:rStyle w:val="20"/>
          <w:rFonts w:hint="eastAsia" w:ascii="仿宋" w:hAnsi="仿宋" w:eastAsia="仿宋" w:cs="仿宋"/>
          <w:b w:val="0"/>
          <w:sz w:val="32"/>
          <w:szCs w:val="32"/>
        </w:rPr>
        <w:t>建立规划实施和评估机制。加强对规划实施情况跟踪分析，自觉接受上级部门及公众的监督检查，在规划实施的中期阶段，按照市政府部署开展全面评估，并根据形势变化和实际需要，对规划目标、任务适时进行必要的调整。完善统计制度，进一步加强统计信息工作，提高城市管理规划实施和运行效益的分析水平。</w:t>
      </w:r>
    </w:p>
    <w:p>
      <w:pPr>
        <w:spacing w:beforeLines="50" w:afterLines="50" w:line="560" w:lineRule="exact"/>
        <w:jc w:val="center"/>
        <w:outlineLvl w:val="1"/>
        <w:rPr>
          <w:rFonts w:ascii="仿宋" w:hAnsi="仿宋" w:eastAsia="仿宋" w:cs="仿宋"/>
          <w:b/>
          <w:bCs/>
          <w:sz w:val="32"/>
          <w:szCs w:val="32"/>
        </w:rPr>
      </w:pPr>
      <w:bookmarkStart w:id="98" w:name="_Toc8639244"/>
      <w:bookmarkStart w:id="99" w:name="_Toc63246057"/>
      <w:r>
        <w:rPr>
          <w:rFonts w:hint="eastAsia" w:ascii="仿宋" w:hAnsi="仿宋" w:eastAsia="仿宋" w:cs="仿宋"/>
          <w:b/>
          <w:bCs/>
          <w:sz w:val="32"/>
          <w:szCs w:val="32"/>
        </w:rPr>
        <w:t>第二节  严格监督考核</w:t>
      </w:r>
      <w:bookmarkEnd w:id="98"/>
      <w:bookmarkEnd w:id="99"/>
    </w:p>
    <w:p>
      <w:pPr>
        <w:spacing w:line="560" w:lineRule="exact"/>
        <w:ind w:firstLine="640" w:firstLineChars="200"/>
        <w:jc w:val="left"/>
        <w:rPr>
          <w:rStyle w:val="20"/>
          <w:rFonts w:ascii="仿宋" w:hAnsi="仿宋" w:eastAsia="仿宋" w:cs="仿宋"/>
          <w:b w:val="0"/>
          <w:sz w:val="32"/>
          <w:szCs w:val="32"/>
        </w:rPr>
      </w:pPr>
      <w:r>
        <w:rPr>
          <w:rStyle w:val="20"/>
          <w:rFonts w:hint="eastAsia" w:ascii="仿宋" w:hAnsi="仿宋" w:eastAsia="仿宋" w:cs="仿宋"/>
          <w:b w:val="0"/>
          <w:sz w:val="32"/>
          <w:szCs w:val="32"/>
        </w:rPr>
        <w:t>健全监督考核制度。完善监督考核体系，制定考核评价办法，健全监督检查责任区、日督查月通报、警示约谈等制度，实施常态化监督考评。将城市管理工作纳入经济社会发展综合评价体系和领导干部政绩考核体系，推动地方党委、政府履职尽责。推广绩效管理和服务承诺制度，加快建立城市管理行政问责制度，健全社会公众满意度评价及第三方考评机制，形成公开、公平、公正的城市管理和综合执法工作考核奖惩制度体系，严格落实城市管理、执法和服务责任清单，对不作为、慢作为、乱作为、虚作为等行为，按规定对相关责任单位和责任人进行问责。建立健全投诉、监督、查处机制。</w:t>
      </w:r>
    </w:p>
    <w:p>
      <w:pPr>
        <w:spacing w:line="560" w:lineRule="exact"/>
        <w:ind w:firstLine="640" w:firstLineChars="200"/>
        <w:jc w:val="left"/>
        <w:rPr>
          <w:rStyle w:val="20"/>
          <w:rFonts w:ascii="仿宋" w:hAnsi="仿宋" w:eastAsia="仿宋" w:cs="仿宋"/>
          <w:b w:val="0"/>
          <w:sz w:val="32"/>
          <w:szCs w:val="32"/>
        </w:rPr>
      </w:pPr>
      <w:r>
        <w:rPr>
          <w:rStyle w:val="20"/>
          <w:rFonts w:hint="eastAsia" w:ascii="仿宋" w:hAnsi="仿宋" w:eastAsia="仿宋" w:cs="仿宋"/>
          <w:b w:val="0"/>
          <w:sz w:val="32"/>
          <w:szCs w:val="32"/>
        </w:rPr>
        <w:t xml:space="preserve">推行城市监管全覆盖。在推行管养分离和市场化程度不断提升的基础上，全面扩大城市运行监管范围，建立完善的指挥调度、动态监测、监督管理、分析研判、应急反应、考核评价等监测监管机制，建立城市运行监管数据，形成数据共享、分口应用、上下左右有机融合的城市管理监管系统，对环卫保洁、市政设施、园林绿化、供水供气、污水处理、垃圾处理、交通秩序、城管执法等软硬件进行全覆盖、全天候、全过程监测监管。 </w:t>
      </w:r>
    </w:p>
    <w:p>
      <w:pPr>
        <w:spacing w:beforeLines="50" w:afterLines="50" w:line="560" w:lineRule="exact"/>
        <w:jc w:val="center"/>
        <w:outlineLvl w:val="1"/>
        <w:rPr>
          <w:rFonts w:ascii="仿宋" w:hAnsi="仿宋" w:eastAsia="仿宋" w:cs="仿宋"/>
          <w:b/>
          <w:bCs/>
          <w:sz w:val="32"/>
          <w:szCs w:val="32"/>
        </w:rPr>
      </w:pPr>
      <w:bookmarkStart w:id="100" w:name="_Toc63246058"/>
      <w:bookmarkStart w:id="101" w:name="_Toc8639246"/>
      <w:r>
        <w:rPr>
          <w:rFonts w:hint="eastAsia" w:ascii="仿宋" w:hAnsi="仿宋" w:eastAsia="仿宋" w:cs="仿宋"/>
          <w:b/>
          <w:bCs/>
          <w:sz w:val="32"/>
          <w:szCs w:val="32"/>
        </w:rPr>
        <w:t>第三节  加强机制保障</w:t>
      </w:r>
      <w:bookmarkEnd w:id="100"/>
      <w:bookmarkEnd w:id="101"/>
    </w:p>
    <w:p>
      <w:pPr>
        <w:spacing w:line="560" w:lineRule="exact"/>
        <w:ind w:firstLine="640" w:firstLineChars="200"/>
        <w:jc w:val="left"/>
        <w:rPr>
          <w:rStyle w:val="20"/>
          <w:rFonts w:ascii="仿宋" w:hAnsi="仿宋" w:eastAsia="仿宋" w:cs="仿宋"/>
          <w:b w:val="0"/>
          <w:sz w:val="32"/>
          <w:szCs w:val="32"/>
        </w:rPr>
      </w:pPr>
      <w:r>
        <w:rPr>
          <w:rStyle w:val="20"/>
          <w:rFonts w:hint="eastAsia" w:ascii="仿宋" w:hAnsi="仿宋" w:eastAsia="仿宋" w:cs="仿宋"/>
          <w:b w:val="0"/>
          <w:sz w:val="32"/>
          <w:szCs w:val="32"/>
        </w:rPr>
        <w:t>理顺城市管理体制。认真贯彻落实中央城市工作会议及《中共中央国务院关于深入推进城市执法体制改革改进城市管理工作的指导意见》精神，进一步深化推进城市管理体制改革，结合我市实际，从体制、机制、人员等方面着手，进一步厘清城市管理和执法工作边界，优化工作职能，完善机构设臵，理顺管理体制。进一步理顺市、区、街城市管理部门工作机制，加强市、区两级城管办建设，建立市、区数字城市管理协同处臵工作网络，着力解决权责交叉、多头执法、以罚代管、管理缺位的问题。坚持条块结合、以块为主，下移管理重心，下沉管理力量，发挥区、街主体作用，加快构建权责统一、权威高效的城市管理体制。</w:t>
      </w:r>
    </w:p>
    <w:p>
      <w:pPr>
        <w:spacing w:line="560" w:lineRule="exact"/>
        <w:ind w:firstLine="640" w:firstLineChars="200"/>
        <w:jc w:val="left"/>
        <w:rPr>
          <w:rStyle w:val="20"/>
          <w:rFonts w:ascii="仿宋" w:hAnsi="仿宋" w:eastAsia="仿宋" w:cs="仿宋"/>
          <w:b w:val="0"/>
          <w:sz w:val="32"/>
          <w:szCs w:val="32"/>
        </w:rPr>
      </w:pPr>
      <w:r>
        <w:rPr>
          <w:rStyle w:val="20"/>
          <w:rFonts w:hint="eastAsia" w:ascii="仿宋" w:hAnsi="仿宋" w:eastAsia="仿宋" w:cs="仿宋"/>
          <w:b w:val="0"/>
          <w:sz w:val="32"/>
          <w:szCs w:val="32"/>
        </w:rPr>
        <w:t>统筹综合协调机制。进一步完善发展改革、财政、自然资源、环境保护等相关部门的沟通协调机制，建立健全城市管理与建设、交通、自然资源、民政、信息化、科技创新、食品药品监管、质监等部门联动执法与协调机制，深化城市管理协同执法机制，建立行政执法与刑事司法衔接机制，完善城市管理执法机关与公安机关、检察机关、审判机关案件移送标准和程序，建立有效的跨市协调联动机制，建立城市管理大数据系统及其与城市规划、设计、建设、运行管理等部门大数据的互联互通与信息共享机制，实现跨区域、跨部门、跨层级的互联互通，建成分类管理、分级负责、条块结合、属地管理为主，政府与企业联动的城市管理应急管理体制，形成统一指挥、反应灵敏、协调有序、运转高效的城市管理应急工作机制。保障城市管理工作有序、高效、文明地推进，城市管理质量稳步提升。</w:t>
      </w:r>
    </w:p>
    <w:p>
      <w:pPr>
        <w:spacing w:beforeLines="50" w:afterLines="50" w:line="560" w:lineRule="exact"/>
        <w:jc w:val="center"/>
        <w:outlineLvl w:val="1"/>
        <w:rPr>
          <w:rFonts w:ascii="仿宋" w:hAnsi="仿宋" w:eastAsia="仿宋" w:cs="仿宋"/>
          <w:b/>
          <w:bCs/>
          <w:sz w:val="32"/>
          <w:szCs w:val="32"/>
        </w:rPr>
      </w:pPr>
      <w:bookmarkStart w:id="102" w:name="_Toc63246059"/>
      <w:bookmarkStart w:id="103" w:name="_Toc8639247"/>
      <w:r>
        <w:rPr>
          <w:rFonts w:hint="eastAsia" w:ascii="仿宋" w:hAnsi="仿宋" w:eastAsia="仿宋" w:cs="仿宋"/>
          <w:b/>
          <w:bCs/>
          <w:sz w:val="32"/>
          <w:szCs w:val="32"/>
        </w:rPr>
        <w:t>第四节  加大经费保障</w:t>
      </w:r>
      <w:bookmarkEnd w:id="102"/>
      <w:bookmarkEnd w:id="103"/>
    </w:p>
    <w:p>
      <w:pPr>
        <w:spacing w:line="560" w:lineRule="exact"/>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 xml:space="preserve">加大财政经费投入。按照事权和支出责任相适应原则，健全责任明确、分类管理、分级负担、收支脱钩、财政保障的城市管理经费保障机制。科学核定与城市发展速度、建成区规模、管理标准、管理技术更新、财力规模相适应的城市管理经费，并列入同级财政预算。加大财政支持力度，统筹使用有关资金，增加对基础设施、装备设备、信息化建设、检测鉴定、人员培训、科学研究等方面的资金投入。加强对城市管理及执法经费使用的监督检查和绩效考评，确保资金使用效益。 </w:t>
      </w:r>
    </w:p>
    <w:p>
      <w:pPr>
        <w:spacing w:line="560" w:lineRule="exact"/>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 xml:space="preserve">引导社会资金参与。优化城市综合管理资金投入机制，拓宽投融资渠道，建立和完善企业、社会、外资等多元化投融资体系，引入社会资金参与基础设施建设运营和社会化服务事项，形成多元化、可持续的资金投入机制；根据城市管理各业务领域发展实际，扩大PPP等模式应用范围，提高城市管理质量和服务效率。 </w:t>
      </w:r>
    </w:p>
    <w:p>
      <w:pPr>
        <w:spacing w:beforeLines="50" w:afterLines="50" w:line="560" w:lineRule="exact"/>
        <w:jc w:val="center"/>
        <w:outlineLvl w:val="1"/>
        <w:rPr>
          <w:rFonts w:ascii="仿宋" w:hAnsi="仿宋" w:eastAsia="仿宋" w:cs="仿宋"/>
          <w:b/>
          <w:bCs/>
          <w:sz w:val="32"/>
          <w:szCs w:val="32"/>
        </w:rPr>
      </w:pPr>
      <w:bookmarkStart w:id="104" w:name="_Toc8639248"/>
      <w:bookmarkStart w:id="105" w:name="_Toc63246060"/>
      <w:r>
        <w:rPr>
          <w:rFonts w:hint="eastAsia" w:ascii="仿宋" w:hAnsi="仿宋" w:eastAsia="仿宋" w:cs="仿宋"/>
          <w:b/>
          <w:bCs/>
          <w:sz w:val="32"/>
          <w:szCs w:val="32"/>
        </w:rPr>
        <w:t>第五节  营造良好氛围</w:t>
      </w:r>
      <w:bookmarkEnd w:id="104"/>
      <w:bookmarkEnd w:id="105"/>
    </w:p>
    <w:p>
      <w:pPr>
        <w:spacing w:line="560" w:lineRule="exact"/>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坚持正确的舆论导向，大力宣传“以人民为中心”的城市管理工作理念和便民、惠民服务宗旨。加强与各级各类新闻单位联系，密切合作，加强上稿，通过主流媒体平台的广泛影响，客观全面宣传报道城市管理各领域工作，树立行业正面形象，持续扩大社会影响，努力营造良好舆论氛围，不断助推开创城市管理工作新局面。把握社会关注热点和媒体聚焦重点，认真做好新闻发布和政策解读，切实提高新闻宣传工作的传播力、引导力。</w:t>
      </w:r>
    </w:p>
    <w:p>
      <w:pPr>
        <w:spacing w:line="560" w:lineRule="exact"/>
        <w:ind w:firstLine="640" w:firstLineChars="200"/>
        <w:jc w:val="left"/>
        <w:rPr>
          <w:rStyle w:val="20"/>
          <w:rFonts w:ascii="仿宋" w:hAnsi="仿宋" w:eastAsia="仿宋" w:cs="仿宋"/>
          <w:b w:val="0"/>
          <w:kern w:val="0"/>
          <w:sz w:val="32"/>
          <w:szCs w:val="32"/>
        </w:rPr>
      </w:pPr>
      <w:r>
        <w:rPr>
          <w:rStyle w:val="20"/>
          <w:rFonts w:hint="eastAsia" w:ascii="仿宋" w:hAnsi="仿宋" w:eastAsia="仿宋" w:cs="仿宋"/>
          <w:b w:val="0"/>
          <w:kern w:val="0"/>
          <w:sz w:val="32"/>
          <w:szCs w:val="32"/>
        </w:rPr>
        <w:t>把握社会舆论环境新变化，积极引导大力营造网络正面宣传和舆论引导，掌握网络舆论话语权。运用好政务微博、政务微信公众号，以两微为新平台，积极开展城市管理宣传，展现行业风采，弘扬正能量，壮大网络主流声音。借助新媒体力量，提高社会各界对城市管理工作的了解和支持，进一步形成有利于开展城市管理工作的舆论氛围 。</w:t>
      </w:r>
    </w:p>
    <w:p>
      <w:pPr>
        <w:spacing w:line="560" w:lineRule="exact"/>
        <w:ind w:firstLine="640" w:firstLineChars="200"/>
        <w:jc w:val="left"/>
        <w:rPr>
          <w:rFonts w:ascii="仿宋" w:hAnsi="仿宋" w:eastAsia="仿宋" w:cs="仿宋"/>
          <w:sz w:val="32"/>
          <w:szCs w:val="32"/>
        </w:rPr>
      </w:pPr>
      <w:r>
        <w:rPr>
          <w:rStyle w:val="20"/>
          <w:rFonts w:hint="eastAsia" w:ascii="仿宋" w:hAnsi="仿宋" w:eastAsia="仿宋" w:cs="仿宋"/>
          <w:b w:val="0"/>
          <w:kern w:val="0"/>
          <w:sz w:val="32"/>
          <w:szCs w:val="32"/>
        </w:rPr>
        <w:t>建立健全舆情应对处置工作机制，提高舆情应对能力，掌握舆论引导主动权，提高研判预警处置能力，疏导公众情绪，回应大众关切，切实解决问题，保障城市管理工作正常有序进行，维护政府工作部门应有形象。</w:t>
      </w:r>
    </w:p>
    <w:p>
      <w:pPr>
        <w:widowControl/>
        <w:jc w:val="left"/>
        <w:rPr>
          <w:rFonts w:ascii="仿宋" w:hAnsi="仿宋" w:eastAsia="仿宋" w:cs="仿宋"/>
          <w:sz w:val="32"/>
          <w:szCs w:val="32"/>
        </w:rPr>
      </w:pPr>
      <w:r>
        <w:rPr>
          <w:rFonts w:ascii="仿宋" w:hAnsi="仿宋" w:eastAsia="仿宋" w:cs="仿宋"/>
          <w:sz w:val="32"/>
          <w:szCs w:val="32"/>
        </w:rPr>
        <w:br w:type="page"/>
      </w:r>
    </w:p>
    <w:p>
      <w:pPr>
        <w:pStyle w:val="28"/>
        <w:spacing w:beforeLines="100" w:afterLines="100" w:line="360" w:lineRule="auto"/>
        <w:ind w:firstLine="0" w:firstLineChars="0"/>
        <w:jc w:val="left"/>
        <w:outlineLvl w:val="0"/>
        <w:rPr>
          <w:rFonts w:ascii="仿宋" w:hAnsi="仿宋" w:eastAsia="仿宋" w:cs="仿宋"/>
          <w:bCs/>
          <w:kern w:val="0"/>
          <w:sz w:val="32"/>
          <w:szCs w:val="32"/>
        </w:rPr>
      </w:pPr>
      <w:bookmarkStart w:id="106" w:name="_Toc63246061"/>
      <w:bookmarkStart w:id="107" w:name="_Toc61439052"/>
      <w:r>
        <w:rPr>
          <w:rFonts w:hint="eastAsia" w:ascii="Times New Roman" w:hAnsi="Times New Roman" w:eastAsia="黑体" w:cs="Times New Roman"/>
          <w:sz w:val="44"/>
          <w:szCs w:val="44"/>
        </w:rPr>
        <w:t>附表</w:t>
      </w:r>
      <w:bookmarkEnd w:id="106"/>
      <w:bookmarkEnd w:id="107"/>
    </w:p>
    <w:p>
      <w:pPr>
        <w:spacing w:line="560" w:lineRule="exact"/>
        <w:jc w:val="center"/>
        <w:outlineLvl w:val="1"/>
        <w:rPr>
          <w:rFonts w:ascii="仿宋" w:hAnsi="仿宋" w:eastAsia="仿宋" w:cs="仿宋"/>
          <w:sz w:val="32"/>
          <w:szCs w:val="32"/>
        </w:rPr>
      </w:pPr>
      <w:bookmarkStart w:id="108" w:name="_Toc63246062"/>
      <w:r>
        <w:rPr>
          <w:rFonts w:ascii="仿宋" w:hAnsi="仿宋" w:eastAsia="仿宋" w:cs="仿宋"/>
          <w:sz w:val="32"/>
          <w:szCs w:val="32"/>
        </w:rPr>
        <w:t>南昌市“十四五”城市管理任务汇总表</w:t>
      </w:r>
      <w:bookmarkEnd w:id="108"/>
    </w:p>
    <w:tbl>
      <w:tblPr>
        <w:tblStyle w:val="18"/>
        <w:tblW w:w="8784" w:type="dxa"/>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Layout w:type="fixed"/>
        <w:tblCellMar>
          <w:top w:w="0" w:type="dxa"/>
          <w:left w:w="108" w:type="dxa"/>
          <w:bottom w:w="0" w:type="dxa"/>
          <w:right w:w="108" w:type="dxa"/>
        </w:tblCellMar>
      </w:tblPr>
      <w:tblGrid>
        <w:gridCol w:w="1387"/>
        <w:gridCol w:w="1556"/>
        <w:gridCol w:w="5841"/>
      </w:tblGrid>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blHeader/>
        </w:trPr>
        <w:tc>
          <w:tcPr>
            <w:tcW w:w="1387" w:type="dxa"/>
            <w:vAlign w:val="center"/>
          </w:tcPr>
          <w:p>
            <w:pPr>
              <w:spacing w:line="560" w:lineRule="exact"/>
              <w:jc w:val="center"/>
              <w:rPr>
                <w:rFonts w:ascii="仿宋" w:hAnsi="仿宋" w:eastAsia="仿宋" w:cs="仿宋"/>
                <w:b/>
                <w:sz w:val="28"/>
                <w:szCs w:val="28"/>
              </w:rPr>
            </w:pPr>
            <w:r>
              <w:rPr>
                <w:rFonts w:ascii="仿宋" w:hAnsi="仿宋" w:eastAsia="仿宋" w:cs="仿宋"/>
                <w:b/>
                <w:sz w:val="28"/>
                <w:szCs w:val="28"/>
              </w:rPr>
              <w:t>任务</w:t>
            </w:r>
          </w:p>
        </w:tc>
        <w:tc>
          <w:tcPr>
            <w:tcW w:w="1556" w:type="dxa"/>
            <w:vAlign w:val="center"/>
          </w:tcPr>
          <w:p>
            <w:pPr>
              <w:spacing w:line="560" w:lineRule="exact"/>
              <w:jc w:val="center"/>
              <w:rPr>
                <w:rFonts w:ascii="仿宋" w:hAnsi="仿宋" w:eastAsia="仿宋" w:cs="仿宋"/>
                <w:b/>
                <w:sz w:val="28"/>
                <w:szCs w:val="28"/>
              </w:rPr>
            </w:pPr>
            <w:r>
              <w:rPr>
                <w:rFonts w:ascii="仿宋" w:hAnsi="仿宋" w:eastAsia="仿宋" w:cs="仿宋"/>
                <w:b/>
                <w:sz w:val="28"/>
                <w:szCs w:val="28"/>
              </w:rPr>
              <w:t>子任务</w:t>
            </w:r>
          </w:p>
        </w:tc>
        <w:tc>
          <w:tcPr>
            <w:tcW w:w="5841" w:type="dxa"/>
            <w:vAlign w:val="center"/>
          </w:tcPr>
          <w:p>
            <w:pPr>
              <w:spacing w:line="560" w:lineRule="exact"/>
              <w:jc w:val="center"/>
              <w:rPr>
                <w:rFonts w:ascii="仿宋" w:hAnsi="仿宋" w:eastAsia="仿宋" w:cs="仿宋"/>
                <w:b/>
                <w:sz w:val="28"/>
                <w:szCs w:val="28"/>
              </w:rPr>
            </w:pPr>
            <w:r>
              <w:rPr>
                <w:rFonts w:ascii="仿宋" w:hAnsi="仿宋" w:eastAsia="仿宋" w:cs="仿宋"/>
                <w:b/>
                <w:sz w:val="28"/>
                <w:szCs w:val="28"/>
              </w:rPr>
              <w:t>具体任务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784" w:type="dxa"/>
            <w:gridSpan w:val="3"/>
            <w:vAlign w:val="center"/>
          </w:tcPr>
          <w:p>
            <w:pPr>
              <w:rPr>
                <w:rFonts w:ascii="仿宋" w:hAnsi="仿宋" w:eastAsia="仿宋" w:cs="仿宋"/>
                <w:sz w:val="24"/>
                <w:szCs w:val="24"/>
              </w:rPr>
            </w:pPr>
            <w:r>
              <w:rPr>
                <w:rFonts w:hint="eastAsia" w:ascii="仿宋" w:hAnsi="仿宋" w:eastAsia="仿宋" w:cs="仿宋"/>
                <w:b/>
                <w:sz w:val="24"/>
                <w:szCs w:val="24"/>
              </w:rPr>
              <w:t>一、创新</w:t>
            </w:r>
            <w:r>
              <w:rPr>
                <w:rFonts w:ascii="仿宋" w:hAnsi="仿宋" w:eastAsia="仿宋" w:cs="仿宋"/>
                <w:b/>
                <w:sz w:val="24"/>
                <w:szCs w:val="24"/>
              </w:rPr>
              <w:t>治理专栏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（一）健全城市管理体系</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1、进一步深化推进城市管理体制改革</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1、构建创新治理、靓丽市容、洁净环境、生态园林、安全公用、绿色水务、精细管养、文明执法等“八板块”的城管体系。形成统一决策、统一管理、统一执法的“大城管”格局。</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46"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2、进一步完善机构设置，理顺管理体制，进一步厘清城市管理和执法工作边界，优化工作职能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46"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3、进一步理顺市、区、街城市管理部门工作机制。下移管理重心，下沉管理力量，发挥区、街主体作用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（二）统筹综合协调机制</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2、发挥市城市管理工作领导小组办公室的宏观谋划、统筹协调、高位督办作用</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1、进一步完善城管、公安、卫生、工商、发改、财政、自然资源、环境保护等相关部门的沟通协调机制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2、建立健全城市管理与建设、交通、自然资源、民政、信息化、科技创新、食品药品监管、质监等部门联合执法与协调机制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3、建立城市管理大数据系统及其与自然资源、公安、通行等部门大数据的互联互通与信息共享机制。建成城市管理应急管理体制，形成城市管理应急工作机制。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（三）健全城管规划体系与标准体系</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1、健全城市管理规划体系</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1、完善各类专项规划编制和实施，形成“1+</w:t>
            </w:r>
            <w:r>
              <w:rPr>
                <w:rFonts w:ascii="仿宋" w:hAnsi="仿宋" w:eastAsia="仿宋" w:cs="仿宋"/>
                <w:sz w:val="24"/>
                <w:szCs w:val="24"/>
              </w:rPr>
              <w:t>8</w:t>
            </w:r>
            <w:r>
              <w:rPr>
                <w:rFonts w:hint="eastAsia" w:ascii="仿宋" w:hAnsi="仿宋" w:eastAsia="仿宋" w:cs="仿宋"/>
                <w:sz w:val="24"/>
                <w:szCs w:val="24"/>
              </w:rPr>
              <w:t>+N” 城市管理规划体系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2、专项规划共约50项规划，其中2021年底前需编制规划约30项，2022-2025年编制规划约10项</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2、完善法律法规和标准体系</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1、进一步完善垃圾分类处理法规制度体系，出台《南昌市生活垃圾分类管理规定》</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推进修订《南昌市城市管理条例》、《南昌市城市市容和环境卫生管理条例》、《南昌市公园条例》、《南昌市城市绿化管理规定条例》、《南昌市青山湖管理条例》、《南昌市城市管理相对集中行政处罚权实施办法》、《南昌市城市照明设施管理办法》等系列法规</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3、制定全市统一、规范的综合行政执法手册，出台规范行政执法自由裁量权规定</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268"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4、按照逐年更新、补充完善的目标要求，逐步健全完善并扎实推进城市管理标准体系建设工作，完备城市管理标准体系。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532" w:hRule="atLeast"/>
        </w:trPr>
        <w:tc>
          <w:tcPr>
            <w:tcW w:w="1387" w:type="dxa"/>
            <w:vMerge w:val="restart"/>
            <w:vAlign w:val="center"/>
          </w:tcPr>
          <w:p>
            <w:pPr>
              <w:rPr>
                <w:b/>
                <w:sz w:val="24"/>
                <w:szCs w:val="24"/>
              </w:rPr>
            </w:pPr>
            <w:r>
              <w:rPr>
                <w:rFonts w:hint="eastAsia" w:ascii="仿宋" w:hAnsi="仿宋" w:eastAsia="仿宋" w:cs="仿宋"/>
                <w:sz w:val="24"/>
                <w:szCs w:val="24"/>
              </w:rPr>
              <w:t>（四）</w:t>
            </w:r>
            <w:r>
              <w:rPr>
                <w:rFonts w:hint="eastAsia" w:ascii="仿宋" w:hAnsi="仿宋" w:eastAsia="仿宋" w:cs="仿宋"/>
                <w:sz w:val="24"/>
                <w:szCs w:val="24"/>
              </w:rPr>
              <w:tab/>
            </w:r>
            <w:r>
              <w:rPr>
                <w:rFonts w:hint="eastAsia" w:ascii="仿宋" w:hAnsi="仿宋" w:eastAsia="仿宋" w:cs="仿宋"/>
                <w:sz w:val="24"/>
                <w:szCs w:val="24"/>
              </w:rPr>
              <w:t>推进城市</w:t>
            </w:r>
            <w:r>
              <w:rPr>
                <w:rFonts w:ascii="仿宋" w:hAnsi="仿宋" w:eastAsia="仿宋" w:cs="仿宋"/>
                <w:sz w:val="24"/>
                <w:szCs w:val="24"/>
              </w:rPr>
              <w:t>管理</w:t>
            </w:r>
            <w:r>
              <w:rPr>
                <w:rFonts w:hint="eastAsia" w:ascii="仿宋" w:hAnsi="仿宋" w:eastAsia="仿宋" w:cs="仿宋"/>
                <w:sz w:val="24"/>
                <w:szCs w:val="24"/>
              </w:rPr>
              <w:t>“管、监、养”改革</w:t>
            </w:r>
          </w:p>
          <w:p>
            <w:pPr>
              <w:rPr>
                <w:rFonts w:ascii="仿宋" w:hAnsi="仿宋" w:eastAsia="仿宋" w:cs="仿宋"/>
                <w:sz w:val="24"/>
                <w:szCs w:val="24"/>
              </w:rPr>
            </w:pP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1、</w:t>
            </w:r>
            <w:r>
              <w:rPr>
                <w:rFonts w:ascii="仿宋" w:hAnsi="仿宋" w:eastAsia="仿宋" w:cs="仿宋"/>
                <w:sz w:val="24"/>
                <w:szCs w:val="24"/>
              </w:rPr>
              <w:t>建立健全科学合理的监管机制</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1、构建行业监管体系。</w:t>
            </w:r>
          </w:p>
          <w:p>
            <w:pPr>
              <w:rPr>
                <w:rFonts w:ascii="仿宋" w:hAnsi="仿宋" w:eastAsia="仿宋" w:cs="仿宋"/>
                <w:sz w:val="24"/>
                <w:szCs w:val="24"/>
              </w:rPr>
            </w:pPr>
            <w:r>
              <w:rPr>
                <w:rFonts w:hint="eastAsia" w:ascii="仿宋" w:hAnsi="仿宋" w:eastAsia="仿宋" w:cs="仿宋"/>
                <w:sz w:val="24"/>
                <w:szCs w:val="24"/>
              </w:rPr>
              <w:t>2、加强监管队伍建设。</w:t>
            </w:r>
          </w:p>
          <w:p>
            <w:pPr>
              <w:rPr>
                <w:rFonts w:ascii="仿宋" w:hAnsi="仿宋" w:eastAsia="仿宋" w:cs="仿宋"/>
                <w:sz w:val="24"/>
                <w:szCs w:val="24"/>
              </w:rPr>
            </w:pPr>
            <w:r>
              <w:rPr>
                <w:rFonts w:hint="eastAsia" w:ascii="仿宋" w:hAnsi="仿宋" w:eastAsia="仿宋" w:cs="仿宋"/>
                <w:sz w:val="24"/>
                <w:szCs w:val="24"/>
              </w:rPr>
              <w:t>3、完善监管技术手段。</w:t>
            </w:r>
          </w:p>
          <w:p>
            <w:pPr>
              <w:rPr>
                <w:rFonts w:ascii="仿宋" w:hAnsi="仿宋" w:eastAsia="仿宋" w:cs="仿宋"/>
                <w:sz w:val="24"/>
                <w:szCs w:val="24"/>
              </w:rPr>
            </w:pPr>
            <w:r>
              <w:rPr>
                <w:rFonts w:hint="eastAsia" w:ascii="仿宋" w:hAnsi="仿宋" w:eastAsia="仿宋" w:cs="仿宋"/>
                <w:sz w:val="24"/>
                <w:szCs w:val="24"/>
              </w:rPr>
              <w:t>4、注重基础设施运行监测。</w:t>
            </w:r>
          </w:p>
          <w:p>
            <w:pPr>
              <w:rPr>
                <w:rFonts w:ascii="仿宋" w:hAnsi="仿宋" w:eastAsia="仿宋" w:cs="仿宋"/>
                <w:sz w:val="24"/>
                <w:szCs w:val="24"/>
              </w:rPr>
            </w:pPr>
            <w:r>
              <w:rPr>
                <w:rFonts w:hint="eastAsia" w:ascii="仿宋" w:hAnsi="仿宋" w:eastAsia="仿宋" w:cs="仿宋"/>
                <w:sz w:val="24"/>
                <w:szCs w:val="24"/>
              </w:rPr>
              <w:t>5、建立健全监管考核机制。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102" w:hRule="atLeast"/>
        </w:trPr>
        <w:tc>
          <w:tcPr>
            <w:tcW w:w="1387" w:type="dxa"/>
            <w:vMerge w:val="continue"/>
            <w:vAlign w:val="center"/>
          </w:tcPr>
          <w:p>
            <w:pPr>
              <w:rPr>
                <w:rFonts w:ascii="仿宋" w:hAnsi="仿宋" w:eastAsia="仿宋" w:cs="仿宋"/>
                <w:sz w:val="24"/>
                <w:szCs w:val="24"/>
              </w:rPr>
            </w:pP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2、</w:t>
            </w:r>
            <w:r>
              <w:rPr>
                <w:rFonts w:ascii="仿宋" w:hAnsi="仿宋" w:eastAsia="仿宋" w:cs="仿宋"/>
                <w:sz w:val="24"/>
                <w:szCs w:val="24"/>
              </w:rPr>
              <w:t>逐步推行城市管理养护工作市场化</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1、建立市场化运行机制。</w:t>
            </w:r>
          </w:p>
          <w:p>
            <w:pPr>
              <w:rPr>
                <w:rFonts w:ascii="仿宋" w:hAnsi="仿宋" w:eastAsia="仿宋" w:cs="仿宋"/>
                <w:sz w:val="24"/>
                <w:szCs w:val="24"/>
              </w:rPr>
            </w:pPr>
            <w:r>
              <w:rPr>
                <w:rFonts w:hint="eastAsia" w:ascii="仿宋" w:hAnsi="仿宋" w:eastAsia="仿宋" w:cs="仿宋"/>
                <w:sz w:val="24"/>
                <w:szCs w:val="24"/>
              </w:rPr>
              <w:t>2、大力培育市场化主体。</w:t>
            </w:r>
          </w:p>
          <w:p>
            <w:pPr>
              <w:rPr>
                <w:rFonts w:ascii="仿宋" w:hAnsi="仿宋" w:eastAsia="仿宋" w:cs="仿宋"/>
                <w:sz w:val="24"/>
                <w:szCs w:val="24"/>
              </w:rPr>
            </w:pPr>
            <w:r>
              <w:rPr>
                <w:rFonts w:hint="eastAsia" w:ascii="仿宋" w:hAnsi="仿宋" w:eastAsia="仿宋" w:cs="仿宋"/>
                <w:sz w:val="24"/>
                <w:szCs w:val="24"/>
              </w:rPr>
              <w:t>3、稳步推进市场化进程。</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（五）创新城市治理机制</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1、畅通共管共治渠道</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1、利用市长信箱、局长信箱等社交媒体，保障公众的知情权、参与权、表达权、监督权</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2、强化市民投诉举报的处理反馈，形成有效的市民诉求解决机制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3、建立健全社会问卷调查、第三方监督等机制，充分发挥广大群众在城市管理中的监督作用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2、优化公众参与机制</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1、面向社会公开推选城市管理局公众委员，邀请专家学者、先进模范、市民百姓等公众代表，广泛深度参与城市管理决策、监督和评价</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2、建立健全城市管理志愿服务宣传动员、组织管理、激励扶持等制度和组织协调机制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3、成立各类行业协会，引导行业协会参与城市管理决策论证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4、采取公众开放日、主题体验活动等方式，引导社会组织、市场中介机构参与城市治理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5、积极培育社会组织发展，采取项目合作、业务指导、行业支持等方式，形成多元共治、良性互动的城市治理模式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3、探索建立信用+城管治理模式</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1、建立健全城市管理信用体系工作机制。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2、积极探索构建“信用+城管”大治理模式，打造“信用城管”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4、探索精细化管理机制</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城市精细化管理要体现在落细落小上下功夫，在全社会共同参与上下功夫，在全面从严上下功夫，推动城市管理全覆盖、全过程、全天候（“三全”）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（四）提升智慧城管水平</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1、加强智慧城管建设</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到2021年，推进市级层面智慧城管“一个中心，一个平台，十大系统”平台建设工作，各县区同步开展与市级联动的智慧城管建设，实现市级与县区级城市管理平台互联互通，初步构建起全市智慧城管的网络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2022-2024年，市级层面重点围绕系统平台功能升级扩容、监督和考核功能完善等方面开展工作，县区层面县区各业务系统还可继续延伸再开发，以城市管理业务需求为导向，重点建设专项业务应用平台，并与市级相应系统对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3、2025年，建成一个涵盖两级平台（市、县区），覆盖四个层级（市、县区、街道、社区），城市管理全要素数据充分整合，公共数据资源互联互通、开放共享的智慧城管监管体系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2、推动网格化管理</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1、形成纵向到底、横向到边网格化、扁平化管理模式，与交管、环保、水务、社会治理等信息系统互联互通</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2、建立城市管理与社会治理相融合机制，开发城市综合治理APP</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3、建立市级网格化管理议事决策制度、运行机制、标准规范</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4、各区（县）相关部门负责所辖领域网格化管理，将专业力量下沉到网格</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5、构建“网中有格、格中有责、责任到人”的综合治理网格化运行体系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6、明确各级平台、各类网格、各个岗位的工作职责、工作流程和考评标准，完善各级运行管理制度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7、建立覆盖市、区（县）、街道（乡镇）、社区四级城乡治理综合网格化信息平台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3、强化社区治理，发挥社区网格作用</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1、建立健全以居民自治为基础，以多元参与、民主协商为主要特征的社区治理机制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2、建立社区干部、社区民警、城管队员、物业公司、辖区单位“五位一体”联动机制。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3、依法建立社区公共事务准入制度，增强社区自治功能，推动制定社区居民公约，促进居民自治管理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4、设置城市管理专员，专司社区城市管理工作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5、健全社区党组织领导的基层群众自治制度，以社区网格化、社会化服务为方向，完善“社区、社会组织、社会工作、社区志愿者”四位一体服务机制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4、提升智能化设备水平</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1、统一执法标识，高标准配备城市管理执法装备，到2025年装备达到国内一流水平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2、提升行业作业设备。坚持机械作业为主、人工作业为辅，持续推动由人工作业为主向机械化作业转变</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3、推广新工艺、新技术、新材料</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5、推进智慧化管理的全领域覆盖</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1、整合城管、交通、公安、工商、自然资源、卫生等部门数据，实现数据共联共享，一网多用</w:t>
            </w:r>
          </w:p>
          <w:p>
            <w:pPr>
              <w:rPr>
                <w:rFonts w:ascii="仿宋" w:hAnsi="仿宋" w:eastAsia="仿宋" w:cs="仿宋"/>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2、普及交通、城管、交警、燃气、桥梁、工地等重点部位和区域的监控、报警、处置等，为城市提供便利的市民服务，精准快速的城市管理。</w:t>
            </w:r>
          </w:p>
          <w:p>
            <w:pPr>
              <w:rPr>
                <w:rFonts w:ascii="仿宋" w:hAnsi="仿宋" w:eastAsia="仿宋" w:cs="仿宋"/>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784" w:type="dxa"/>
            <w:gridSpan w:val="3"/>
            <w:vAlign w:val="center"/>
          </w:tcPr>
          <w:p>
            <w:pPr>
              <w:rPr>
                <w:rFonts w:ascii="仿宋" w:hAnsi="仿宋" w:eastAsia="仿宋" w:cs="仿宋"/>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784" w:type="dxa"/>
            <w:gridSpan w:val="3"/>
            <w:vAlign w:val="center"/>
          </w:tcPr>
          <w:p>
            <w:pPr>
              <w:rPr>
                <w:rFonts w:ascii="仿宋" w:hAnsi="仿宋" w:eastAsia="仿宋" w:cs="仿宋"/>
                <w:sz w:val="24"/>
                <w:szCs w:val="24"/>
              </w:rPr>
            </w:pPr>
            <w:r>
              <w:rPr>
                <w:rFonts w:hint="eastAsia" w:ascii="仿宋" w:hAnsi="仿宋" w:eastAsia="仿宋" w:cs="仿宋"/>
                <w:b/>
                <w:sz w:val="24"/>
                <w:szCs w:val="24"/>
              </w:rPr>
              <w:t>二、靓丽</w:t>
            </w:r>
            <w:r>
              <w:rPr>
                <w:rFonts w:ascii="仿宋" w:hAnsi="仿宋" w:eastAsia="仿宋" w:cs="仿宋"/>
                <w:b/>
                <w:sz w:val="24"/>
                <w:szCs w:val="24"/>
              </w:rPr>
              <w:t>市容专栏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7850" w:hRule="atLeast"/>
        </w:trPr>
        <w:tc>
          <w:tcPr>
            <w:tcW w:w="1387" w:type="dxa"/>
            <w:vMerge w:val="restart"/>
            <w:vAlign w:val="center"/>
          </w:tcPr>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r>
              <w:rPr>
                <w:rFonts w:hint="eastAsia" w:ascii="仿宋" w:hAnsi="仿宋" w:eastAsia="仿宋" w:cs="仿宋"/>
                <w:sz w:val="24"/>
                <w:szCs w:val="24"/>
              </w:rPr>
              <w:t>（一）靓化城市容貌</w:t>
            </w:r>
          </w:p>
        </w:tc>
        <w:tc>
          <w:tcPr>
            <w:tcW w:w="1556" w:type="dxa"/>
            <w:vAlign w:val="center"/>
          </w:tcPr>
          <w:p>
            <w:pPr>
              <w:rPr>
                <w:rFonts w:ascii="仿宋" w:hAnsi="仿宋" w:eastAsia="仿宋" w:cs="仿宋"/>
                <w:sz w:val="24"/>
                <w:szCs w:val="24"/>
              </w:rPr>
            </w:pPr>
          </w:p>
          <w:p>
            <w:pPr>
              <w:rPr>
                <w:rFonts w:ascii="仿宋" w:hAnsi="仿宋" w:eastAsia="仿宋" w:cs="仿宋"/>
                <w:sz w:val="24"/>
                <w:szCs w:val="24"/>
              </w:rPr>
            </w:pPr>
            <w:r>
              <w:rPr>
                <w:rFonts w:hint="eastAsia" w:ascii="仿宋" w:hAnsi="仿宋" w:eastAsia="仿宋" w:cs="仿宋"/>
                <w:sz w:val="24"/>
                <w:szCs w:val="24"/>
              </w:rPr>
              <w:t>1、继续推进城市管理“六改”项目</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1、道路“白改黑”工程：对道路路面、排水管网、人行道、路灯等进行综合改造。</w:t>
            </w:r>
          </w:p>
          <w:p>
            <w:pPr>
              <w:rPr>
                <w:rFonts w:ascii="仿宋" w:hAnsi="仿宋" w:eastAsia="仿宋" w:cs="仿宋"/>
                <w:sz w:val="24"/>
                <w:szCs w:val="24"/>
              </w:rPr>
            </w:pPr>
            <w:r>
              <w:rPr>
                <w:rFonts w:hint="eastAsia" w:ascii="仿宋" w:hAnsi="仿宋" w:eastAsia="仿宋" w:cs="仿宋"/>
                <w:sz w:val="24"/>
                <w:szCs w:val="24"/>
              </w:rPr>
              <w:t>2、照明“暗改亮”工程：打造国内一流的城市夜景，着力构建“一轴双核六湖多点”的景观照明体系，重点建设一江两岸灯光秀向南北延伸工程，高水平打造抚河、象湖、南湖、北湖、孺子亭公园、艾溪湖大桥等景观亮化。</w:t>
            </w:r>
          </w:p>
          <w:p>
            <w:pPr>
              <w:rPr>
                <w:rFonts w:ascii="仿宋" w:hAnsi="仿宋" w:eastAsia="仿宋" w:cs="仿宋"/>
                <w:sz w:val="24"/>
                <w:szCs w:val="24"/>
              </w:rPr>
            </w:pPr>
            <w:r>
              <w:rPr>
                <w:rFonts w:hint="eastAsia" w:ascii="仿宋" w:hAnsi="仿宋" w:eastAsia="仿宋" w:cs="仿宋"/>
                <w:sz w:val="24"/>
                <w:szCs w:val="24"/>
              </w:rPr>
              <w:t>3、建筑立面“面改美”工程：对建筑立面实施“综合改造”或“微改造”。2021年每个城区至少实施</w:t>
            </w:r>
            <w:r>
              <w:rPr>
                <w:rFonts w:ascii="仿宋" w:hAnsi="仿宋" w:eastAsia="仿宋" w:cs="仿宋"/>
                <w:sz w:val="24"/>
                <w:szCs w:val="24"/>
              </w:rPr>
              <w:t>1</w:t>
            </w:r>
            <w:r>
              <w:rPr>
                <w:rFonts w:hint="eastAsia" w:ascii="仿宋" w:hAnsi="仿宋" w:eastAsia="仿宋" w:cs="仿宋"/>
                <w:sz w:val="24"/>
                <w:szCs w:val="24"/>
              </w:rPr>
              <w:t>条道路建筑立面综合改造，编制完成《南昌市街景立面提升规划》</w:t>
            </w:r>
          </w:p>
          <w:p>
            <w:pPr>
              <w:rPr>
                <w:rFonts w:ascii="仿宋" w:hAnsi="仿宋" w:eastAsia="仿宋" w:cs="仿宋"/>
                <w:sz w:val="24"/>
                <w:szCs w:val="24"/>
              </w:rPr>
            </w:pPr>
            <w:r>
              <w:rPr>
                <w:rFonts w:hint="eastAsia" w:ascii="仿宋" w:hAnsi="仿宋" w:eastAsia="仿宋" w:cs="仿宋"/>
                <w:sz w:val="24"/>
                <w:szCs w:val="24"/>
              </w:rPr>
              <w:t>4、架空线“上改下”工程：将道路沿线的电力、移动、电信、联通等所有强弱管线实施下地迁改。2021年市级实施、民德路、孺子路、象山路、叠山路等道路的管线下地，各城区不少于1条。</w:t>
            </w:r>
          </w:p>
          <w:p>
            <w:pPr>
              <w:rPr>
                <w:rFonts w:ascii="仿宋" w:hAnsi="仿宋" w:eastAsia="仿宋" w:cs="仿宋"/>
                <w:sz w:val="24"/>
                <w:szCs w:val="24"/>
              </w:rPr>
            </w:pPr>
            <w:r>
              <w:rPr>
                <w:rFonts w:hint="eastAsia" w:ascii="仿宋" w:hAnsi="仿宋" w:eastAsia="仿宋" w:cs="仿宋"/>
                <w:sz w:val="24"/>
                <w:szCs w:val="24"/>
              </w:rPr>
              <w:t>5、老旧小区“旧改新”工程：老旧小区改造按照“保基础+X”模式确定改造内容，即在满足保基础配套设施的基础上，因地制宜，按保基础、提功能、促品质3个标准、10个分类、60个要素进行改造，健全社区功能，提升社区品质，完善配套服务</w:t>
            </w:r>
          </w:p>
          <w:p>
            <w:pPr>
              <w:rPr>
                <w:rFonts w:ascii="仿宋" w:hAnsi="仿宋" w:eastAsia="仿宋" w:cs="仿宋"/>
                <w:sz w:val="24"/>
                <w:szCs w:val="24"/>
              </w:rPr>
            </w:pPr>
            <w:r>
              <w:rPr>
                <w:rFonts w:hint="eastAsia" w:ascii="仿宋" w:hAnsi="仿宋" w:eastAsia="仿宋" w:cs="仿宋"/>
                <w:sz w:val="24"/>
                <w:szCs w:val="24"/>
              </w:rPr>
              <w:t>6、园林绿化“绿改彩”工程：打造“一街一景、一路一品”，建设四季有绿、四季有景、四季有花的城市，提高人居环境的质量和品味。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2、规范广告店招设置</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1、继续开展户外广告和门店招牌整治，全面清理主次干道沿街立面和屋顶的广告牌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2、2021年编制完成《南昌市户外广告总体规划》、并陆续编制完成《南昌市主要道路户外广告设置详细规划》</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3、组织开展门店招牌、“防盗窗”、“卷闸门”专项整治，临街店招做到标准统一、风格统一，与建构筑物个周边环境相协调</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3、打造疏朗、生态、大气、整洁、美观的公路</w:t>
            </w:r>
            <w:r>
              <w:rPr>
                <w:rFonts w:ascii="仿宋" w:hAnsi="仿宋" w:eastAsia="仿宋" w:cs="仿宋"/>
                <w:sz w:val="24"/>
                <w:szCs w:val="24"/>
              </w:rPr>
              <w:t>、</w:t>
            </w:r>
            <w:r>
              <w:rPr>
                <w:rFonts w:hint="eastAsia" w:ascii="仿宋" w:hAnsi="仿宋" w:eastAsia="仿宋" w:cs="仿宋"/>
                <w:sz w:val="24"/>
                <w:szCs w:val="24"/>
              </w:rPr>
              <w:t>铁路沿线环境</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提升市域内公路、铁落等通道沿线综合环境品质，打造整洁美观、富有地域特色的通道沿线风光带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（二）提高城市亮化</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1、明确城市照明形象定位</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1、南昌市照明总体形象定位为“人江物华、美映洪城”之意境。打造国内一流的城市夜景</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2、编制完成《南昌市景观照明专项规划》和《南昌市道路照明专项规划》</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2、打造“一轴双核九湖、六横八纵、多点布局”的景观照明体系</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1、以赣江为轴线，在一江两岸景观亮化的基础上，继续深化提升一江两岸夜景亮化南北延伸工程。</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2、重点区域包括红谷滩CBD、八一广场周边、城市副中心、东南西北湖、青山湖、艾溪湖、象湖、前湖和九龙湖等。</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3、加强照明设施维护管理</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1、建立有利于城市照明品质提升的管理体制和运行维护机制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2、积极推进绿色照明建设，城区道路逐步推广使用LED、太阳能等节能新光源、新技术、节能环保型产品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3、开展城市道路增亮补亮行动，小街巷照明全覆盖，实现城市照明“零盲区”</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4、到2025年，道路照明主干道亮灯率达到98%以上，次干道、支路的亮灯率达到96%以上，道路照明设施完好率达到95%以上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p>
          <w:p>
            <w:pPr>
              <w:rPr>
                <w:rFonts w:ascii="仿宋" w:hAnsi="仿宋" w:eastAsia="仿宋" w:cs="仿宋"/>
                <w:sz w:val="24"/>
                <w:szCs w:val="24"/>
              </w:rPr>
            </w:pPr>
            <w:r>
              <w:rPr>
                <w:rFonts w:hint="eastAsia" w:ascii="仿宋" w:hAnsi="仿宋" w:eastAsia="仿宋" w:cs="仿宋"/>
                <w:sz w:val="24"/>
                <w:szCs w:val="24"/>
              </w:rPr>
              <w:t>（三）优化社区环境</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1、实施老旧小区改造</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1、2020年编制完成《南昌市城镇老旧小区改造专项规划（2021-2025）》及《南昌市城镇老旧小区改造技术导则（实行）》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84"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2、2021年重点对261个老旧小区进行改造，涉及12万户</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3、2025年实现全市所有老旧小区改造全覆盖</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2、开展背街小巷等环境综合整治</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1、2021年编制完成《南昌市背街小巷专项规划》</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2、开展背街小巷、城乡结合部和城中村环境综合整治，全面提升背街小巷、城乡结合部和城中村综合环境和功能品质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3、2021年整治提升500条背街小巷，实现背街小巷整治全覆盖</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3、推进社区邻里中心建设</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1、推广“1+5+x”（1个社区+5类服务形态+ x个衍生业态）社区邻里中心建设标准体系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2、到2021年底建成200个左右社区邻里中心，实现建成区全覆盖</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784" w:type="dxa"/>
            <w:gridSpan w:val="3"/>
            <w:vAlign w:val="center"/>
          </w:tcPr>
          <w:p>
            <w:pPr>
              <w:rPr>
                <w:rFonts w:ascii="仿宋" w:hAnsi="仿宋" w:eastAsia="仿宋" w:cs="仿宋"/>
                <w:b/>
                <w:sz w:val="24"/>
                <w:szCs w:val="24"/>
              </w:rPr>
            </w:pPr>
            <w:r>
              <w:rPr>
                <w:rFonts w:hint="eastAsia" w:ascii="仿宋" w:hAnsi="仿宋" w:eastAsia="仿宋" w:cs="仿宋"/>
                <w:b/>
                <w:sz w:val="24"/>
                <w:szCs w:val="24"/>
              </w:rPr>
              <w:t>三、洁净环境专栏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49" w:hRule="atLeast"/>
        </w:trPr>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（一）提升环卫保洁水平</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1、推动“马路本色”全覆盖</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1、全面解决主次干道、临街店面、街巷社区、城乡结合部和城中村存在的环境卫生问题，最终实现道路街巷“路见本色”，打造“洁净南昌”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2、固化城市道路“机械化清扫、人行道冲洗、快速流动保洁”作业机制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3、全市范围内全面推行“以克论净”考核机制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2、提升环卫作业清扫水平</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1、完善道路清扫保洁规范标准，建立道路清扫保洁长效管理机制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2、到2021年实现主次干道机械化清扫率达</w:t>
            </w:r>
            <w:r>
              <w:rPr>
                <w:rFonts w:ascii="仿宋" w:hAnsi="仿宋" w:eastAsia="仿宋" w:cs="仿宋"/>
                <w:sz w:val="24"/>
                <w:szCs w:val="24"/>
              </w:rPr>
              <w:t>100</w:t>
            </w:r>
            <w:r>
              <w:rPr>
                <w:rFonts w:hint="eastAsia" w:ascii="仿宋" w:hAnsi="仿宋" w:eastAsia="仿宋" w:cs="仿宋"/>
                <w:sz w:val="24"/>
                <w:szCs w:val="24"/>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3、提升环卫装备水平，按密闭化、环保化的要求，推进环卫作业车辆更新换代，优先推广使用新能源车辆。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4、实现环境卫生管理信息化。进一步打造“智慧环卫”“互联网＋环卫”</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3、深化门前管理责任制</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1、建立健全门前管理责任制体系和考核督导体系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2、到2025年，建成区</w:t>
            </w:r>
            <w:r>
              <w:rPr>
                <w:rFonts w:hint="eastAsia"/>
                <w:bCs/>
                <w:sz w:val="24"/>
                <w:szCs w:val="24"/>
              </w:rPr>
              <w:t>主次干道</w:t>
            </w:r>
            <w:r>
              <w:rPr>
                <w:rFonts w:hint="eastAsia" w:ascii="仿宋" w:hAnsi="仿宋" w:eastAsia="仿宋" w:cs="仿宋"/>
                <w:sz w:val="24"/>
                <w:szCs w:val="24"/>
              </w:rPr>
              <w:t>门前管理责任制签约率达到</w:t>
            </w:r>
            <w:r>
              <w:rPr>
                <w:rFonts w:ascii="仿宋" w:hAnsi="仿宋" w:eastAsia="仿宋" w:cs="仿宋"/>
                <w:sz w:val="24"/>
                <w:szCs w:val="24"/>
              </w:rPr>
              <w:t>10</w:t>
            </w:r>
            <w:r>
              <w:rPr>
                <w:rFonts w:hint="eastAsia" w:ascii="仿宋" w:hAnsi="仿宋" w:eastAsia="仿宋" w:cs="仿宋"/>
                <w:sz w:val="24"/>
                <w:szCs w:val="24"/>
              </w:rPr>
              <w:t>0%以上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（二）</w:t>
            </w:r>
            <w:r>
              <w:rPr>
                <w:rFonts w:hint="eastAsia" w:ascii="仿宋" w:hAnsi="仿宋" w:eastAsia="仿宋" w:cs="仿宋"/>
                <w:sz w:val="24"/>
                <w:szCs w:val="24"/>
              </w:rPr>
              <w:tab/>
            </w:r>
            <w:r>
              <w:rPr>
                <w:rFonts w:hint="eastAsia" w:ascii="仿宋" w:hAnsi="仿宋" w:eastAsia="仿宋" w:cs="仿宋"/>
                <w:sz w:val="24"/>
                <w:szCs w:val="24"/>
              </w:rPr>
              <w:t>加快垃圾综合治理</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1、深入推进生活垃圾分类</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1、开展生活垃圾分类，推广“定时定点”的分类投放模式和智能分类等创新做法</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2、持续开展垃圾分类宣传，形成可复制、可推广的生活垃圾分类“南昌模式”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3、2021年全市生活垃圾回收利用率达到</w:t>
            </w:r>
            <w:r>
              <w:rPr>
                <w:rFonts w:ascii="仿宋" w:hAnsi="仿宋" w:eastAsia="仿宋" w:cs="仿宋"/>
                <w:sz w:val="24"/>
                <w:szCs w:val="24"/>
              </w:rPr>
              <w:t>36</w:t>
            </w:r>
            <w:r>
              <w:rPr>
                <w:rFonts w:hint="eastAsia" w:ascii="仿宋" w:hAnsi="仿宋" w:eastAsia="仿宋" w:cs="仿宋"/>
                <w:sz w:val="24"/>
                <w:szCs w:val="24"/>
              </w:rPr>
              <w:t>%，基本建成生活垃圾分类处理系统，实现建成区生活垃圾分类工作总体达到全国中等以上水平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4、2025年全市生活垃圾回收利用率达到</w:t>
            </w:r>
            <w:r>
              <w:rPr>
                <w:rFonts w:ascii="仿宋" w:hAnsi="仿宋" w:eastAsia="仿宋" w:cs="仿宋"/>
                <w:sz w:val="24"/>
                <w:szCs w:val="24"/>
              </w:rPr>
              <w:t>38</w:t>
            </w:r>
            <w:r>
              <w:rPr>
                <w:rFonts w:hint="eastAsia" w:ascii="仿宋" w:hAnsi="仿宋" w:eastAsia="仿宋" w:cs="仿宋"/>
                <w:sz w:val="24"/>
                <w:szCs w:val="24"/>
              </w:rPr>
              <w:t>%，建成生活垃圾分类处理系统，实现建成区生活垃圾分类工作达到全国一流水平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2、优化生活垃圾分类收运体系</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1、建立与源头分类投放和终端分类处理无缝衔接的分类收运体系，重点建立健全大件家具家电、餐厨垃圾、快递包装垃圾、家庭装修垃圾和有害垃圾的收运体系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2、编制完成《南昌市垃圾分类管理发展规划》</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3、2021年底前，建成区建立完善的分类排放、分类收运的垃圾收运体系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3、加快垃圾中转站设施建设</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1、各区县需新建生活垃圾分类转运站2－3座，每座用地面积需600㎡，转运站日转运能力150吨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2、重点建设占地25亩南昌市大型垃圾分类转运中心（选址在城东片区，设计日转运能力900吨），及一座占地10亩全市大型家具破碎中心</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4、打造垃圾终端处理循环经济产业园区</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1、完成《南昌市环境卫生专项规划（2020-2035）》、《南昌市环卫设施专项规划（2020-2035）》（修编）</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2、编制完成《南昌餐厨垃圾处理专项规划（2020-2035）》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3、南昌市麦园第二餐厨垃圾处理厂及投产运行的南昌市麦园垃圾焚烧发电厂（设计日处理2400吨），南昌市麦园飞灰填埋场处理飞灰能力</w:t>
            </w:r>
            <w:r>
              <w:rPr>
                <w:rFonts w:ascii="仿宋" w:hAnsi="仿宋" w:eastAsia="仿宋" w:cs="仿宋"/>
                <w:sz w:val="24"/>
                <w:szCs w:val="24"/>
              </w:rPr>
              <w:t>120</w:t>
            </w:r>
            <w:r>
              <w:rPr>
                <w:rFonts w:hint="eastAsia" w:ascii="仿宋" w:hAnsi="仿宋" w:eastAsia="仿宋" w:cs="仿宋"/>
                <w:sz w:val="24"/>
                <w:szCs w:val="24"/>
              </w:rPr>
              <w:t>吨/日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4、扩建泉岭生活垃圾焚烧发电厂日处理能力1200吨，预留日处理能力600吨的发展空间，泉岭餐厨垃圾处理厂处理能力300吨/日和南昌市有害垃圾处理厂（设计日处理分类后的有害垃圾20吨）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5、2021年底在全国率先基本实现建成区原生垃圾“零填埋”，垃圾焚烧率达</w:t>
            </w:r>
            <w:r>
              <w:rPr>
                <w:rFonts w:ascii="仿宋" w:hAnsi="仿宋" w:eastAsia="仿宋" w:cs="仿宋"/>
                <w:sz w:val="24"/>
                <w:szCs w:val="24"/>
              </w:rPr>
              <w:t>90</w:t>
            </w:r>
            <w:r>
              <w:rPr>
                <w:rFonts w:hint="eastAsia" w:ascii="仿宋" w:hAnsi="仿宋" w:eastAsia="仿宋" w:cs="仿宋"/>
                <w:sz w:val="24"/>
                <w:szCs w:val="24"/>
              </w:rPr>
              <w:t>％以上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6、到2021年实现生活垃圾无害化处理率达100%，资源化利用率达75%，生活垃圾减量85%以上，达到全国先进水平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7、到2025年实现生活垃圾无害化处理率达100%，资源化利用率达90%，达到全国一流水平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5、推进建筑垃圾消纳与资源化利用</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1、编制完成《南昌市建筑垃圾消纳场布局规划》</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2、加快推动建筑垃圾消纳场的规划建设，各区须至少设立一个建筑垃圾消纳场，规范消纳场日常管理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3、积极推广建筑垃圾的资源化利用技术，完善建筑垃圾处理的全流程设计，确保建筑垃圾高效、有序、安全处置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p>
          <w:p>
            <w:pPr>
              <w:rPr>
                <w:rFonts w:ascii="仿宋" w:hAnsi="仿宋" w:eastAsia="仿宋" w:cs="仿宋"/>
                <w:sz w:val="24"/>
                <w:szCs w:val="24"/>
              </w:rPr>
            </w:pPr>
            <w:r>
              <w:rPr>
                <w:rFonts w:hint="eastAsia" w:ascii="仿宋" w:hAnsi="仿宋" w:eastAsia="仿宋" w:cs="仿宋"/>
                <w:sz w:val="24"/>
                <w:szCs w:val="24"/>
              </w:rPr>
              <w:t>（三）改善公厕服务质量</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1、完善公厕布局</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1、大力开展“厕所革命”，加大公厕建设力度，形成以环卫公厕为主体，社会公厕为补充，布局合理、数量充足、管理规范、如厕文明的公厕服务体系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2、鼓励沿街商业设施及办公机构厕所对外开放，优化公厕布局。规范公厕的标识标牌，完善公厕便民服务功能，改善市民如厕环境</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946"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3、到2021年，实现建成区公厕密度达到5座/平方公里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4、到2025年，实现建成区公厕密度5-7座/平方公里，主要道路两侧达到每500m一座公共厕所</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2、提高环卫公厕建设营运质量</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1、完善环卫公厕建设营运管理办法，规范环卫公厕的建设营运标准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（四）健全环卫行业管理</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1、实施征收垃圾处理费</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1、出台《南昌市城市生活垃圾处理费征收管理办法》及垃圾处理费征收实施细则，进一步规范垃圾处理费征收管理工作，加大垃圾处理费征收力度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2、2021年完成南昌市垃圾处理费征收管理中心的组建，承担南昌市生活垃圾处理费核定、征收、分配和综合协调等管理工作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3、建设垃圾处理费征收管理平台，完成与洪城水业收费系统的对接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570" w:hRule="atLeast"/>
        </w:trPr>
        <w:tc>
          <w:tcPr>
            <w:tcW w:w="1387" w:type="dxa"/>
            <w:vMerge w:val="continue"/>
            <w:vAlign w:val="center"/>
          </w:tcPr>
          <w:p>
            <w:pPr>
              <w:rPr>
                <w:rFonts w:ascii="仿宋" w:hAnsi="仿宋" w:eastAsia="仿宋" w:cs="仿宋"/>
                <w:sz w:val="24"/>
                <w:szCs w:val="24"/>
              </w:rPr>
            </w:pP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2、做大做强市容环卫集团</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w:t>
            </w:r>
            <w:r>
              <w:rPr>
                <w:rFonts w:ascii="仿宋" w:hAnsi="仿宋" w:eastAsia="仿宋" w:cs="仿宋"/>
                <w:sz w:val="24"/>
                <w:szCs w:val="24"/>
              </w:rPr>
              <w:t>打造环卫集团“</w:t>
            </w:r>
            <w:r>
              <w:rPr>
                <w:rFonts w:hint="eastAsia" w:ascii="仿宋" w:hAnsi="仿宋" w:eastAsia="仿宋" w:cs="仿宋"/>
                <w:sz w:val="24"/>
                <w:szCs w:val="24"/>
              </w:rPr>
              <w:t>双驱并进</w:t>
            </w:r>
            <w:r>
              <w:rPr>
                <w:rFonts w:ascii="仿宋" w:hAnsi="仿宋" w:eastAsia="仿宋" w:cs="仿宋"/>
                <w:sz w:val="24"/>
                <w:szCs w:val="24"/>
              </w:rPr>
              <w:t>”</w:t>
            </w:r>
            <w:r>
              <w:rPr>
                <w:rFonts w:hint="eastAsia" w:ascii="仿宋" w:hAnsi="仿宋" w:eastAsia="仿宋" w:cs="仿宋"/>
                <w:sz w:val="24"/>
                <w:szCs w:val="24"/>
              </w:rPr>
              <w:t>的模式。</w:t>
            </w:r>
          </w:p>
          <w:p>
            <w:pPr>
              <w:rPr>
                <w:rFonts w:ascii="仿宋" w:hAnsi="仿宋" w:eastAsia="仿宋" w:cs="仿宋"/>
                <w:sz w:val="24"/>
                <w:szCs w:val="24"/>
              </w:rPr>
            </w:pPr>
            <w:r>
              <w:rPr>
                <w:rFonts w:ascii="仿宋" w:hAnsi="仿宋" w:eastAsia="仿宋" w:cs="仿宋"/>
                <w:sz w:val="24"/>
                <w:szCs w:val="24"/>
              </w:rPr>
              <w:t>2</w:t>
            </w:r>
            <w:r>
              <w:rPr>
                <w:rFonts w:hint="eastAsia" w:ascii="仿宋" w:hAnsi="仿宋" w:eastAsia="仿宋" w:cs="仿宋"/>
                <w:sz w:val="24"/>
                <w:szCs w:val="24"/>
              </w:rPr>
              <w:t>、引入战略</w:t>
            </w:r>
            <w:r>
              <w:rPr>
                <w:rFonts w:ascii="仿宋" w:hAnsi="仿宋" w:eastAsia="仿宋" w:cs="仿宋"/>
                <w:sz w:val="24"/>
                <w:szCs w:val="24"/>
              </w:rPr>
              <w:t>合作</w:t>
            </w:r>
            <w:r>
              <w:rPr>
                <w:rFonts w:hint="eastAsia" w:ascii="仿宋" w:hAnsi="仿宋" w:eastAsia="仿宋" w:cs="仿宋"/>
                <w:sz w:val="24"/>
                <w:szCs w:val="24"/>
              </w:rPr>
              <w:t>企业，壮大企业集团成员，扩大集团业务规模，不断提升市场竞争力。</w:t>
            </w:r>
          </w:p>
          <w:p>
            <w:pPr>
              <w:rPr>
                <w:rFonts w:ascii="仿宋" w:hAnsi="仿宋" w:eastAsia="仿宋" w:cs="仿宋"/>
                <w:sz w:val="24"/>
                <w:szCs w:val="24"/>
              </w:rPr>
            </w:pPr>
            <w:r>
              <w:rPr>
                <w:rFonts w:ascii="仿宋" w:hAnsi="仿宋" w:eastAsia="仿宋" w:cs="仿宋"/>
                <w:sz w:val="24"/>
                <w:szCs w:val="24"/>
              </w:rPr>
              <w:t>3</w:t>
            </w:r>
            <w:r>
              <w:rPr>
                <w:rFonts w:hint="eastAsia" w:ascii="仿宋" w:hAnsi="仿宋" w:eastAsia="仿宋" w:cs="仿宋"/>
                <w:sz w:val="24"/>
                <w:szCs w:val="24"/>
              </w:rPr>
              <w:t>、通过探索开发环卫设施服务、再生资源处理、环卫信息化等业务板块，增长</w:t>
            </w:r>
            <w:r>
              <w:rPr>
                <w:rFonts w:ascii="仿宋" w:hAnsi="仿宋" w:eastAsia="仿宋" w:cs="仿宋"/>
                <w:sz w:val="24"/>
                <w:szCs w:val="24"/>
              </w:rPr>
              <w:t>企业营收</w:t>
            </w:r>
            <w:r>
              <w:rPr>
                <w:rFonts w:hint="eastAsia" w:ascii="仿宋" w:hAnsi="仿宋" w:eastAsia="仿宋" w:cs="仿宋"/>
                <w:sz w:val="24"/>
                <w:szCs w:val="24"/>
              </w:rPr>
              <w:t>能力</w:t>
            </w:r>
            <w:r>
              <w:rPr>
                <w:rFonts w:ascii="仿宋" w:hAnsi="仿宋" w:eastAsia="仿宋" w:cs="仿宋"/>
                <w:sz w:val="24"/>
                <w:szCs w:val="24"/>
              </w:rPr>
              <w:t>，</w:t>
            </w:r>
            <w:r>
              <w:rPr>
                <w:rFonts w:hint="eastAsia" w:ascii="仿宋" w:hAnsi="仿宋" w:eastAsia="仿宋" w:cs="仿宋"/>
                <w:sz w:val="24"/>
                <w:szCs w:val="24"/>
              </w:rPr>
              <w:t>提升</w:t>
            </w:r>
            <w:r>
              <w:rPr>
                <w:rFonts w:ascii="仿宋" w:hAnsi="仿宋" w:eastAsia="仿宋" w:cs="仿宋"/>
                <w:sz w:val="24"/>
                <w:szCs w:val="24"/>
              </w:rPr>
              <w:t>环卫</w:t>
            </w:r>
            <w:r>
              <w:rPr>
                <w:rFonts w:hint="eastAsia" w:ascii="仿宋" w:hAnsi="仿宋" w:eastAsia="仿宋" w:cs="仿宋"/>
                <w:sz w:val="24"/>
                <w:szCs w:val="24"/>
              </w:rPr>
              <w:t>服务水平。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p>
          <w:p>
            <w:pPr>
              <w:rPr>
                <w:rFonts w:ascii="仿宋" w:hAnsi="仿宋" w:eastAsia="仿宋" w:cs="仿宋"/>
                <w:sz w:val="24"/>
                <w:szCs w:val="24"/>
              </w:rPr>
            </w:pPr>
            <w:r>
              <w:rPr>
                <w:rFonts w:hint="eastAsia" w:ascii="仿宋" w:hAnsi="仿宋" w:eastAsia="仿宋" w:cs="仿宋"/>
                <w:sz w:val="24"/>
                <w:szCs w:val="24"/>
              </w:rPr>
              <w:t>3、健全环卫行业管理</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1、加强对环卫行业协会的指导，支持环卫行业协会发展。</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2、强化环卫行业协会对环卫企业的监督管理，提高环卫行业自律能力</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3、劳动保障监察部门将环卫保洁企业列入重点监察对象，加强日常巡查和执法检查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4、对侵害环卫工人合法权益的违法违规行为加大执法力度，切实维护环卫工人的合法权益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5、加大环卫从业人员职业培训力度，逐步提高环卫从业人员技能水平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6、制定环卫工作岗位技能培训方案，建立以学代招机制，强化技术培训</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4、规范行业监督管理</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1、完善生活垃圾清扫、收集、分类、运输和处理服务监管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2、建立完善的市场准入退出机制和企业信用体系，吸引企业参与垃圾治理，培育行业骨干企业</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3、探索建立集政府、业主、社会监督一体的生活垃圾处理监管机制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4、改进生活垃圾管理、营运监督考核办法，量化考核指标，注重考核结果的运用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5、建立健全“三随机”抽查监管制度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（五）</w:t>
            </w:r>
            <w:r>
              <w:rPr>
                <w:rFonts w:hint="eastAsia" w:ascii="仿宋" w:hAnsi="仿宋" w:eastAsia="仿宋" w:cs="仿宋"/>
                <w:sz w:val="24"/>
                <w:szCs w:val="24"/>
              </w:rPr>
              <w:tab/>
            </w:r>
            <w:r>
              <w:rPr>
                <w:rFonts w:hint="eastAsia" w:ascii="仿宋" w:hAnsi="仿宋" w:eastAsia="仿宋" w:cs="仿宋"/>
                <w:sz w:val="24"/>
                <w:szCs w:val="24"/>
              </w:rPr>
              <w:t>推进大气环境治理</w:t>
            </w:r>
          </w:p>
        </w:tc>
        <w:tc>
          <w:tcPr>
            <w:tcW w:w="1556" w:type="dxa"/>
            <w:vMerge w:val="restart"/>
            <w:vAlign w:val="center"/>
          </w:tcPr>
          <w:p>
            <w:pPr>
              <w:rPr>
                <w:rFonts w:ascii="仿宋" w:hAnsi="仿宋" w:eastAsia="仿宋" w:cs="仿宋"/>
                <w:sz w:val="24"/>
                <w:szCs w:val="24"/>
              </w:rPr>
            </w:pPr>
            <w:r>
              <w:rPr>
                <w:rFonts w:ascii="仿宋" w:hAnsi="仿宋" w:eastAsia="仿宋" w:cs="仿宋"/>
                <w:sz w:val="24"/>
                <w:szCs w:val="24"/>
              </w:rPr>
              <w:t>1</w:t>
            </w:r>
            <w:r>
              <w:rPr>
                <w:rFonts w:hint="eastAsia" w:ascii="仿宋" w:hAnsi="仿宋" w:eastAsia="仿宋" w:cs="仿宋"/>
                <w:sz w:val="24"/>
                <w:szCs w:val="24"/>
              </w:rPr>
              <w:t>、道路扬尘治理</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1、加大环卫机械化设备投入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2、全面推广机械化清扫、人行道冲洗、快速流动保洁相结合的立体全覆盖保洁模式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2、餐饮油烟治理</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1、开展露天烧烤整治，对违规露天烧烤行为依法查处</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2、开展餐饮企业（食堂）油烟治理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3、定期开展执法检查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3、禁燃禁放治理</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1、全面落实禁燃禁放烟花爆竹规定</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2、大力推进秸秆综合利用，全面实施秸秆禁烧</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784" w:type="dxa"/>
            <w:gridSpan w:val="3"/>
            <w:vAlign w:val="center"/>
          </w:tcPr>
          <w:p>
            <w:pPr>
              <w:rPr>
                <w:rFonts w:ascii="仿宋" w:hAnsi="仿宋" w:eastAsia="仿宋" w:cs="仿宋"/>
                <w:b/>
                <w:sz w:val="24"/>
                <w:szCs w:val="24"/>
              </w:rPr>
            </w:pPr>
            <w:r>
              <w:rPr>
                <w:rFonts w:hint="eastAsia" w:ascii="仿宋" w:hAnsi="仿宋" w:eastAsia="仿宋" w:cs="仿宋"/>
                <w:b/>
                <w:sz w:val="24"/>
                <w:szCs w:val="24"/>
              </w:rPr>
              <w:t>四、生态园林</w:t>
            </w:r>
            <w:r>
              <w:rPr>
                <w:rFonts w:ascii="仿宋" w:hAnsi="仿宋" w:eastAsia="仿宋" w:cs="仿宋"/>
                <w:b/>
                <w:sz w:val="24"/>
                <w:szCs w:val="24"/>
              </w:rPr>
              <w:t>专栏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（一）统筹总体结构布局</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1、理顺城市绿地系统结构</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1、2021年启动修编《南昌市城市绿地系统规划（2021-2035）》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2、加强梅岭生态绿核，赣江上游、赣江下游、抚河-青岚湖三大生态绿楔，以赣江沿江生态蓝绿带。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3、内外两条绕城绿环，12条城市组团的绿色廊道等生态培育</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2、推进公园体系建设</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1、202</w:t>
            </w:r>
            <w:r>
              <w:rPr>
                <w:rFonts w:ascii="仿宋" w:hAnsi="仿宋" w:eastAsia="仿宋" w:cs="仿宋"/>
                <w:sz w:val="24"/>
                <w:szCs w:val="24"/>
              </w:rPr>
              <w:t>1</w:t>
            </w:r>
            <w:r>
              <w:rPr>
                <w:rFonts w:hint="eastAsia" w:ascii="仿宋" w:hAnsi="仿宋" w:eastAsia="仿宋" w:cs="仿宋"/>
                <w:sz w:val="24"/>
                <w:szCs w:val="24"/>
              </w:rPr>
              <w:t>年编制完成《南昌市公园体系发展规划（2020-2035）》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2、由综合公园、社区公园、专类公园、游园组成的城市公园体系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（二）加快公园城市建设</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1、深刻认识公园城市本质要求</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1、公园城市人城境业高度和谐统一的现代化城市，是新时代可持续发展城市建设的新模式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2、大力推进国家生态文明试验区建设，扎实做好治山理水、显山露水的文章，以更高标准打造美丽中国“江西样板”</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3、牢牢把握高质量发展根本要求，坚持生态文明引领城市发展，为加快建设美丽宜居公园城市努力奋斗</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到2021年，以建设“山水名城、生态都市”为目标，展现“山水相依、景城一体、诗情画意、宜居宜游”的独特魅力，充分彰显省会担当，唱响城市建管“南昌品牌”，把南昌打造成为可阅读、有温度、宜居宜业的国际化、现代化的山水花园都市</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5、到2025年，将南昌打造成全域式生态花园城市，公园城市特点初显雏形，初步构建山水林田湖城生命共同体</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6、到2035年南昌全方位形成人与城市、环境、产业高度和谐统一的大美城市生态圈，最终建成公园城市</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2、加快公园绿地建设</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1、推进赣江风光带向南北延伸，打造全省最长的滨江风光带，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087"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实施赣江市民公园（四期）、九龙湖公园二期、绿地国博公园、玉带河监控系统及儿童公园、洪都航空文化园、动物园二期、人民公园、龙潭水渠、儒乐湖公园、杨家湖及周边生态修复、磨盘山公园、丹霞公园、渔庄秋月公园、象湖及抚河故道生态修复、平安公园、武举堤坝湿地公园、雁泥湖公园、赣鄱珍奇植物园、百花园等一批公园绿地建设。</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3、到2021年底全市建成120个公园广场，建成区绿地率达到39.</w:t>
            </w:r>
            <w:r>
              <w:rPr>
                <w:rFonts w:ascii="仿宋" w:hAnsi="仿宋" w:eastAsia="仿宋" w:cs="仿宋"/>
                <w:sz w:val="24"/>
                <w:szCs w:val="24"/>
              </w:rPr>
              <w:t>32</w:t>
            </w:r>
            <w:r>
              <w:rPr>
                <w:rFonts w:hint="eastAsia" w:ascii="仿宋" w:hAnsi="仿宋" w:eastAsia="仿宋" w:cs="仿宋"/>
                <w:sz w:val="24"/>
                <w:szCs w:val="24"/>
              </w:rPr>
              <w:t>%，力争人均公园绿地面积达到12.1㎡，绿化覆盖率达到41.33%。绿地率达到全国省会城市上游，构建完善的城市公园体系，提升公园广场的服务性功能。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161"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4、到2025年，建成区绿地率达到39.</w:t>
            </w:r>
            <w:r>
              <w:rPr>
                <w:rFonts w:ascii="仿宋" w:hAnsi="仿宋" w:eastAsia="仿宋" w:cs="仿宋"/>
                <w:sz w:val="24"/>
                <w:szCs w:val="24"/>
              </w:rPr>
              <w:t>36</w:t>
            </w:r>
            <w:r>
              <w:rPr>
                <w:rFonts w:hint="eastAsia" w:ascii="仿宋" w:hAnsi="仿宋" w:eastAsia="仿宋" w:cs="仿宋"/>
                <w:sz w:val="24"/>
                <w:szCs w:val="24"/>
              </w:rPr>
              <w:t>%，人均公园绿地面积达到12.6㎡，绿化覆盖率达到42%，各项指标达到国家生态园林城市标准，创建国家生态园林城市。</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3、打造绿道之城</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1、进一步拓展延伸全市绿道覆盖范围，形成以城市绿廊为主轴，城市绿道为骨干，社区绿道为补充，涵盖生态型、郊野性、都市型的绿道绿廊网络体系。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395"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2、力争2021年底新增绿道长度达到500公里。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428"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3、力争2025年底新增绿道长度达到700公里。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4、加快城市邮票绿地建设</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1、持续优化城市公园绿地布局，更加注重居民身边小绿地、小游园等社区公园和街旁绿地建设</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570"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2、在城区现有邮票绿地基础上，利用城市拆违区、斑秃区、废弃地、边角地带、老旧社区见缝插绿，补足休闲、体育、公共卫生服务设施，满足市民基本需求</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2021年持续推进52个“口袋公园”“邮票绿地”建设，基本达到居民推窗见绿、出门赏景的观景效果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（三）提升园林绿化品质</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1、提升城市绿化品味</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1、园林绿化“绿改彩”工程：对道路的中分带、侧分带和小游园进行提档升级，增加多彩花卉种植及摆放，改变单一绿色格调，提升绿化景观效果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2、利用道路护栏摆放花卉造型，并在中山路、阳明路、八一大道、北京西路利用花箱替换人行道护栏和道路中央护栏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3、在城市重要节点、重点区域、主要道路上实施景观绿化，增加街头小品和花卉造型，推进城市绿化景观化、多样化、色彩化、香溢化和本土化</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2、大力推进立体绿化建设</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1、创新绿墙、花墙、树墙、和绿色阳台等立体绿化形式，大力推进立体绿化建设</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2、因地制宜推广实施公共建筑屋顶、建筑墙体、立交桥、挡土墙、边（护）坡、柱廊及棚架、花坛、庭院等立体绿化，扩展城市绿色空间</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（四）推进城市生态修复</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1、加大梅岭及其周边山脉的保护与利用</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1、实施“揽山入城”战略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2、对梅岭山体水系、水库进行提升改造</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3、对于违规建设项目，应立即叫停，杜绝违规建设和过度开发的现象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2、加强鄱阳湖、军山湖等重要湿地的保护与修复</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1、加强赣江上游、赣江下游（鄱阳湖）、军山湖-青岚湖三大生态绿楔保护与修复</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2、积极探索鄱阳湖越冬候鸟区基层保护站点体系建设</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3、赣抚尾闾地区整治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（五）加强园林绿化养护</w:t>
            </w: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1、实行绿化属地管理制度</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明确“市、区、街、社”四级管护的责任分工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2、加强园林绿化养护的投入</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多渠道筹措建设与养护的资金</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3、养护管理法制化</w:t>
            </w:r>
          </w:p>
        </w:tc>
        <w:tc>
          <w:tcPr>
            <w:tcW w:w="5841" w:type="dxa"/>
            <w:vAlign w:val="center"/>
          </w:tcPr>
          <w:p>
            <w:pPr>
              <w:rPr>
                <w:rFonts w:ascii="仿宋" w:hAnsi="仿宋" w:eastAsia="仿宋" w:cs="仿宋"/>
                <w:sz w:val="24"/>
                <w:szCs w:val="24"/>
              </w:rPr>
            </w:pPr>
            <w:r>
              <w:rPr>
                <w:rFonts w:hint="eastAsia" w:ascii="仿宋" w:hAnsi="仿宋" w:eastAsia="仿宋" w:cs="仿宋"/>
                <w:sz w:val="24"/>
                <w:szCs w:val="24"/>
              </w:rPr>
              <w:t>以立法的形式把绿地、树木、养护、管理列为所有者的责任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784" w:type="dxa"/>
            <w:gridSpan w:val="3"/>
            <w:vAlign w:val="center"/>
          </w:tcPr>
          <w:p>
            <w:pPr>
              <w:rPr>
                <w:rFonts w:ascii="仿宋" w:hAnsi="仿宋" w:eastAsia="仿宋" w:cs="仿宋"/>
                <w:b/>
                <w:sz w:val="24"/>
                <w:szCs w:val="24"/>
              </w:rPr>
            </w:pPr>
            <w:r>
              <w:rPr>
                <w:rFonts w:hint="eastAsia" w:ascii="仿宋" w:hAnsi="仿宋" w:eastAsia="仿宋" w:cs="仿宋"/>
                <w:b/>
                <w:sz w:val="24"/>
                <w:szCs w:val="24"/>
              </w:rPr>
              <w:t>五、安全公用</w:t>
            </w:r>
            <w:r>
              <w:rPr>
                <w:rFonts w:ascii="仿宋" w:hAnsi="仿宋" w:eastAsia="仿宋" w:cs="仿宋"/>
                <w:b/>
                <w:sz w:val="24"/>
                <w:szCs w:val="24"/>
              </w:rPr>
              <w:t>专栏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jc w:val="center"/>
              <w:rPr>
                <w:rFonts w:ascii="仿宋" w:hAnsi="仿宋" w:eastAsia="仿宋" w:cs="仿宋"/>
                <w:sz w:val="24"/>
                <w:szCs w:val="24"/>
              </w:rPr>
            </w:pPr>
          </w:p>
          <w:p>
            <w:pPr>
              <w:jc w:val="center"/>
              <w:rPr>
                <w:rFonts w:ascii="仿宋" w:hAnsi="仿宋" w:eastAsia="仿宋" w:cs="仿宋"/>
                <w:sz w:val="24"/>
                <w:szCs w:val="24"/>
              </w:rPr>
            </w:pPr>
          </w:p>
          <w:p>
            <w:pPr>
              <w:jc w:val="center"/>
              <w:rPr>
                <w:rFonts w:ascii="仿宋" w:hAnsi="仿宋" w:eastAsia="仿宋" w:cs="仿宋"/>
                <w:sz w:val="24"/>
                <w:szCs w:val="24"/>
              </w:rPr>
            </w:pPr>
          </w:p>
          <w:p>
            <w:pPr>
              <w:jc w:val="center"/>
              <w:rPr>
                <w:rFonts w:ascii="仿宋" w:hAnsi="仿宋" w:eastAsia="仿宋" w:cs="仿宋"/>
                <w:sz w:val="24"/>
                <w:szCs w:val="24"/>
              </w:rPr>
            </w:pPr>
          </w:p>
          <w:p>
            <w:pPr>
              <w:jc w:val="center"/>
              <w:rPr>
                <w:rFonts w:ascii="仿宋" w:hAnsi="仿宋" w:eastAsia="仿宋" w:cs="仿宋"/>
                <w:sz w:val="24"/>
                <w:szCs w:val="24"/>
              </w:rPr>
            </w:pPr>
            <w:r>
              <w:rPr>
                <w:rFonts w:hint="eastAsia" w:ascii="仿宋" w:hAnsi="仿宋" w:eastAsia="仿宋" w:cs="仿宋"/>
                <w:sz w:val="24"/>
                <w:szCs w:val="24"/>
              </w:rPr>
              <w:t>（一）强化供水保障体系</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1、加强供水保障体系建设</w:t>
            </w:r>
          </w:p>
        </w:tc>
        <w:tc>
          <w:tcPr>
            <w:tcW w:w="5841" w:type="dxa"/>
          </w:tcPr>
          <w:p>
            <w:pPr>
              <w:rPr>
                <w:rFonts w:ascii="仿宋" w:hAnsi="仿宋" w:eastAsia="仿宋" w:cs="仿宋"/>
                <w:sz w:val="24"/>
                <w:szCs w:val="24"/>
              </w:rPr>
            </w:pPr>
            <w:r>
              <w:rPr>
                <w:rFonts w:hint="eastAsia" w:ascii="仿宋" w:hAnsi="仿宋" w:eastAsia="仿宋" w:cs="仿宋"/>
                <w:sz w:val="24"/>
                <w:szCs w:val="24"/>
              </w:rPr>
              <w:t>1、编制完成《南昌市供水专项规划（2019-2035》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jc w:val="cente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2、南昌市建成区主要水源为赣江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jc w:val="cente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3、水源工程：近期建设红角洲水厂水源工程（10万m</w:t>
            </w:r>
            <w:r>
              <w:rPr>
                <w:rFonts w:hint="eastAsia" w:ascii="仿宋" w:hAnsi="仿宋" w:eastAsia="仿宋" w:cs="仿宋"/>
                <w:sz w:val="24"/>
                <w:szCs w:val="24"/>
                <w:vertAlign w:val="superscript"/>
              </w:rPr>
              <w:t>3</w:t>
            </w:r>
            <w:r>
              <w:rPr>
                <w:rFonts w:hint="eastAsia" w:ascii="仿宋" w:hAnsi="仿宋" w:eastAsia="仿宋" w:cs="仿宋"/>
                <w:sz w:val="24"/>
                <w:szCs w:val="24"/>
              </w:rPr>
              <w:t>/d），空港水厂水源工程（10万m</w:t>
            </w:r>
            <w:r>
              <w:rPr>
                <w:rFonts w:hint="eastAsia" w:ascii="仿宋" w:hAnsi="仿宋" w:eastAsia="仿宋" w:cs="仿宋"/>
                <w:sz w:val="24"/>
                <w:szCs w:val="24"/>
                <w:vertAlign w:val="superscript"/>
              </w:rPr>
              <w:t>3</w:t>
            </w:r>
            <w:r>
              <w:rPr>
                <w:rFonts w:hint="eastAsia" w:ascii="仿宋" w:hAnsi="仿宋" w:eastAsia="仿宋" w:cs="仿宋"/>
                <w:sz w:val="24"/>
                <w:szCs w:val="24"/>
              </w:rPr>
              <w:t>/d），九龙湖水厂水源工程（10万m</w:t>
            </w:r>
            <w:r>
              <w:rPr>
                <w:rFonts w:hint="eastAsia" w:ascii="仿宋" w:hAnsi="仿宋" w:eastAsia="仿宋" w:cs="仿宋"/>
                <w:sz w:val="24"/>
                <w:szCs w:val="24"/>
                <w:vertAlign w:val="superscript"/>
              </w:rPr>
              <w:t>3</w:t>
            </w:r>
            <w:r>
              <w:rPr>
                <w:rFonts w:hint="eastAsia" w:ascii="仿宋" w:hAnsi="仿宋" w:eastAsia="仿宋" w:cs="仿宋"/>
                <w:sz w:val="24"/>
                <w:szCs w:val="24"/>
              </w:rPr>
              <w:t>/d）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jc w:val="cente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4、净水厂工程： 昌南供水系统包括近期扩建城北水厂二期规模10万m</w:t>
            </w:r>
            <w:r>
              <w:rPr>
                <w:rFonts w:hint="eastAsia" w:ascii="仿宋" w:hAnsi="仿宋" w:eastAsia="仿宋" w:cs="仿宋"/>
                <w:sz w:val="24"/>
                <w:szCs w:val="24"/>
                <w:vertAlign w:val="superscript"/>
              </w:rPr>
              <w:t>3</w:t>
            </w:r>
            <w:r>
              <w:rPr>
                <w:rFonts w:hint="eastAsia" w:ascii="仿宋" w:hAnsi="仿宋" w:eastAsia="仿宋" w:cs="仿宋"/>
                <w:sz w:val="24"/>
                <w:szCs w:val="24"/>
              </w:rPr>
              <w:t>/d；昌北供水系统包括近期扩建红角洲水厂二期规模10万m</w:t>
            </w:r>
            <w:r>
              <w:rPr>
                <w:rFonts w:hint="eastAsia" w:ascii="仿宋" w:hAnsi="仿宋" w:eastAsia="仿宋" w:cs="仿宋"/>
                <w:sz w:val="24"/>
                <w:szCs w:val="24"/>
                <w:vertAlign w:val="superscript"/>
              </w:rPr>
              <w:t>3</w:t>
            </w:r>
            <w:r>
              <w:rPr>
                <w:rFonts w:hint="eastAsia" w:ascii="仿宋" w:hAnsi="仿宋" w:eastAsia="仿宋" w:cs="仿宋"/>
                <w:sz w:val="24"/>
                <w:szCs w:val="24"/>
              </w:rPr>
              <w:t>/d；新建空港水厂一期规模10万m</w:t>
            </w:r>
            <w:r>
              <w:rPr>
                <w:rFonts w:hint="eastAsia" w:ascii="仿宋" w:hAnsi="仿宋" w:eastAsia="仿宋" w:cs="仿宋"/>
                <w:sz w:val="24"/>
                <w:szCs w:val="24"/>
                <w:vertAlign w:val="superscript"/>
              </w:rPr>
              <w:t>3</w:t>
            </w:r>
            <w:r>
              <w:rPr>
                <w:rFonts w:hint="eastAsia" w:ascii="仿宋" w:hAnsi="仿宋" w:eastAsia="仿宋" w:cs="仿宋"/>
                <w:sz w:val="24"/>
                <w:szCs w:val="24"/>
              </w:rPr>
              <w:t>/d；新建九龙湖水厂一期规模10万m</w:t>
            </w:r>
            <w:r>
              <w:rPr>
                <w:rFonts w:hint="eastAsia" w:ascii="仿宋" w:hAnsi="仿宋" w:eastAsia="仿宋" w:cs="仿宋"/>
                <w:sz w:val="24"/>
                <w:szCs w:val="24"/>
                <w:vertAlign w:val="superscript"/>
              </w:rPr>
              <w:t>3</w:t>
            </w:r>
            <w:r>
              <w:rPr>
                <w:rFonts w:hint="eastAsia" w:ascii="仿宋" w:hAnsi="仿宋" w:eastAsia="仿宋" w:cs="仿宋"/>
                <w:sz w:val="24"/>
                <w:szCs w:val="24"/>
              </w:rPr>
              <w:t>/d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jc w:val="cente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5、供水管网工程：昌南城区供水系统工程为配合城北水厂二期扩建以及对航空城等水压偏低区域进行改造等，需要新增建设DN300-DN1000输配水管道334km；昌北城区供水系统工程为配合为配合红角洲水厂扩建以及新建空港水厂、九龙湖水厂建设等，需要新增建设DN300-DN1600输配水管道301k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jc w:val="cente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6、编制完成《南昌市应急水源专项规划》</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jc w:val="cente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7、应急水源工程：昌南城区应急供水通过赣抚平原西总干、五干渠引抚河来水，目标水厂为青云水厂；昌北城区应急水源为幸福水库蓄水，目标水厂确定为牛行水厂</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jc w:val="cente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8、至2021年，南昌市建成区供水能力达到160万m</w:t>
            </w:r>
            <w:r>
              <w:rPr>
                <w:rFonts w:hint="eastAsia" w:ascii="仿宋" w:hAnsi="仿宋" w:eastAsia="仿宋" w:cs="仿宋"/>
                <w:sz w:val="24"/>
                <w:szCs w:val="24"/>
                <w:vertAlign w:val="superscript"/>
              </w:rPr>
              <w:t>3</w:t>
            </w:r>
            <w:r>
              <w:rPr>
                <w:rFonts w:hint="eastAsia" w:ascii="仿宋" w:hAnsi="仿宋" w:eastAsia="仿宋" w:cs="仿宋"/>
                <w:sz w:val="24"/>
                <w:szCs w:val="24"/>
              </w:rPr>
              <w:t>/ d。至2025年，南昌市建成区供水能力达到200 万m</w:t>
            </w:r>
            <w:r>
              <w:rPr>
                <w:rFonts w:hint="eastAsia" w:ascii="仿宋" w:hAnsi="仿宋" w:eastAsia="仿宋" w:cs="仿宋"/>
                <w:sz w:val="24"/>
                <w:szCs w:val="24"/>
                <w:vertAlign w:val="superscript"/>
              </w:rPr>
              <w:t>3</w:t>
            </w:r>
            <w:r>
              <w:rPr>
                <w:rFonts w:hint="eastAsia" w:ascii="仿宋" w:hAnsi="仿宋" w:eastAsia="仿宋" w:cs="仿宋"/>
                <w:sz w:val="24"/>
                <w:szCs w:val="24"/>
              </w:rPr>
              <w:t>/ 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jc w:val="cente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2、强化水质监测体系建设</w:t>
            </w:r>
          </w:p>
        </w:tc>
        <w:tc>
          <w:tcPr>
            <w:tcW w:w="5841" w:type="dxa"/>
          </w:tcPr>
          <w:p>
            <w:pPr>
              <w:rPr>
                <w:rFonts w:ascii="仿宋" w:hAnsi="仿宋" w:eastAsia="仿宋" w:cs="仿宋"/>
                <w:sz w:val="24"/>
                <w:szCs w:val="24"/>
              </w:rPr>
            </w:pPr>
            <w:r>
              <w:rPr>
                <w:rFonts w:hint="eastAsia" w:ascii="仿宋" w:hAnsi="仿宋" w:eastAsia="仿宋" w:cs="仿宋"/>
                <w:sz w:val="24"/>
                <w:szCs w:val="24"/>
              </w:rPr>
              <w:t>1、督促供水企业确保各项指标达到规定的目标值，确保到2025年管网压力合格率达到100%，管网漏损率控制在10％，出厂水水质9项指标和管网水水质7项指标的各单项合格率均达到100%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2、引入第三方检测，加大对市、区（县）行业主管部门的检查和考核，建立起完善的水质监测网络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3、加强供水突发事件应急处置机制建设</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4、逐步解决二次供水监管难题</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tcPr>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r>
              <w:rPr>
                <w:rFonts w:hint="eastAsia" w:ascii="仿宋" w:hAnsi="仿宋" w:eastAsia="仿宋" w:cs="仿宋"/>
                <w:sz w:val="24"/>
                <w:szCs w:val="24"/>
              </w:rPr>
              <w:t>（二）</w:t>
            </w:r>
            <w:r>
              <w:rPr>
                <w:rFonts w:hint="eastAsia" w:ascii="仿宋" w:hAnsi="仿宋" w:eastAsia="仿宋" w:cs="仿宋"/>
                <w:sz w:val="24"/>
                <w:szCs w:val="24"/>
              </w:rPr>
              <w:tab/>
            </w:r>
            <w:r>
              <w:rPr>
                <w:rFonts w:hint="eastAsia" w:ascii="仿宋" w:hAnsi="仿宋" w:eastAsia="仿宋" w:cs="仿宋"/>
                <w:sz w:val="24"/>
                <w:szCs w:val="24"/>
              </w:rPr>
              <w:t>加强燃气供应保障</w:t>
            </w:r>
          </w:p>
        </w:tc>
        <w:tc>
          <w:tcPr>
            <w:tcW w:w="1556" w:type="dxa"/>
            <w:vMerge w:val="restart"/>
          </w:tcPr>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r>
              <w:rPr>
                <w:rFonts w:hint="eastAsia" w:ascii="仿宋" w:hAnsi="仿宋" w:eastAsia="仿宋" w:cs="仿宋"/>
                <w:sz w:val="24"/>
                <w:szCs w:val="24"/>
              </w:rPr>
              <w:t>1、推进管道燃气发展</w:t>
            </w:r>
          </w:p>
        </w:tc>
        <w:tc>
          <w:tcPr>
            <w:tcW w:w="5841" w:type="dxa"/>
          </w:tcPr>
          <w:p>
            <w:pPr>
              <w:rPr>
                <w:rFonts w:ascii="仿宋" w:hAnsi="仿宋" w:eastAsia="仿宋" w:cs="仿宋"/>
                <w:sz w:val="24"/>
                <w:szCs w:val="24"/>
              </w:rPr>
            </w:pPr>
            <w:r>
              <w:rPr>
                <w:rFonts w:hint="eastAsia" w:ascii="仿宋" w:hAnsi="仿宋" w:eastAsia="仿宋" w:cs="仿宋"/>
                <w:sz w:val="24"/>
                <w:szCs w:val="24"/>
              </w:rPr>
              <w:t>1、新建东阳门站</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2、新建高中压调压站7座、LNG应急气源站1座、CNG加气站20座，LNG加气站20座，船舶加气站1座，阀室12座</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3、建设完成航空城LNG应急气源调峰站、安义3万m</w:t>
            </w:r>
            <w:r>
              <w:rPr>
                <w:rFonts w:hint="eastAsia" w:ascii="宋体" w:hAnsi="宋体" w:cs="宋体"/>
                <w:sz w:val="24"/>
                <w:szCs w:val="24"/>
              </w:rPr>
              <w:t>³</w:t>
            </w:r>
            <w:r>
              <w:rPr>
                <w:rFonts w:hint="eastAsia" w:ascii="仿宋" w:hAnsi="仿宋" w:eastAsia="仿宋" w:cs="仿宋"/>
                <w:sz w:val="24"/>
                <w:szCs w:val="24"/>
              </w:rPr>
              <w:t>LNG立式储罐应急气源</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4、新建高压储气输气管道157.5km、中压管道639.8km，中压铸铁管干管改造213km、中压铸铁管支管改造74.69km，改造老旧燃气铸铁管340公里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5、2021年应急保障天数不少于</w:t>
            </w:r>
            <w:r>
              <w:rPr>
                <w:rFonts w:ascii="仿宋" w:hAnsi="仿宋" w:eastAsia="仿宋" w:cs="仿宋"/>
                <w:sz w:val="24"/>
                <w:szCs w:val="24"/>
              </w:rPr>
              <w:t>3</w:t>
            </w:r>
            <w:r>
              <w:rPr>
                <w:rFonts w:hint="eastAsia" w:ascii="仿宋" w:hAnsi="仿宋" w:eastAsia="仿宋" w:cs="仿宋"/>
                <w:sz w:val="24"/>
                <w:szCs w:val="24"/>
              </w:rPr>
              <w:t>天，实现建成区管道燃气气化率达到85％</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6、2025年应急保障天数不少于</w:t>
            </w:r>
            <w:r>
              <w:rPr>
                <w:rFonts w:ascii="仿宋" w:hAnsi="仿宋" w:eastAsia="仿宋" w:cs="仿宋"/>
                <w:sz w:val="24"/>
                <w:szCs w:val="24"/>
              </w:rPr>
              <w:t>7</w:t>
            </w:r>
            <w:r>
              <w:rPr>
                <w:rFonts w:hint="eastAsia" w:ascii="仿宋" w:hAnsi="仿宋" w:eastAsia="仿宋" w:cs="仿宋"/>
                <w:sz w:val="24"/>
                <w:szCs w:val="24"/>
              </w:rPr>
              <w:t>天，建成区管道然气气化率达到90％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7、2025年燃气管网和设施向乡镇延伸，实现大部分乡镇开通管道燃气</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p>
          <w:p>
            <w:pPr>
              <w:rPr>
                <w:rFonts w:ascii="仿宋" w:hAnsi="仿宋" w:eastAsia="仿宋" w:cs="仿宋"/>
                <w:sz w:val="24"/>
                <w:szCs w:val="24"/>
              </w:rPr>
            </w:pPr>
            <w:r>
              <w:rPr>
                <w:rFonts w:hint="eastAsia" w:ascii="仿宋" w:hAnsi="仿宋" w:eastAsia="仿宋" w:cs="仿宋"/>
                <w:sz w:val="24"/>
                <w:szCs w:val="24"/>
              </w:rPr>
              <w:t>2、加强燃气行业管理</w:t>
            </w:r>
          </w:p>
        </w:tc>
        <w:tc>
          <w:tcPr>
            <w:tcW w:w="5841" w:type="dxa"/>
          </w:tcPr>
          <w:p>
            <w:pPr>
              <w:rPr>
                <w:rFonts w:ascii="仿宋" w:hAnsi="仿宋" w:eastAsia="仿宋" w:cs="仿宋"/>
                <w:sz w:val="24"/>
                <w:szCs w:val="24"/>
              </w:rPr>
            </w:pPr>
            <w:r>
              <w:rPr>
                <w:rFonts w:hint="eastAsia" w:ascii="仿宋" w:hAnsi="仿宋" w:eastAsia="仿宋" w:cs="仿宋"/>
                <w:sz w:val="24"/>
                <w:szCs w:val="24"/>
              </w:rPr>
              <w:t>1、健全市、区、街三级燃气行业管理体系，强化区级燃气行业管理职能。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2、加强燃气设施建设运营和燃气器具使用监管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278" w:hRule="atLeast"/>
        </w:trPr>
        <w:tc>
          <w:tcPr>
            <w:tcW w:w="1387" w:type="dxa"/>
            <w:vMerge w:val="continue"/>
          </w:tcPr>
          <w:p>
            <w:pPr>
              <w:rPr>
                <w:rFonts w:ascii="仿宋" w:hAnsi="仿宋" w:eastAsia="仿宋" w:cs="仿宋"/>
                <w:sz w:val="24"/>
                <w:szCs w:val="24"/>
              </w:rPr>
            </w:pP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3、加强瓶装液化气管理</w:t>
            </w:r>
          </w:p>
        </w:tc>
        <w:tc>
          <w:tcPr>
            <w:tcW w:w="5841" w:type="dxa"/>
          </w:tcPr>
          <w:p>
            <w:pPr>
              <w:rPr>
                <w:rFonts w:ascii="仿宋" w:hAnsi="仿宋" w:eastAsia="仿宋" w:cs="仿宋"/>
                <w:sz w:val="24"/>
                <w:szCs w:val="24"/>
              </w:rPr>
            </w:pPr>
            <w:r>
              <w:rPr>
                <w:rFonts w:hint="eastAsia" w:ascii="仿宋" w:hAnsi="仿宋" w:eastAsia="仿宋" w:cs="仿宋"/>
                <w:sz w:val="24"/>
                <w:szCs w:val="24"/>
              </w:rPr>
              <w:t>1、开展瓶装液化气供应市场整治</w:t>
            </w:r>
          </w:p>
          <w:p>
            <w:pPr>
              <w:rPr>
                <w:rFonts w:ascii="仿宋" w:hAnsi="仿宋" w:eastAsia="仿宋" w:cs="仿宋"/>
                <w:sz w:val="24"/>
                <w:szCs w:val="24"/>
              </w:rPr>
            </w:pPr>
            <w:r>
              <w:rPr>
                <w:rFonts w:hint="eastAsia" w:ascii="仿宋" w:hAnsi="仿宋" w:eastAsia="仿宋" w:cs="仿宋"/>
                <w:sz w:val="24"/>
                <w:szCs w:val="24"/>
              </w:rPr>
              <w:t>2、加强瓶装液化气供应市场执法检查</w:t>
            </w:r>
          </w:p>
          <w:p>
            <w:pPr>
              <w:rPr>
                <w:rFonts w:ascii="仿宋" w:hAnsi="仿宋" w:eastAsia="仿宋" w:cs="仿宋"/>
                <w:sz w:val="24"/>
                <w:szCs w:val="24"/>
              </w:rPr>
            </w:pPr>
            <w:r>
              <w:rPr>
                <w:rFonts w:hint="eastAsia" w:ascii="仿宋" w:hAnsi="仿宋" w:eastAsia="仿宋" w:cs="仿宋"/>
                <w:sz w:val="24"/>
                <w:szCs w:val="24"/>
              </w:rPr>
              <w:t>3、加强瓶装液化气供应站点设置</w:t>
            </w:r>
          </w:p>
          <w:p>
            <w:pPr>
              <w:rPr>
                <w:rFonts w:ascii="仿宋" w:hAnsi="仿宋" w:eastAsia="仿宋" w:cs="仿宋"/>
                <w:sz w:val="24"/>
                <w:szCs w:val="24"/>
              </w:rPr>
            </w:pPr>
            <w:r>
              <w:rPr>
                <w:rFonts w:hint="eastAsia" w:ascii="仿宋" w:hAnsi="仿宋" w:eastAsia="仿宋" w:cs="仿宋"/>
                <w:sz w:val="24"/>
                <w:szCs w:val="24"/>
              </w:rPr>
              <w:t>4、推进瓶装液化气供应全过程电子化监管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4、强化燃气安全监管</w:t>
            </w:r>
          </w:p>
        </w:tc>
        <w:tc>
          <w:tcPr>
            <w:tcW w:w="5841" w:type="dxa"/>
          </w:tcPr>
          <w:p>
            <w:pPr>
              <w:rPr>
                <w:rFonts w:ascii="仿宋" w:hAnsi="仿宋" w:eastAsia="仿宋" w:cs="仿宋"/>
                <w:sz w:val="24"/>
                <w:szCs w:val="24"/>
              </w:rPr>
            </w:pPr>
            <w:r>
              <w:rPr>
                <w:rFonts w:hint="eastAsia" w:ascii="仿宋" w:hAnsi="仿宋" w:eastAsia="仿宋" w:cs="仿宋"/>
                <w:sz w:val="24"/>
                <w:szCs w:val="24"/>
              </w:rPr>
              <w:t>1、推进燃气安全生产标准化管理，组织编制相关的规范标准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2、推进燃气安全生产网格化管理，加强对网格管理员的培训</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3、推进燃气安全生产信息化管理，构建燃气智能监管系统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4、推进燃气安全隐患排查和整治，建立完整的燃气安全隐患排查和整改台帐</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784" w:type="dxa"/>
            <w:gridSpan w:val="3"/>
          </w:tcPr>
          <w:p>
            <w:pPr>
              <w:rPr>
                <w:rFonts w:hint="eastAsia" w:ascii="仿宋" w:hAnsi="仿宋" w:eastAsia="仿宋" w:cs="仿宋"/>
                <w:sz w:val="24"/>
                <w:szCs w:val="24"/>
              </w:rPr>
            </w:pPr>
            <w:r>
              <w:rPr>
                <w:rFonts w:hint="eastAsia" w:ascii="仿宋" w:hAnsi="仿宋" w:eastAsia="仿宋" w:cs="仿宋"/>
                <w:b/>
                <w:sz w:val="24"/>
                <w:szCs w:val="24"/>
              </w:rPr>
              <w:t>六、精细管养专栏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2858" w:hRule="atLeast"/>
        </w:trPr>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（一）提高道桥管养水平</w:t>
            </w: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1、市政道路管养维护</w:t>
            </w:r>
          </w:p>
        </w:tc>
        <w:tc>
          <w:tcPr>
            <w:tcW w:w="5841" w:type="dxa"/>
          </w:tcPr>
          <w:p>
            <w:pPr>
              <w:rPr>
                <w:rFonts w:ascii="仿宋" w:hAnsi="仿宋" w:eastAsia="仿宋" w:cs="仿宋"/>
                <w:sz w:val="24"/>
                <w:szCs w:val="24"/>
              </w:rPr>
            </w:pPr>
            <w:r>
              <w:rPr>
                <w:rFonts w:hint="eastAsia" w:ascii="仿宋" w:hAnsi="仿宋" w:eastAsia="仿宋" w:cs="仿宋"/>
                <w:sz w:val="24"/>
                <w:szCs w:val="24"/>
              </w:rPr>
              <w:t>1、建立市政道路管理的综合协调机制和维护管理考评机制</w:t>
            </w:r>
          </w:p>
          <w:p>
            <w:pPr>
              <w:rPr>
                <w:rFonts w:ascii="仿宋" w:hAnsi="仿宋" w:eastAsia="仿宋" w:cs="仿宋"/>
                <w:sz w:val="24"/>
                <w:szCs w:val="24"/>
              </w:rPr>
            </w:pPr>
            <w:r>
              <w:rPr>
                <w:rFonts w:hint="eastAsia" w:ascii="仿宋" w:hAnsi="仿宋" w:eastAsia="仿宋" w:cs="仿宋"/>
                <w:sz w:val="24"/>
                <w:szCs w:val="24"/>
              </w:rPr>
              <w:t>2、建立高效的市政道路日常养护机制</w:t>
            </w:r>
          </w:p>
          <w:p>
            <w:pPr>
              <w:rPr>
                <w:rFonts w:ascii="仿宋" w:hAnsi="仿宋" w:eastAsia="仿宋" w:cs="仿宋"/>
                <w:sz w:val="24"/>
                <w:szCs w:val="24"/>
              </w:rPr>
            </w:pPr>
            <w:r>
              <w:rPr>
                <w:rFonts w:hint="eastAsia" w:ascii="仿宋" w:hAnsi="仿宋" w:eastAsia="仿宋" w:cs="仿宋"/>
                <w:sz w:val="24"/>
                <w:szCs w:val="24"/>
              </w:rPr>
              <w:t>3、加强基层维修队伍建设</w:t>
            </w:r>
          </w:p>
          <w:p>
            <w:pPr>
              <w:rPr>
                <w:rFonts w:ascii="仿宋" w:hAnsi="仿宋" w:eastAsia="仿宋" w:cs="仿宋"/>
                <w:sz w:val="24"/>
                <w:szCs w:val="24"/>
              </w:rPr>
            </w:pPr>
            <w:r>
              <w:rPr>
                <w:rFonts w:hint="eastAsia" w:ascii="仿宋" w:hAnsi="仿宋" w:eastAsia="仿宋" w:cs="仿宋"/>
                <w:sz w:val="24"/>
                <w:szCs w:val="24"/>
              </w:rPr>
              <w:t>4、到2021年确保城市快速路、主干路、次干路道路完好率95%以上，背街小巷道路完好率不低于85%</w:t>
            </w:r>
          </w:p>
          <w:p>
            <w:pPr>
              <w:rPr>
                <w:rFonts w:ascii="仿宋" w:hAnsi="仿宋" w:eastAsia="仿宋" w:cs="仿宋"/>
                <w:sz w:val="24"/>
                <w:szCs w:val="24"/>
              </w:rPr>
            </w:pPr>
            <w:r>
              <w:rPr>
                <w:rFonts w:hint="eastAsia" w:ascii="仿宋" w:hAnsi="仿宋" w:eastAsia="仿宋" w:cs="仿宋"/>
                <w:sz w:val="24"/>
                <w:szCs w:val="24"/>
              </w:rPr>
              <w:t>5、到2025年确保城市快速路、主干路、次干路道路完好率98%以上，背街小巷道路完好率不低于90%</w:t>
            </w:r>
          </w:p>
          <w:p>
            <w:pPr>
              <w:rPr>
                <w:rFonts w:ascii="仿宋" w:hAnsi="仿宋" w:eastAsia="仿宋" w:cs="仿宋"/>
                <w:sz w:val="24"/>
                <w:szCs w:val="24"/>
              </w:rPr>
            </w:pPr>
            <w:r>
              <w:rPr>
                <w:rFonts w:hint="eastAsia" w:ascii="仿宋" w:hAnsi="仿宋" w:eastAsia="仿宋" w:cs="仿宋"/>
                <w:sz w:val="24"/>
                <w:szCs w:val="24"/>
              </w:rPr>
              <w:t>6、升级换代道路管养设备</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2、桥隧管养和安全监管</w:t>
            </w:r>
          </w:p>
        </w:tc>
        <w:tc>
          <w:tcPr>
            <w:tcW w:w="5841" w:type="dxa"/>
          </w:tcPr>
          <w:p>
            <w:pPr>
              <w:rPr>
                <w:rFonts w:ascii="仿宋" w:hAnsi="仿宋" w:eastAsia="仿宋" w:cs="仿宋"/>
                <w:sz w:val="24"/>
                <w:szCs w:val="24"/>
              </w:rPr>
            </w:pPr>
            <w:r>
              <w:rPr>
                <w:rFonts w:hint="eastAsia" w:ascii="仿宋" w:hAnsi="仿宋" w:eastAsia="仿宋" w:cs="仿宋"/>
                <w:sz w:val="24"/>
                <w:szCs w:val="24"/>
              </w:rPr>
              <w:t>1、建立全覆盖的桥隧日常维护管理、安全监管和病害治理机制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2、建立桥隧管理信息系统，建设桥梁健康监测平台，实施桥梁在线监测</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3、建立桥隧智慧管理系统，实现“一桥一档”的电子化户籍式管理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4、更新桥隧养护设备，提升桥梁隧道管养维护能力和安全保障水平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（二）城市家具改造提升</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1、开展家具专项整治</w:t>
            </w:r>
          </w:p>
        </w:tc>
        <w:tc>
          <w:tcPr>
            <w:tcW w:w="5841" w:type="dxa"/>
          </w:tcPr>
          <w:p>
            <w:pPr>
              <w:rPr>
                <w:rFonts w:ascii="仿宋" w:hAnsi="仿宋" w:eastAsia="仿宋" w:cs="仿宋"/>
                <w:sz w:val="24"/>
                <w:szCs w:val="24"/>
              </w:rPr>
            </w:pPr>
            <w:r>
              <w:rPr>
                <w:rFonts w:hint="eastAsia" w:ascii="仿宋" w:hAnsi="仿宋" w:eastAsia="仿宋" w:cs="仿宋"/>
                <w:sz w:val="24"/>
                <w:szCs w:val="24"/>
              </w:rPr>
              <w:t>1、根据《南昌市建成区城市家具规划设计导则》要求，开展城市家具专项整治，对城市道路上城市家具进行规范化设置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2、2021年完成50%的老旧城市家具更新，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3、建成一批精美的城市小品、街头雕塑和休闲设施；结合道路提升改造和建筑立面综合改造项目，实施城市道路家具更新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4、到2025年老旧城市家具更新率达</w:t>
            </w:r>
            <w:r>
              <w:rPr>
                <w:rFonts w:ascii="仿宋" w:hAnsi="仿宋" w:eastAsia="仿宋" w:cs="仿宋"/>
                <w:sz w:val="24"/>
                <w:szCs w:val="24"/>
              </w:rPr>
              <w:t>100</w:t>
            </w:r>
            <w:r>
              <w:rPr>
                <w:rFonts w:hint="eastAsia" w:ascii="仿宋" w:hAnsi="仿宋" w:eastAsia="仿宋" w:cs="仿宋"/>
                <w:sz w:val="24"/>
                <w:szCs w:val="24"/>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5、建立城市家具数据库和长效管理机制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2、专项整治井盖井具</w:t>
            </w:r>
          </w:p>
        </w:tc>
        <w:tc>
          <w:tcPr>
            <w:tcW w:w="5841" w:type="dxa"/>
          </w:tcPr>
          <w:p>
            <w:pPr>
              <w:rPr>
                <w:rFonts w:ascii="仿宋" w:hAnsi="仿宋" w:eastAsia="仿宋" w:cs="仿宋"/>
                <w:sz w:val="24"/>
                <w:szCs w:val="24"/>
              </w:rPr>
            </w:pPr>
            <w:r>
              <w:rPr>
                <w:rFonts w:hint="eastAsia" w:ascii="仿宋" w:hAnsi="仿宋" w:eastAsia="仿宋" w:cs="仿宋"/>
                <w:sz w:val="24"/>
                <w:szCs w:val="24"/>
              </w:rPr>
              <w:t>1、在全面普查的基础上，开展城市道路井盖井具专项整治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2、推广防盗、防沉降、防噪音、防松动的新型井具</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3、建立井盖整治工作台帐及病害井盖井具信息系统，加强井具设施信息化管理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4、2021年整治工作基本完成，并形成长效管理机制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（三）完善城市地下管网</w:t>
            </w: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1、加强规划统筹，严格规划管理</w:t>
            </w:r>
          </w:p>
        </w:tc>
        <w:tc>
          <w:tcPr>
            <w:tcW w:w="5841" w:type="dxa"/>
          </w:tcPr>
          <w:p>
            <w:pPr>
              <w:rPr>
                <w:rFonts w:ascii="仿宋" w:hAnsi="仿宋" w:eastAsia="仿宋" w:cs="仿宋"/>
                <w:sz w:val="24"/>
                <w:szCs w:val="24"/>
              </w:rPr>
            </w:pPr>
            <w:r>
              <w:rPr>
                <w:rFonts w:hint="eastAsia" w:ascii="仿宋" w:hAnsi="仿宋" w:eastAsia="仿宋" w:cs="仿宋"/>
                <w:sz w:val="24"/>
                <w:szCs w:val="24"/>
              </w:rPr>
              <w:t>1、开展地下管网普查，建立管线数据库和信息管理系统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2、加强部门联动，形成建设合力</w:t>
            </w:r>
          </w:p>
        </w:tc>
        <w:tc>
          <w:tcPr>
            <w:tcW w:w="5841" w:type="dxa"/>
          </w:tcPr>
          <w:p>
            <w:pPr>
              <w:rPr>
                <w:rFonts w:ascii="仿宋" w:hAnsi="仿宋" w:eastAsia="仿宋" w:cs="仿宋"/>
                <w:sz w:val="24"/>
                <w:szCs w:val="24"/>
              </w:rPr>
            </w:pPr>
            <w:r>
              <w:rPr>
                <w:rFonts w:hint="eastAsia" w:ascii="仿宋" w:hAnsi="仿宋" w:eastAsia="仿宋" w:cs="仿宋"/>
                <w:sz w:val="24"/>
                <w:szCs w:val="24"/>
              </w:rPr>
              <w:t>1、城市地下管网建设涉及诸多主管部门，加强信息沟通与相互协作。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2、施工单位、企业要健全综合管理机制，明确岗位施工职责，协调地下管线管理部门之间的施工关系。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3、各部门合作实施管网全生命周期管理，全面推进地下管网高质量建设</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3、明确产权管理，落实责任与目标</w:t>
            </w:r>
          </w:p>
        </w:tc>
        <w:tc>
          <w:tcPr>
            <w:tcW w:w="5841" w:type="dxa"/>
          </w:tcPr>
          <w:p>
            <w:pPr>
              <w:rPr>
                <w:rFonts w:ascii="仿宋" w:hAnsi="仿宋" w:eastAsia="仿宋" w:cs="仿宋"/>
                <w:sz w:val="24"/>
                <w:szCs w:val="24"/>
              </w:rPr>
            </w:pPr>
            <w:r>
              <w:rPr>
                <w:rFonts w:hint="eastAsia" w:ascii="仿宋" w:hAnsi="仿宋" w:eastAsia="仿宋" w:cs="仿宋"/>
                <w:sz w:val="24"/>
                <w:szCs w:val="24"/>
              </w:rPr>
              <w:t>1、摸清管网现状，进一步明确管网产权管理的范围</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2、逐步建立一套管网设施的评价标准，制定不同的管养维护或更新标准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4、完善档案资料，实现信息共享</w:t>
            </w:r>
          </w:p>
        </w:tc>
        <w:tc>
          <w:tcPr>
            <w:tcW w:w="5841" w:type="dxa"/>
          </w:tcPr>
          <w:p>
            <w:pPr>
              <w:rPr>
                <w:rFonts w:ascii="仿宋" w:hAnsi="仿宋" w:eastAsia="仿宋" w:cs="仿宋"/>
                <w:sz w:val="24"/>
                <w:szCs w:val="24"/>
              </w:rPr>
            </w:pPr>
            <w:r>
              <w:rPr>
                <w:rFonts w:hint="eastAsia" w:ascii="仿宋" w:hAnsi="仿宋" w:eastAsia="仿宋" w:cs="仿宋"/>
                <w:sz w:val="24"/>
                <w:szCs w:val="24"/>
              </w:rPr>
              <w:t>1、在全面地下管网普查的基础上，建立健全地下管网档案资料，并更新管线数据库，全面准确掌握各类数据，全部纳入数字化管理平台信息库</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2、对管线平台信息资源有效整合，形成城市管网地理信息系统，实现地下管线信息资源共享，在条件成熟的情况下逐步免费开放信息平台</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902" w:hRule="atLeast"/>
        </w:trPr>
        <w:tc>
          <w:tcPr>
            <w:tcW w:w="1387" w:type="dxa"/>
            <w:vMerge w:val="restart"/>
          </w:tcPr>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r>
              <w:rPr>
                <w:rFonts w:hint="eastAsia" w:ascii="仿宋" w:hAnsi="仿宋" w:eastAsia="仿宋" w:cs="仿宋"/>
                <w:sz w:val="24"/>
                <w:szCs w:val="24"/>
              </w:rPr>
              <w:t>（四）优化停车资源配置</w:t>
            </w:r>
          </w:p>
        </w:tc>
        <w:tc>
          <w:tcPr>
            <w:tcW w:w="1556" w:type="dxa"/>
          </w:tcPr>
          <w:p>
            <w:pPr>
              <w:rPr>
                <w:rFonts w:ascii="仿宋" w:hAnsi="仿宋" w:eastAsia="仿宋" w:cs="仿宋"/>
                <w:sz w:val="24"/>
                <w:szCs w:val="24"/>
              </w:rPr>
            </w:pPr>
            <w:r>
              <w:rPr>
                <w:rFonts w:hint="eastAsia" w:ascii="仿宋" w:hAnsi="仿宋" w:eastAsia="仿宋" w:cs="仿宋"/>
                <w:sz w:val="24"/>
                <w:szCs w:val="24"/>
              </w:rPr>
              <w:t>1、建立停车场供应体系</w:t>
            </w:r>
          </w:p>
        </w:tc>
        <w:tc>
          <w:tcPr>
            <w:tcW w:w="5841" w:type="dxa"/>
          </w:tcPr>
          <w:p>
            <w:pPr>
              <w:rPr>
                <w:rFonts w:ascii="仿宋" w:hAnsi="仿宋" w:eastAsia="仿宋" w:cs="仿宋"/>
                <w:sz w:val="24"/>
                <w:szCs w:val="24"/>
              </w:rPr>
            </w:pPr>
            <w:r>
              <w:rPr>
                <w:rFonts w:hint="eastAsia" w:ascii="仿宋" w:hAnsi="仿宋" w:eastAsia="仿宋" w:cs="仿宋"/>
                <w:sz w:val="24"/>
                <w:szCs w:val="24"/>
              </w:rPr>
              <w:t>1、加快配建停车场和公共停车场建设</w:t>
            </w:r>
          </w:p>
          <w:p>
            <w:pPr>
              <w:rPr>
                <w:rFonts w:ascii="仿宋" w:hAnsi="仿宋" w:eastAsia="仿宋" w:cs="仿宋"/>
                <w:sz w:val="24"/>
                <w:szCs w:val="24"/>
              </w:rPr>
            </w:pPr>
            <w:r>
              <w:rPr>
                <w:rFonts w:hint="eastAsia" w:ascii="仿宋" w:hAnsi="仿宋" w:eastAsia="仿宋" w:cs="仿宋"/>
                <w:sz w:val="24"/>
                <w:szCs w:val="24"/>
              </w:rPr>
              <w:t>2、大力推广机械式立体停车方式</w:t>
            </w:r>
          </w:p>
          <w:p>
            <w:pPr>
              <w:rPr>
                <w:rFonts w:ascii="仿宋" w:hAnsi="仿宋" w:eastAsia="仿宋" w:cs="仿宋"/>
                <w:sz w:val="24"/>
                <w:szCs w:val="24"/>
              </w:rPr>
            </w:pPr>
            <w:r>
              <w:rPr>
                <w:rFonts w:hint="eastAsia" w:ascii="仿宋" w:hAnsi="仿宋" w:eastAsia="仿宋" w:cs="仿宋"/>
                <w:sz w:val="24"/>
                <w:szCs w:val="24"/>
              </w:rPr>
              <w:t>3、利用道路、广场、公园绿地等地下空间资源建设公共停车场</w:t>
            </w:r>
          </w:p>
          <w:p>
            <w:pPr>
              <w:rPr>
                <w:rFonts w:ascii="仿宋" w:hAnsi="仿宋" w:eastAsia="仿宋" w:cs="仿宋"/>
                <w:sz w:val="24"/>
                <w:szCs w:val="24"/>
              </w:rPr>
            </w:pPr>
            <w:r>
              <w:rPr>
                <w:rFonts w:hint="eastAsia" w:ascii="仿宋" w:hAnsi="仿宋" w:eastAsia="仿宋" w:cs="仿宋"/>
                <w:sz w:val="24"/>
                <w:szCs w:val="24"/>
              </w:rPr>
              <w:t>4、形成“以配建停车为主、公共停车为辅、道路停车为补充”的停车场供应体系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634" w:hRule="atLeast"/>
        </w:trPr>
        <w:tc>
          <w:tcPr>
            <w:tcW w:w="1387" w:type="dxa"/>
            <w:vMerge w:val="continue"/>
          </w:tcPr>
          <w:p>
            <w:pPr>
              <w:rPr>
                <w:rFonts w:ascii="仿宋" w:hAnsi="仿宋" w:eastAsia="仿宋" w:cs="仿宋"/>
                <w:sz w:val="24"/>
                <w:szCs w:val="24"/>
              </w:rPr>
            </w:pP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2、加大停车场建设力度</w:t>
            </w:r>
          </w:p>
        </w:tc>
        <w:tc>
          <w:tcPr>
            <w:tcW w:w="5841" w:type="dxa"/>
          </w:tcPr>
          <w:p>
            <w:pPr>
              <w:rPr>
                <w:rFonts w:ascii="仿宋" w:hAnsi="仿宋" w:eastAsia="仿宋" w:cs="仿宋"/>
                <w:sz w:val="24"/>
                <w:szCs w:val="24"/>
              </w:rPr>
            </w:pPr>
            <w:r>
              <w:rPr>
                <w:rFonts w:hint="eastAsia" w:ascii="仿宋" w:hAnsi="仿宋" w:eastAsia="仿宋" w:cs="仿宋"/>
                <w:sz w:val="24"/>
                <w:szCs w:val="24"/>
              </w:rPr>
              <w:t>1、2021年新增停车泊位数不低于12万个</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2、到2025年，停车泊位数与机动车比率达到1.05：1</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3、新建停车场须按标准100%预留新能源汽车充电设施安装条件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3、推广停车位共享使用模式</w:t>
            </w:r>
          </w:p>
        </w:tc>
        <w:tc>
          <w:tcPr>
            <w:tcW w:w="5841" w:type="dxa"/>
          </w:tcPr>
          <w:p>
            <w:pPr>
              <w:rPr>
                <w:rFonts w:ascii="仿宋" w:hAnsi="仿宋" w:eastAsia="仿宋" w:cs="仿宋"/>
                <w:sz w:val="24"/>
                <w:szCs w:val="24"/>
              </w:rPr>
            </w:pPr>
            <w:r>
              <w:rPr>
                <w:rFonts w:hint="eastAsia" w:ascii="仿宋" w:hAnsi="仿宋" w:eastAsia="仿宋" w:cs="仿宋"/>
                <w:sz w:val="24"/>
                <w:szCs w:val="24"/>
              </w:rPr>
              <w:t>1、鼓励机关和企事业单位停车场夜间开放，重点解决老城区、住宅小区、医院等区域的停车矛盾问题</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2、运用价格杠杆调节停车需求，提高停车泊位利用率</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hint="eastAsia" w:ascii="仿宋" w:hAnsi="仿宋" w:eastAsia="仿宋" w:cs="仿宋"/>
                <w:sz w:val="24"/>
                <w:szCs w:val="24"/>
              </w:rPr>
            </w:pPr>
            <w:r>
              <w:rPr>
                <w:rFonts w:hint="eastAsia" w:ascii="仿宋" w:hAnsi="仿宋" w:eastAsia="仿宋" w:cs="仿宋"/>
                <w:sz w:val="24"/>
                <w:szCs w:val="24"/>
              </w:rPr>
              <w:t>3、建立智能停车诱导APP，推广停车位共享使用模式，提升停车管理和服务水平</w:t>
            </w:r>
          </w:p>
          <w:p>
            <w:pPr>
              <w:rPr>
                <w:rFonts w:hint="eastAsia" w:ascii="仿宋" w:hAnsi="仿宋" w:eastAsia="仿宋" w:cs="仿宋"/>
                <w:sz w:val="24"/>
                <w:szCs w:val="24"/>
              </w:rPr>
            </w:pPr>
          </w:p>
          <w:p>
            <w:pPr>
              <w:rPr>
                <w:rFonts w:hint="eastAsia" w:ascii="仿宋" w:hAnsi="仿宋" w:eastAsia="仿宋" w:cs="仿宋"/>
                <w:sz w:val="24"/>
                <w:szCs w:val="24"/>
              </w:rPr>
            </w:pPr>
          </w:p>
          <w:p>
            <w:pPr>
              <w:rPr>
                <w:rFonts w:hint="eastAsia" w:ascii="仿宋" w:hAnsi="仿宋" w:eastAsia="仿宋" w:cs="仿宋"/>
                <w:sz w:val="24"/>
                <w:szCs w:val="24"/>
              </w:rPr>
            </w:pPr>
          </w:p>
          <w:p>
            <w:pPr>
              <w:rPr>
                <w:rFonts w:hint="eastAsia" w:ascii="仿宋" w:hAnsi="仿宋" w:eastAsia="仿宋" w:cs="仿宋"/>
                <w:sz w:val="24"/>
                <w:szCs w:val="24"/>
              </w:rPr>
            </w:pPr>
          </w:p>
          <w:p>
            <w:pPr>
              <w:rPr>
                <w:rFonts w:ascii="仿宋" w:hAnsi="仿宋" w:eastAsia="仿宋" w:cs="仿宋"/>
                <w:sz w:val="24"/>
                <w:szCs w:val="24"/>
              </w:rPr>
            </w:pP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784" w:type="dxa"/>
            <w:gridSpan w:val="3"/>
          </w:tcPr>
          <w:p>
            <w:pPr>
              <w:rPr>
                <w:rFonts w:hint="eastAsia" w:ascii="仿宋" w:hAnsi="仿宋" w:eastAsia="仿宋" w:cs="仿宋"/>
                <w:sz w:val="24"/>
                <w:szCs w:val="24"/>
              </w:rPr>
            </w:pPr>
            <w:r>
              <w:rPr>
                <w:rFonts w:hint="eastAsia" w:ascii="仿宋" w:hAnsi="仿宋" w:eastAsia="仿宋" w:cs="仿宋"/>
                <w:b/>
                <w:sz w:val="24"/>
                <w:szCs w:val="24"/>
              </w:rPr>
              <w:t>七、绿色水务</w:t>
            </w:r>
            <w:r>
              <w:rPr>
                <w:rFonts w:ascii="仿宋" w:hAnsi="仿宋" w:eastAsia="仿宋" w:cs="仿宋"/>
                <w:b/>
                <w:sz w:val="24"/>
                <w:szCs w:val="24"/>
              </w:rPr>
              <w:t>专栏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451" w:hRule="atLeast"/>
        </w:trPr>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（一）强化雨污收集处理</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1、加快污水处理设施建设</w:t>
            </w:r>
          </w:p>
        </w:tc>
        <w:tc>
          <w:tcPr>
            <w:tcW w:w="5841" w:type="dxa"/>
          </w:tcPr>
          <w:p>
            <w:pPr>
              <w:rPr>
                <w:rFonts w:ascii="仿宋" w:hAnsi="仿宋" w:eastAsia="仿宋" w:cs="仿宋"/>
                <w:sz w:val="24"/>
                <w:szCs w:val="24"/>
              </w:rPr>
            </w:pPr>
            <w:r>
              <w:rPr>
                <w:rFonts w:hint="eastAsia" w:ascii="仿宋" w:hAnsi="仿宋" w:eastAsia="仿宋" w:cs="仿宋"/>
                <w:sz w:val="24"/>
                <w:szCs w:val="24"/>
              </w:rPr>
              <w:t>1、到2021年建成区完成青山湖、红谷滩污水处理厂扩容改造工程，污水处理厂总规模达到148.5万m</w:t>
            </w:r>
            <w:r>
              <w:rPr>
                <w:rFonts w:hint="eastAsia" w:ascii="宋体" w:hAnsi="宋体" w:cs="宋体"/>
                <w:sz w:val="24"/>
                <w:szCs w:val="24"/>
              </w:rPr>
              <w:t>³</w:t>
            </w:r>
            <w:r>
              <w:rPr>
                <w:rFonts w:hint="eastAsia" w:ascii="仿宋" w:hAnsi="仿宋" w:eastAsia="仿宋" w:cs="仿宋"/>
                <w:sz w:val="24"/>
                <w:szCs w:val="24"/>
              </w:rPr>
              <w:t>/d，建成区生活污水处理厂集中处理率达到95</w:t>
            </w:r>
            <w:r>
              <w:rPr>
                <w:rFonts w:ascii="仿宋" w:hAnsi="仿宋" w:eastAsia="仿宋" w:cs="仿宋"/>
                <w:sz w:val="24"/>
                <w:szCs w:val="24"/>
              </w:rPr>
              <w:t>.6</w:t>
            </w:r>
            <w:r>
              <w:rPr>
                <w:rFonts w:hint="eastAsia" w:ascii="仿宋" w:hAnsi="仿宋" w:eastAsia="仿宋" w:cs="仿宋"/>
                <w:sz w:val="24"/>
                <w:szCs w:val="24"/>
              </w:rPr>
              <w:t>%，建成区污水收集率达到51.33%</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2、到2025年，建成区完成航空城、瑶湖、九龙湖污水处理厂扩容改造工程等并新建城东污水处理厂，污水处理厂总规模达到177万m</w:t>
            </w:r>
            <w:r>
              <w:rPr>
                <w:rFonts w:hint="eastAsia" w:ascii="宋体" w:hAnsi="宋体" w:cs="宋体"/>
                <w:sz w:val="24"/>
                <w:szCs w:val="24"/>
              </w:rPr>
              <w:t>³</w:t>
            </w:r>
            <w:r>
              <w:rPr>
                <w:rFonts w:hint="eastAsia" w:ascii="仿宋" w:hAnsi="仿宋" w:eastAsia="仿宋" w:cs="仿宋"/>
                <w:sz w:val="24"/>
                <w:szCs w:val="24"/>
              </w:rPr>
              <w:t>/d，建成区生活污水处理厂集中处理率超过</w:t>
            </w:r>
            <w:r>
              <w:rPr>
                <w:rFonts w:ascii="仿宋" w:hAnsi="仿宋" w:eastAsia="仿宋" w:cs="仿宋"/>
                <w:sz w:val="24"/>
                <w:szCs w:val="24"/>
              </w:rPr>
              <w:t>96</w:t>
            </w:r>
            <w:r>
              <w:rPr>
                <w:rFonts w:hint="eastAsia" w:ascii="仿宋" w:hAnsi="仿宋" w:eastAsia="仿宋" w:cs="仿宋"/>
                <w:sz w:val="24"/>
                <w:szCs w:val="24"/>
              </w:rPr>
              <w:t>%，建成区污水收集率达到</w:t>
            </w:r>
            <w:r>
              <w:rPr>
                <w:rFonts w:ascii="仿宋" w:hAnsi="仿宋" w:eastAsia="仿宋" w:cs="仿宋"/>
                <w:sz w:val="24"/>
                <w:szCs w:val="24"/>
              </w:rPr>
              <w:t>60</w:t>
            </w:r>
            <w:r>
              <w:rPr>
                <w:rFonts w:hint="eastAsia" w:ascii="仿宋" w:hAnsi="仿宋" w:eastAsia="仿宋" w:cs="仿宋"/>
                <w:sz w:val="24"/>
                <w:szCs w:val="24"/>
              </w:rPr>
              <w:t>%</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3、新建水质净化站2座，总规模24万m</w:t>
            </w:r>
            <w:r>
              <w:rPr>
                <w:rFonts w:hint="eastAsia" w:ascii="宋体" w:hAnsi="宋体" w:cs="宋体"/>
                <w:sz w:val="24"/>
                <w:szCs w:val="24"/>
              </w:rPr>
              <w:t>³</w:t>
            </w:r>
            <w:r>
              <w:rPr>
                <w:rFonts w:hint="eastAsia" w:ascii="仿宋" w:hAnsi="仿宋" w:eastAsia="仿宋" w:cs="仿宋"/>
                <w:sz w:val="24"/>
                <w:szCs w:val="24"/>
              </w:rPr>
              <w:t>/d</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4、新建污水管道258.3 km</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5、建设污水泵站9座，建设11做调蓄池，总规模36.1万m</w:t>
            </w:r>
            <w:r>
              <w:rPr>
                <w:rFonts w:hint="eastAsia" w:ascii="宋体" w:hAnsi="宋体" w:cs="宋体"/>
                <w:sz w:val="24"/>
                <w:szCs w:val="24"/>
              </w:rPr>
              <w:t>³</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2、完善污水排放监管体系</w:t>
            </w:r>
          </w:p>
        </w:tc>
        <w:tc>
          <w:tcPr>
            <w:tcW w:w="5841" w:type="dxa"/>
          </w:tcPr>
          <w:p>
            <w:pPr>
              <w:rPr>
                <w:rFonts w:ascii="仿宋" w:hAnsi="仿宋" w:eastAsia="仿宋" w:cs="仿宋"/>
                <w:sz w:val="24"/>
                <w:szCs w:val="24"/>
              </w:rPr>
            </w:pPr>
            <w:r>
              <w:rPr>
                <w:rFonts w:hint="eastAsia" w:ascii="仿宋" w:hAnsi="仿宋" w:eastAsia="仿宋" w:cs="仿宋"/>
                <w:sz w:val="24"/>
                <w:szCs w:val="24"/>
              </w:rPr>
              <w:t>1、研究制定排污许可证管理办法、污水管理行业监管办法等规章</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2、建立完善总量控制、排污许可、排污权交易等管理制度，强化城市污水处理、污泥处理监测</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3、逐步建立完善排水综合管理智能化信息系统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4、加强排水设施运行、养护维修监管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3、加快防洪排涝设施建设</w:t>
            </w:r>
          </w:p>
        </w:tc>
        <w:tc>
          <w:tcPr>
            <w:tcW w:w="5841" w:type="dxa"/>
          </w:tcPr>
          <w:p>
            <w:pPr>
              <w:rPr>
                <w:rFonts w:ascii="仿宋" w:hAnsi="仿宋" w:eastAsia="仿宋" w:cs="仿宋"/>
                <w:sz w:val="24"/>
                <w:szCs w:val="24"/>
              </w:rPr>
            </w:pPr>
            <w:r>
              <w:rPr>
                <w:rFonts w:hint="eastAsia" w:ascii="仿宋" w:hAnsi="仿宋" w:eastAsia="仿宋" w:cs="仿宋"/>
                <w:sz w:val="24"/>
                <w:szCs w:val="24"/>
              </w:rPr>
              <w:t>1、在现有防洪工程的基础上，提高现有防洪工程建设标准，逐步提升防洪体系安全保障能力</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2、中心城划分为13个排涝分区，疏浚桃花河水系、抚支故道等现状河道15条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3、规划新建和改造电排站8座，使中心城排涝系统达到50年一遇的标准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4、朝阳洲堤、南岸堤、双西路堤等堤防进行提标改造，建设标准达到100年一遇或50年一遇。</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5、新建机场排水渠、昌东大道排水渠、梅湖东排水渠、九龙湖排水渠和望城排水渠等排涝通道。</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6、对乌沙河排涝站和凤凰排涝站进行扩建改造，新建西桃花河、谢埠和岭口3座排涝泵站，设计标准均达到50年一遇。</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7、改造现状解放西路、坛子口、北京西路、南京西路和丰和立交共5座雨水泵站，新建卫东立交和火炬三路2座雨水泵站。</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8、对南京西路中院门口沿线道路等全市48个易涝点进行综合整治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9、加快推进合流制地区改造，有条件的地区进行分流制改造</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p>
          <w:p>
            <w:pPr>
              <w:rPr>
                <w:rFonts w:ascii="仿宋" w:hAnsi="仿宋" w:eastAsia="仿宋" w:cs="仿宋"/>
                <w:sz w:val="24"/>
                <w:szCs w:val="24"/>
              </w:rPr>
            </w:pPr>
            <w:r>
              <w:rPr>
                <w:rFonts w:hint="eastAsia" w:ascii="仿宋" w:hAnsi="仿宋" w:eastAsia="仿宋" w:cs="仿宋"/>
                <w:sz w:val="24"/>
                <w:szCs w:val="24"/>
              </w:rPr>
              <w:t>（二）加强水域环境管理</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1、优化各职能部门之间的关系</w:t>
            </w:r>
          </w:p>
        </w:tc>
        <w:tc>
          <w:tcPr>
            <w:tcW w:w="5841" w:type="dxa"/>
          </w:tcPr>
          <w:p>
            <w:pPr>
              <w:rPr>
                <w:rFonts w:ascii="仿宋" w:hAnsi="仿宋" w:eastAsia="仿宋" w:cs="仿宋"/>
                <w:sz w:val="24"/>
                <w:szCs w:val="24"/>
              </w:rPr>
            </w:pPr>
            <w:r>
              <w:rPr>
                <w:rFonts w:hint="eastAsia" w:ascii="仿宋" w:hAnsi="仿宋" w:eastAsia="仿宋" w:cs="仿宋"/>
                <w:sz w:val="24"/>
                <w:szCs w:val="24"/>
              </w:rPr>
              <w:t>1、明确市、区水域环境卫生管理责任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2、对水环境的建设形成统一的总体目标、建设规划和行业标准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3、建立区、街（镇）水域环境卫生组织管理机构</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2、加强水域环境卫生治理</w:t>
            </w:r>
          </w:p>
        </w:tc>
        <w:tc>
          <w:tcPr>
            <w:tcW w:w="5841" w:type="dxa"/>
          </w:tcPr>
          <w:p>
            <w:pPr>
              <w:rPr>
                <w:rFonts w:ascii="仿宋" w:hAnsi="仿宋" w:eastAsia="仿宋" w:cs="仿宋"/>
                <w:sz w:val="24"/>
                <w:szCs w:val="24"/>
              </w:rPr>
            </w:pPr>
            <w:r>
              <w:rPr>
                <w:rFonts w:hint="eastAsia" w:ascii="仿宋" w:hAnsi="仿宋" w:eastAsia="仿宋" w:cs="仿宋"/>
                <w:sz w:val="24"/>
                <w:szCs w:val="24"/>
              </w:rPr>
              <w:t>1、开展水域卫生日常检查和执法</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3、全面推进水环境治理</w:t>
            </w:r>
          </w:p>
        </w:tc>
        <w:tc>
          <w:tcPr>
            <w:tcW w:w="5841" w:type="dxa"/>
          </w:tcPr>
          <w:p>
            <w:pPr>
              <w:rPr>
                <w:rFonts w:ascii="仿宋" w:hAnsi="仿宋" w:eastAsia="仿宋" w:cs="仿宋"/>
                <w:sz w:val="24"/>
                <w:szCs w:val="24"/>
              </w:rPr>
            </w:pPr>
            <w:r>
              <w:rPr>
                <w:rFonts w:hint="eastAsia" w:ascii="仿宋" w:hAnsi="仿宋" w:eastAsia="仿宋" w:cs="仿宋"/>
                <w:sz w:val="24"/>
                <w:szCs w:val="24"/>
              </w:rPr>
              <w:t>1、对河湖进行水环境综合整治，全面改善全市水环境质量，努力打造“河畅、水清、岸绿、景美”的水生态环境</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2、全面实施河长制湖长制，实施全域治水攻坚战</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2021年重点推进老城区水环境治理，新建区、经开区、红谷滩新区前湖及乌沙河水环境综合治理以及赣江岸线、艾溪湖、瑶湖、莲溪河综合治理等，推进鄱阳湖生态环境专项整治和消灭V类及劣V类水专项行动，全市水质达到Ⅳ类及以上，实现城市“河道清洁、河水清澈、河岸美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4、2021年继续大力推进河湖水环境整治工程，为市民提供良好的水生态环境</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5、到2021年水质达到Ⅳ类及以上，到2025年水环境质量和水质进一步提升</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tcPr>
          <w:p>
            <w:pPr>
              <w:rPr>
                <w:rFonts w:ascii="仿宋" w:hAnsi="仿宋" w:eastAsia="仿宋" w:cs="仿宋"/>
                <w:sz w:val="24"/>
                <w:szCs w:val="24"/>
              </w:rPr>
            </w:pPr>
            <w:r>
              <w:rPr>
                <w:rFonts w:hint="eastAsia" w:ascii="仿宋" w:hAnsi="仿宋" w:eastAsia="仿宋" w:cs="仿宋"/>
                <w:sz w:val="24"/>
                <w:szCs w:val="24"/>
              </w:rPr>
              <w:t>4、黑臭水体治理</w:t>
            </w:r>
          </w:p>
        </w:tc>
        <w:tc>
          <w:tcPr>
            <w:tcW w:w="5841" w:type="dxa"/>
          </w:tcPr>
          <w:p>
            <w:pPr>
              <w:rPr>
                <w:rFonts w:ascii="仿宋" w:hAnsi="仿宋" w:eastAsia="仿宋" w:cs="仿宋"/>
                <w:sz w:val="24"/>
                <w:szCs w:val="24"/>
              </w:rPr>
            </w:pPr>
            <w:r>
              <w:rPr>
                <w:rFonts w:hint="eastAsia" w:ascii="仿宋" w:hAnsi="仿宋" w:eastAsia="仿宋" w:cs="仿宋"/>
                <w:sz w:val="24"/>
                <w:szCs w:val="24"/>
              </w:rPr>
              <w:t>1、在建成区全部消除黑臭水体基础上实现长治久清</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8784" w:type="dxa"/>
            <w:gridSpan w:val="3"/>
          </w:tcPr>
          <w:p>
            <w:pPr>
              <w:rPr>
                <w:rFonts w:hint="eastAsia" w:ascii="仿宋" w:hAnsi="仿宋" w:eastAsia="仿宋" w:cs="仿宋"/>
                <w:sz w:val="24"/>
                <w:szCs w:val="24"/>
              </w:rPr>
            </w:pPr>
            <w:r>
              <w:rPr>
                <w:rFonts w:hint="eastAsia" w:ascii="仿宋" w:hAnsi="仿宋" w:eastAsia="仿宋" w:cs="仿宋"/>
                <w:b/>
                <w:sz w:val="24"/>
                <w:szCs w:val="24"/>
              </w:rPr>
              <w:t>八、文明执法专栏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tcPr>
          <w:p>
            <w:pPr>
              <w:rPr>
                <w:rFonts w:ascii="仿宋" w:hAnsi="仿宋" w:eastAsia="仿宋" w:cs="仿宋"/>
                <w:sz w:val="24"/>
                <w:szCs w:val="24"/>
              </w:rPr>
            </w:pPr>
            <w:r>
              <w:rPr>
                <w:rFonts w:hint="eastAsia" w:ascii="仿宋" w:hAnsi="仿宋" w:eastAsia="仿宋" w:cs="仿宋"/>
                <w:sz w:val="24"/>
                <w:szCs w:val="24"/>
              </w:rPr>
              <w:t>（一）理清城管执法边界</w:t>
            </w:r>
          </w:p>
        </w:tc>
        <w:tc>
          <w:tcPr>
            <w:tcW w:w="1556" w:type="dxa"/>
          </w:tcPr>
          <w:p>
            <w:pPr>
              <w:rPr>
                <w:rFonts w:ascii="仿宋" w:hAnsi="仿宋" w:eastAsia="仿宋" w:cs="仿宋"/>
                <w:sz w:val="24"/>
                <w:szCs w:val="24"/>
              </w:rPr>
            </w:pPr>
            <w:r>
              <w:rPr>
                <w:rFonts w:hint="eastAsia" w:ascii="仿宋" w:hAnsi="仿宋" w:eastAsia="仿宋" w:cs="仿宋"/>
                <w:sz w:val="24"/>
                <w:szCs w:val="24"/>
              </w:rPr>
              <w:t>1、精简管理职责</w:t>
            </w:r>
          </w:p>
        </w:tc>
        <w:tc>
          <w:tcPr>
            <w:tcW w:w="5841" w:type="dxa"/>
          </w:tcPr>
          <w:p>
            <w:pPr>
              <w:rPr>
                <w:rFonts w:ascii="仿宋" w:hAnsi="仿宋" w:eastAsia="仿宋" w:cs="仿宋"/>
                <w:sz w:val="24"/>
                <w:szCs w:val="24"/>
              </w:rPr>
            </w:pPr>
            <w:r>
              <w:rPr>
                <w:rFonts w:hint="eastAsia" w:ascii="仿宋" w:hAnsi="仿宋" w:eastAsia="仿宋" w:cs="仿宋"/>
                <w:sz w:val="24"/>
                <w:szCs w:val="24"/>
              </w:rPr>
              <w:t>1、全面清理和认真审查城管部门承担的责任，深化“放管服”改革</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2、明晰执法边界</w:t>
            </w:r>
          </w:p>
        </w:tc>
        <w:tc>
          <w:tcPr>
            <w:tcW w:w="5841" w:type="dxa"/>
          </w:tcPr>
          <w:p>
            <w:pPr>
              <w:rPr>
                <w:rFonts w:ascii="仿宋" w:hAnsi="仿宋" w:eastAsia="仿宋" w:cs="仿宋"/>
                <w:sz w:val="24"/>
                <w:szCs w:val="24"/>
              </w:rPr>
            </w:pPr>
            <w:r>
              <w:rPr>
                <w:rFonts w:hint="eastAsia" w:ascii="仿宋" w:hAnsi="仿宋" w:eastAsia="仿宋" w:cs="仿宋"/>
                <w:sz w:val="24"/>
                <w:szCs w:val="24"/>
              </w:rPr>
              <w:t>1、合理确定集中行政处罚权的范围</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2、划清城管执法部门与其他职能部门的权责边界，编制和公布责权清单</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3、推进法定执法</w:t>
            </w:r>
          </w:p>
        </w:tc>
        <w:tc>
          <w:tcPr>
            <w:tcW w:w="5841" w:type="dxa"/>
          </w:tcPr>
          <w:p>
            <w:pPr>
              <w:rPr>
                <w:rFonts w:ascii="仿宋" w:hAnsi="仿宋" w:eastAsia="仿宋" w:cs="仿宋"/>
                <w:sz w:val="24"/>
                <w:szCs w:val="24"/>
              </w:rPr>
            </w:pPr>
            <w:r>
              <w:rPr>
                <w:rFonts w:hint="eastAsia" w:ascii="仿宋" w:hAnsi="仿宋" w:eastAsia="仿宋" w:cs="仿宋"/>
                <w:sz w:val="24"/>
                <w:szCs w:val="24"/>
              </w:rPr>
              <w:t>1、加快地方立法进程，依法界定城管执法的职责边界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2、城管执法属于末端执法，必须与前端立法相互衔接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tcPr>
          <w:p>
            <w:pPr>
              <w:rPr>
                <w:rFonts w:ascii="仿宋" w:hAnsi="仿宋" w:eastAsia="仿宋" w:cs="仿宋"/>
                <w:sz w:val="24"/>
                <w:szCs w:val="24"/>
              </w:rPr>
            </w:pPr>
            <w:r>
              <w:rPr>
                <w:rFonts w:hint="eastAsia" w:ascii="仿宋" w:hAnsi="仿宋" w:eastAsia="仿宋" w:cs="仿宋"/>
                <w:sz w:val="24"/>
                <w:szCs w:val="24"/>
              </w:rPr>
              <w:t>（二）建立联合执法工作机制</w:t>
            </w:r>
          </w:p>
        </w:tc>
        <w:tc>
          <w:tcPr>
            <w:tcW w:w="1556" w:type="dxa"/>
          </w:tcPr>
          <w:p>
            <w:pPr>
              <w:rPr>
                <w:rFonts w:ascii="仿宋" w:hAnsi="仿宋" w:eastAsia="仿宋" w:cs="仿宋"/>
                <w:sz w:val="24"/>
                <w:szCs w:val="24"/>
              </w:rPr>
            </w:pPr>
            <w:r>
              <w:rPr>
                <w:rFonts w:hint="eastAsia" w:ascii="仿宋" w:hAnsi="仿宋" w:eastAsia="仿宋" w:cs="仿宋"/>
                <w:sz w:val="24"/>
                <w:szCs w:val="24"/>
              </w:rPr>
              <w:t>1、建立非常设议事协调机构</w:t>
            </w:r>
          </w:p>
        </w:tc>
        <w:tc>
          <w:tcPr>
            <w:tcW w:w="5841" w:type="dxa"/>
          </w:tcPr>
          <w:p>
            <w:pPr>
              <w:rPr>
                <w:rFonts w:ascii="仿宋" w:hAnsi="仿宋" w:eastAsia="仿宋" w:cs="仿宋"/>
                <w:sz w:val="24"/>
                <w:szCs w:val="24"/>
              </w:rPr>
            </w:pPr>
            <w:r>
              <w:rPr>
                <w:rFonts w:hint="eastAsia" w:ascii="仿宋" w:hAnsi="仿宋" w:eastAsia="仿宋" w:cs="仿宋"/>
                <w:sz w:val="24"/>
                <w:szCs w:val="24"/>
              </w:rPr>
              <w:t>1、加强本级城管执法机构与职能部门的工作衔接和协调联动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2、推进城管执法与公、检、法等部门的联动协作</w:t>
            </w:r>
          </w:p>
        </w:tc>
        <w:tc>
          <w:tcPr>
            <w:tcW w:w="5841" w:type="dxa"/>
          </w:tcPr>
          <w:p>
            <w:pPr>
              <w:rPr>
                <w:rFonts w:ascii="仿宋" w:hAnsi="仿宋" w:eastAsia="仿宋" w:cs="仿宋"/>
                <w:sz w:val="24"/>
                <w:szCs w:val="24"/>
              </w:rPr>
            </w:pPr>
            <w:r>
              <w:rPr>
                <w:rFonts w:hint="eastAsia" w:ascii="仿宋" w:hAnsi="仿宋" w:eastAsia="仿宋" w:cs="仿宋"/>
                <w:sz w:val="24"/>
                <w:szCs w:val="24"/>
              </w:rPr>
              <w:t>1、建立城管公安联动执法工作机制、城管交警联动执法工作机制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2、对重点领域，各类执法交叉执法难度大的区域，建立针对性的多部门联动执法机制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3、建立重点区域和重点领域的综合执法部门</w:t>
            </w:r>
          </w:p>
        </w:tc>
        <w:tc>
          <w:tcPr>
            <w:tcW w:w="5841" w:type="dxa"/>
          </w:tcPr>
          <w:p>
            <w:pPr>
              <w:rPr>
                <w:rFonts w:ascii="仿宋" w:hAnsi="仿宋" w:eastAsia="仿宋" w:cs="仿宋"/>
                <w:sz w:val="24"/>
                <w:szCs w:val="24"/>
              </w:rPr>
            </w:pPr>
            <w:r>
              <w:rPr>
                <w:rFonts w:hint="eastAsia" w:ascii="仿宋" w:hAnsi="仿宋" w:eastAsia="仿宋" w:cs="仿宋"/>
                <w:sz w:val="24"/>
                <w:szCs w:val="24"/>
              </w:rPr>
              <w:t>1、重点将与群众生产生活密切相关、执法频率高、多头执法扰民问题突出、专业技术要求适宜、与城市管理密切相关且需要集中行使行政处罚权的领域推行综合执法</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2、依法依规加大重要交通枢纽区域管理行政执法权下放力度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tcPr>
          <w:p>
            <w:pPr>
              <w:rPr>
                <w:rFonts w:ascii="仿宋" w:hAnsi="仿宋" w:eastAsia="仿宋" w:cs="仿宋"/>
                <w:sz w:val="24"/>
                <w:szCs w:val="24"/>
              </w:rPr>
            </w:pPr>
            <w:r>
              <w:rPr>
                <w:rFonts w:hint="eastAsia" w:ascii="仿宋" w:hAnsi="仿宋" w:eastAsia="仿宋" w:cs="仿宋"/>
                <w:sz w:val="24"/>
                <w:szCs w:val="24"/>
              </w:rPr>
              <w:t>（三）下移执法重心、建立长效机制</w:t>
            </w: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1、积极推动执法事项属地化管理</w:t>
            </w:r>
          </w:p>
        </w:tc>
        <w:tc>
          <w:tcPr>
            <w:tcW w:w="5841" w:type="dxa"/>
          </w:tcPr>
          <w:p>
            <w:pPr>
              <w:rPr>
                <w:rFonts w:ascii="仿宋" w:hAnsi="仿宋" w:eastAsia="仿宋" w:cs="仿宋"/>
                <w:sz w:val="24"/>
                <w:szCs w:val="24"/>
              </w:rPr>
            </w:pPr>
            <w:r>
              <w:rPr>
                <w:rFonts w:hint="eastAsia" w:ascii="仿宋" w:hAnsi="仿宋" w:eastAsia="仿宋" w:cs="仿宋"/>
                <w:sz w:val="24"/>
                <w:szCs w:val="24"/>
              </w:rPr>
              <w:t>1、建立市、区两级执法主体的权力清单</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2、市级城市管理行政执法部门主要负责全市城市管理综合行政执法工作的业务指导、组织协调、监督检查、考核评价</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3、县（区）城市管理行政执法部门行使城市管理综合行政执法政府授权的所有职能。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4、县（区）城市管理行政执法部门向街道（镇）派驻执法队伍，负责街道（镇）辖区内的行政执法工作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2、建立长效机制</w:t>
            </w:r>
          </w:p>
        </w:tc>
        <w:tc>
          <w:tcPr>
            <w:tcW w:w="5841" w:type="dxa"/>
          </w:tcPr>
          <w:p>
            <w:pPr>
              <w:rPr>
                <w:rFonts w:ascii="仿宋" w:hAnsi="仿宋" w:eastAsia="仿宋" w:cs="仿宋"/>
                <w:sz w:val="24"/>
                <w:szCs w:val="24"/>
              </w:rPr>
            </w:pPr>
            <w:r>
              <w:rPr>
                <w:rFonts w:hint="eastAsia" w:ascii="仿宋" w:hAnsi="仿宋" w:eastAsia="仿宋" w:cs="仿宋"/>
                <w:sz w:val="24"/>
                <w:szCs w:val="24"/>
              </w:rPr>
              <w:t>1、强化行业管理与执法部门配合机制，确定部门权责边界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2、完善执法部门与行业主管部门之间的信息共享机制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3、建立联合执法长效机制，加强工作会商，对涉及民生、公共利益、公共安全等重点执法领域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tcPr>
          <w:p>
            <w:pPr>
              <w:rPr>
                <w:rFonts w:ascii="仿宋" w:hAnsi="仿宋" w:eastAsia="仿宋" w:cs="仿宋"/>
                <w:sz w:val="24"/>
                <w:szCs w:val="24"/>
              </w:rPr>
            </w:pPr>
            <w:r>
              <w:rPr>
                <w:rFonts w:hint="eastAsia" w:ascii="仿宋" w:hAnsi="仿宋" w:eastAsia="仿宋" w:cs="仿宋"/>
                <w:sz w:val="24"/>
                <w:szCs w:val="24"/>
              </w:rPr>
              <w:t>（四）强化队伍建设</w:t>
            </w: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1、加强执法力量</w:t>
            </w:r>
          </w:p>
        </w:tc>
        <w:tc>
          <w:tcPr>
            <w:tcW w:w="5841" w:type="dxa"/>
          </w:tcPr>
          <w:p>
            <w:pPr>
              <w:rPr>
                <w:rFonts w:ascii="仿宋" w:hAnsi="仿宋" w:eastAsia="仿宋" w:cs="仿宋"/>
                <w:sz w:val="24"/>
                <w:szCs w:val="24"/>
              </w:rPr>
            </w:pPr>
            <w:r>
              <w:rPr>
                <w:rFonts w:hint="eastAsia" w:ascii="仿宋" w:hAnsi="仿宋" w:eastAsia="仿宋" w:cs="仿宋"/>
                <w:sz w:val="24"/>
                <w:szCs w:val="24"/>
              </w:rPr>
              <w:t>1、合理确定管理执法人员配备比例，建议按常驻人口不低于万分之六配置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2、统筹解决好执法人员身份编制问题</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3、执法力量要向基层倾斜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2、改善执法装备</w:t>
            </w:r>
          </w:p>
        </w:tc>
        <w:tc>
          <w:tcPr>
            <w:tcW w:w="5841" w:type="dxa"/>
          </w:tcPr>
          <w:p>
            <w:pPr>
              <w:rPr>
                <w:rFonts w:ascii="仿宋" w:hAnsi="仿宋" w:eastAsia="仿宋" w:cs="仿宋"/>
                <w:sz w:val="24"/>
                <w:szCs w:val="24"/>
              </w:rPr>
            </w:pPr>
            <w:r>
              <w:rPr>
                <w:rFonts w:hint="eastAsia" w:ascii="仿宋" w:hAnsi="仿宋" w:eastAsia="仿宋" w:cs="仿宋"/>
                <w:sz w:val="24"/>
                <w:szCs w:val="24"/>
              </w:rPr>
              <w:t>1、按照智慧城管智能终端建设的要求，改善智能化执法装备</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2、成立市“无人机中队”</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3、加快城管执法执勤专用车辆编制的核定</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3、严格队伍管理</w:t>
            </w:r>
          </w:p>
        </w:tc>
        <w:tc>
          <w:tcPr>
            <w:tcW w:w="5841" w:type="dxa"/>
          </w:tcPr>
          <w:p>
            <w:pPr>
              <w:rPr>
                <w:rFonts w:ascii="仿宋" w:hAnsi="仿宋" w:eastAsia="仿宋" w:cs="仿宋"/>
                <w:sz w:val="24"/>
                <w:szCs w:val="24"/>
              </w:rPr>
            </w:pPr>
            <w:r>
              <w:rPr>
                <w:rFonts w:hint="eastAsia" w:ascii="仿宋" w:hAnsi="仿宋" w:eastAsia="仿宋" w:cs="仿宋"/>
                <w:sz w:val="24"/>
                <w:szCs w:val="24"/>
              </w:rPr>
              <w:t>1、严格执法人员素质要求，加强思想道德和素质教育，提升执法人员业务能力</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2、坚持德才兼备、以德为先的用人标准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3、建立执法人员参照公务员进行职级并行</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4、加强执法队伍队容风纪管理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5、到2021年底，统一执法制式服装和标志标示</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4、加强人才培养</w:t>
            </w:r>
          </w:p>
        </w:tc>
        <w:tc>
          <w:tcPr>
            <w:tcW w:w="5841" w:type="dxa"/>
          </w:tcPr>
          <w:p>
            <w:pPr>
              <w:rPr>
                <w:rFonts w:ascii="仿宋" w:hAnsi="仿宋" w:eastAsia="仿宋" w:cs="仿宋"/>
                <w:sz w:val="24"/>
                <w:szCs w:val="24"/>
              </w:rPr>
            </w:pPr>
            <w:r>
              <w:rPr>
                <w:rFonts w:hint="eastAsia" w:ascii="仿宋" w:hAnsi="仿宋" w:eastAsia="仿宋" w:cs="仿宋"/>
                <w:sz w:val="24"/>
                <w:szCs w:val="24"/>
              </w:rPr>
              <w:t>1、实行行政执法人员持证上岗和资格管理制度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2、严格执法队员的准入门槛，逐步建立城市管理执法新入职人员岗前培训，岗前培训率达到100%。</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3、确保科级以上干部职工每年轮训时间不少于1周，并将培训情况纳入个人年度考核</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4、构建城管执法职称评价体系，建立职业化执法队伍</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5、与高校合作，采用“专业培养+社会实践”联合培养的方式，为城市管理储备专业人才</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restart"/>
          </w:tcPr>
          <w:p>
            <w:pPr>
              <w:rPr>
                <w:rFonts w:ascii="仿宋" w:hAnsi="仿宋" w:eastAsia="仿宋" w:cs="仿宋"/>
                <w:sz w:val="24"/>
                <w:szCs w:val="24"/>
              </w:rPr>
            </w:pPr>
            <w:r>
              <w:rPr>
                <w:rFonts w:hint="eastAsia" w:ascii="仿宋" w:hAnsi="仿宋" w:eastAsia="仿宋" w:cs="仿宋"/>
                <w:sz w:val="24"/>
                <w:szCs w:val="24"/>
              </w:rPr>
              <w:t>5、规范协管队伍</w:t>
            </w:r>
          </w:p>
        </w:tc>
        <w:tc>
          <w:tcPr>
            <w:tcW w:w="5841" w:type="dxa"/>
          </w:tcPr>
          <w:p>
            <w:pPr>
              <w:rPr>
                <w:rFonts w:ascii="仿宋" w:hAnsi="仿宋" w:eastAsia="仿宋" w:cs="仿宋"/>
                <w:sz w:val="24"/>
                <w:szCs w:val="24"/>
              </w:rPr>
            </w:pPr>
            <w:r>
              <w:rPr>
                <w:rFonts w:hint="eastAsia" w:ascii="仿宋" w:hAnsi="仿宋" w:eastAsia="仿宋" w:cs="仿宋"/>
                <w:sz w:val="24"/>
                <w:szCs w:val="24"/>
              </w:rPr>
              <w:t>1、按照“总量控制、逐步较少”的原则，合理配置城市管理执法协管人员</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2、加强协管人员的聘用、管理与培训制度，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3、2021年底，建立统一的协管人员招聘、管理、奖惩、退出等制度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（五）规范执法行为</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1、制定权责清单</w:t>
            </w:r>
          </w:p>
        </w:tc>
        <w:tc>
          <w:tcPr>
            <w:tcW w:w="5841" w:type="dxa"/>
          </w:tcPr>
          <w:p>
            <w:pPr>
              <w:rPr>
                <w:rFonts w:ascii="仿宋" w:hAnsi="仿宋" w:eastAsia="仿宋" w:cs="仿宋"/>
                <w:sz w:val="24"/>
                <w:szCs w:val="24"/>
              </w:rPr>
            </w:pPr>
            <w:r>
              <w:rPr>
                <w:rFonts w:hint="eastAsia" w:ascii="仿宋" w:hAnsi="仿宋" w:eastAsia="仿宋" w:cs="仿宋"/>
                <w:sz w:val="24"/>
                <w:szCs w:val="24"/>
              </w:rPr>
              <w:t>1、全面清理调整现有城市管理和综合执法职责，优化权力运行流程</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2、依法建立城市管理和执法部门的权力和责任清单，向社会公开职能职责、执法依据、处罚标准、运行流程、监督途径和问责机制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3、优化权力运行流程，理清执法权责清单以及执法与管理的职责边界，细化行政执法自由裁量权标准，完善执法程序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4、倡导“721”工作法</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2、完善执法监督</w:t>
            </w:r>
          </w:p>
        </w:tc>
        <w:tc>
          <w:tcPr>
            <w:tcW w:w="5841" w:type="dxa"/>
          </w:tcPr>
          <w:p>
            <w:pPr>
              <w:rPr>
                <w:rFonts w:ascii="仿宋" w:hAnsi="仿宋" w:eastAsia="仿宋" w:cs="仿宋"/>
                <w:sz w:val="24"/>
                <w:szCs w:val="24"/>
              </w:rPr>
            </w:pPr>
            <w:r>
              <w:rPr>
                <w:rFonts w:hint="eastAsia" w:ascii="仿宋" w:hAnsi="仿宋" w:eastAsia="仿宋" w:cs="仿宋"/>
                <w:sz w:val="24"/>
                <w:szCs w:val="24"/>
              </w:rPr>
              <w:t>1、严格规范公正文明执法的要求落实到城市管理执法全过程</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2、建立健全行政处罚适用规则和裁量基准制度、执法全过程记录制度、重大执法决定法制审核制度、执法办案评议考核制度和执法公示制度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3、建立健全执法的全流程设计，逐步实现城市管理执法工作全流程覆盖</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4、全面落实行政执法属地责任制，健全责任追究机制和纠错问责机制，畅通管理相对人监督渠道和行政复议渠道</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5、建立健全督办与督察、督察与监察工作的衔接机制，形成考评、督办、整改、反馈的运行机制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3、改进执法方式</w:t>
            </w:r>
          </w:p>
        </w:tc>
        <w:tc>
          <w:tcPr>
            <w:tcW w:w="5841" w:type="dxa"/>
          </w:tcPr>
          <w:p>
            <w:pPr>
              <w:rPr>
                <w:rFonts w:ascii="仿宋" w:hAnsi="仿宋" w:eastAsia="仿宋" w:cs="仿宋"/>
                <w:sz w:val="24"/>
                <w:szCs w:val="24"/>
              </w:rPr>
            </w:pPr>
            <w:r>
              <w:rPr>
                <w:rFonts w:hint="eastAsia" w:ascii="仿宋" w:hAnsi="仿宋" w:eastAsia="仿宋" w:cs="仿宋"/>
                <w:sz w:val="24"/>
                <w:szCs w:val="24"/>
              </w:rPr>
              <w:t>1、推动行政执法公示制度、执法全过程记录制度、重大执法决定法制审核制度改革</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2、坚持教育与处罚相结合</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3、综合运用行政指导、行政奖励、行政扶助、行政调解等非强制行政手段，引导当事人自觉遵守法律法规</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4、规范执法制度</w:t>
            </w:r>
          </w:p>
        </w:tc>
        <w:tc>
          <w:tcPr>
            <w:tcW w:w="5841" w:type="dxa"/>
          </w:tcPr>
          <w:p>
            <w:pPr>
              <w:rPr>
                <w:rFonts w:ascii="仿宋" w:hAnsi="仿宋" w:eastAsia="仿宋" w:cs="仿宋"/>
                <w:sz w:val="24"/>
                <w:szCs w:val="24"/>
              </w:rPr>
            </w:pPr>
            <w:r>
              <w:rPr>
                <w:rFonts w:hint="eastAsia" w:ascii="仿宋" w:hAnsi="仿宋" w:eastAsia="仿宋" w:cs="仿宋"/>
                <w:sz w:val="24"/>
                <w:szCs w:val="24"/>
              </w:rPr>
              <w:t>1、完善执法程序，规范办案流程，明确办案时限，提高办案效率</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2、完善监督机制，加强执法监督，畅通监督渠道，主动接受法律监督、行政监督、社会监督</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3、全面落实行政执法责任制，健全责任追究机制、纠错问责机制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Align w:val="center"/>
          </w:tcPr>
          <w:p>
            <w:pPr>
              <w:rPr>
                <w:rFonts w:ascii="仿宋" w:hAnsi="仿宋" w:eastAsia="仿宋" w:cs="仿宋"/>
                <w:sz w:val="24"/>
                <w:szCs w:val="24"/>
              </w:rPr>
            </w:pPr>
            <w:r>
              <w:rPr>
                <w:rFonts w:hint="eastAsia" w:ascii="仿宋" w:hAnsi="仿宋" w:eastAsia="仿宋" w:cs="仿宋"/>
                <w:sz w:val="24"/>
                <w:szCs w:val="24"/>
              </w:rPr>
              <w:t>5、加强执法规范化</w:t>
            </w:r>
          </w:p>
        </w:tc>
        <w:tc>
          <w:tcPr>
            <w:tcW w:w="5841" w:type="dxa"/>
          </w:tcPr>
          <w:p>
            <w:pPr>
              <w:rPr>
                <w:rFonts w:ascii="仿宋" w:hAnsi="仿宋" w:eastAsia="仿宋" w:cs="仿宋"/>
                <w:sz w:val="24"/>
                <w:szCs w:val="24"/>
              </w:rPr>
            </w:pPr>
            <w:r>
              <w:rPr>
                <w:rFonts w:hint="eastAsia" w:ascii="仿宋" w:hAnsi="仿宋" w:eastAsia="仿宋" w:cs="仿宋"/>
                <w:sz w:val="24"/>
                <w:szCs w:val="24"/>
              </w:rPr>
              <w:t>1、全面加强城市管理执法规范化建设，使全市城市管理执法队伍建设有新起色，队伍素质有新提高，队伍形象有新提升</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restart"/>
            <w:vAlign w:val="center"/>
          </w:tcPr>
          <w:p>
            <w:pPr>
              <w:rPr>
                <w:rFonts w:ascii="仿宋" w:hAnsi="仿宋" w:eastAsia="仿宋" w:cs="仿宋"/>
                <w:sz w:val="24"/>
                <w:szCs w:val="24"/>
              </w:rPr>
            </w:pPr>
            <w:r>
              <w:rPr>
                <w:rFonts w:hint="eastAsia" w:ascii="仿宋" w:hAnsi="仿宋" w:eastAsia="仿宋" w:cs="仿宋"/>
                <w:sz w:val="24"/>
                <w:szCs w:val="24"/>
              </w:rPr>
              <w:t>（六）整治街面秩序</w:t>
            </w: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1、施工围挡整治</w:t>
            </w:r>
          </w:p>
        </w:tc>
        <w:tc>
          <w:tcPr>
            <w:tcW w:w="5841" w:type="dxa"/>
          </w:tcPr>
          <w:p>
            <w:pPr>
              <w:rPr>
                <w:rFonts w:ascii="仿宋" w:hAnsi="仿宋" w:eastAsia="仿宋" w:cs="仿宋"/>
                <w:sz w:val="24"/>
                <w:szCs w:val="24"/>
              </w:rPr>
            </w:pPr>
            <w:r>
              <w:rPr>
                <w:rFonts w:hint="eastAsia" w:ascii="仿宋" w:hAnsi="仿宋" w:eastAsia="仿宋" w:cs="仿宋"/>
                <w:sz w:val="24"/>
                <w:szCs w:val="24"/>
              </w:rPr>
              <w:t>1、对轨道交通、市政工程、建筑工地等施工围挡进行专项整治</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2、严格规范道路开挖审批监管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3、健全完善施工围挡定期巡查和维护机制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2、违法建设治理</w:t>
            </w:r>
          </w:p>
        </w:tc>
        <w:tc>
          <w:tcPr>
            <w:tcW w:w="5841" w:type="dxa"/>
          </w:tcPr>
          <w:p>
            <w:pPr>
              <w:rPr>
                <w:rFonts w:ascii="仿宋" w:hAnsi="仿宋" w:eastAsia="仿宋" w:cs="仿宋"/>
                <w:sz w:val="24"/>
                <w:szCs w:val="24"/>
              </w:rPr>
            </w:pPr>
            <w:r>
              <w:rPr>
                <w:rFonts w:hint="eastAsia" w:ascii="仿宋" w:hAnsi="仿宋" w:eastAsia="仿宋" w:cs="仿宋"/>
                <w:sz w:val="24"/>
                <w:szCs w:val="24"/>
              </w:rPr>
              <w:t>1、持续开展建成区违法建设专项治理行动</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2、确保2021年全面清查处理存量违法建设目标任务完成，累计查处比例达100%，控制新增违法建设做到“零增长”，并形成长效管理机制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3、到2025年新增违法建设做到“零增长”</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4、大力推进围墙整治，拆违拆临，透绿亮绿，腾出用地优先增加绿地、休闲和停车等设施</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5、推进城市批而未建围挡地块专项整治，一年以上暂不开发的开辟为临时停车场、健身场或绿化</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6、建立违法建设数字化监管平台，将查处违法建设全过程纳入监管，实现信息共享</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3、规范建筑垃圾运输</w:t>
            </w:r>
          </w:p>
        </w:tc>
        <w:tc>
          <w:tcPr>
            <w:tcW w:w="5841" w:type="dxa"/>
          </w:tcPr>
          <w:p>
            <w:pPr>
              <w:rPr>
                <w:rFonts w:ascii="仿宋" w:hAnsi="仿宋" w:eastAsia="仿宋" w:cs="仿宋"/>
                <w:sz w:val="24"/>
                <w:szCs w:val="24"/>
              </w:rPr>
            </w:pPr>
            <w:r>
              <w:rPr>
                <w:rFonts w:hint="eastAsia" w:ascii="仿宋" w:hAnsi="仿宋" w:eastAsia="仿宋" w:cs="仿宋"/>
                <w:sz w:val="24"/>
                <w:szCs w:val="24"/>
              </w:rPr>
              <w:t>1、严格按照工地出入口“四不开工、四不出门”原则，采取“管控全区域、巡查全路段、整治全天候”的执法方式，全面推广新型密闭运输车，设立建筑垃圾执法勤务岗亭，重点从强化工地源头管理、规范车辆运输、工地出入口安装远程视频监控等方面加强渣余土运输管理</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2、扩大全密闭渣土运输重点区域范围，严厉打击非法运输渣土行为，</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3、有效发挥建筑垃圾运输车辆监管系统平台的作用，对全市1100辆密闭渣土车辆启用在线监控，建立渣土运输管理信息平台与路面执法队伍协调联动的工作机制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4、建立渣土运输管理监督举报制度</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4、非机车（含共享单车）停放秩序治理</w:t>
            </w:r>
          </w:p>
        </w:tc>
        <w:tc>
          <w:tcPr>
            <w:tcW w:w="5841" w:type="dxa"/>
          </w:tcPr>
          <w:p>
            <w:pPr>
              <w:rPr>
                <w:rFonts w:ascii="仿宋" w:hAnsi="仿宋" w:eastAsia="仿宋" w:cs="仿宋"/>
                <w:sz w:val="24"/>
                <w:szCs w:val="24"/>
              </w:rPr>
            </w:pPr>
            <w:r>
              <w:rPr>
                <w:rFonts w:hint="eastAsia" w:ascii="仿宋" w:hAnsi="仿宋" w:eastAsia="仿宋" w:cs="仿宋"/>
                <w:sz w:val="24"/>
                <w:szCs w:val="24"/>
              </w:rPr>
              <w:t>1、持续开展非机动车停放整治行动，规范停放秩序</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2、加快非机动车停放泊位设置</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3、加强非机动车泊位的管理，保证停放设施和标线的完整、整洁</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4、到2021年，实现全市施划和维护非机动车泊位总长度达7万米以上</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5、强化共享单车停放管理。合理投放车辆，采取电子围栏等技术实现共享单车定点停放</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6、各城区要采取路长制、网格化管理方式，督促共享单车运营企业做好线下运维工作</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5、占道摊点整治</w:t>
            </w:r>
          </w:p>
        </w:tc>
        <w:tc>
          <w:tcPr>
            <w:tcW w:w="5841" w:type="dxa"/>
          </w:tcPr>
          <w:p>
            <w:pPr>
              <w:rPr>
                <w:rFonts w:ascii="仿宋" w:hAnsi="仿宋" w:eastAsia="仿宋" w:cs="仿宋"/>
                <w:sz w:val="24"/>
                <w:szCs w:val="24"/>
              </w:rPr>
            </w:pPr>
            <w:r>
              <w:rPr>
                <w:rFonts w:hint="eastAsia" w:ascii="仿宋" w:hAnsi="仿宋" w:eastAsia="仿宋" w:cs="仿宋"/>
                <w:sz w:val="24"/>
                <w:szCs w:val="24"/>
              </w:rPr>
              <w:t>1、重点整治出店经营、占道摊点，切实解决城市管理中反复性强的难点问题</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2、合理设置临时设摊便民服务疏导点，健全疏导点管理制度，引导流动摊贩进场规范经营</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3、全面清理规范各类占道亭棚，从源头治理各类街面乱象</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6、建筑工地整治</w:t>
            </w:r>
          </w:p>
        </w:tc>
        <w:tc>
          <w:tcPr>
            <w:tcW w:w="5841" w:type="dxa"/>
          </w:tcPr>
          <w:p>
            <w:pPr>
              <w:rPr>
                <w:rFonts w:ascii="仿宋" w:hAnsi="仿宋" w:eastAsia="仿宋" w:cs="仿宋"/>
                <w:sz w:val="24"/>
                <w:szCs w:val="24"/>
              </w:rPr>
            </w:pPr>
            <w:r>
              <w:rPr>
                <w:rFonts w:hint="eastAsia" w:ascii="仿宋" w:hAnsi="仿宋" w:eastAsia="仿宋" w:cs="仿宋"/>
                <w:sz w:val="24"/>
                <w:szCs w:val="24"/>
              </w:rPr>
              <w:t>1、对市区所有建筑工地、闲置用地进行全面检查，严格落实工地“四不开工、四不出门”管理措施，做到施工现场周边100%围挡，工地物料堆放100%覆盖，工地路面100%硬化，土方开挖100%湿法作业，出工地车辆100%冲洗，渣土车辆运输100%密闭</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2、到2020年底，县级以上建成区建筑工地达到“六个百分百”要求</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3、到2021年底前，全市所有建筑工地全部达到“六个百分百”要求</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7、农贸市场整治</w:t>
            </w:r>
          </w:p>
        </w:tc>
        <w:tc>
          <w:tcPr>
            <w:tcW w:w="5841" w:type="dxa"/>
          </w:tcPr>
          <w:p>
            <w:pPr>
              <w:rPr>
                <w:rFonts w:ascii="仿宋" w:hAnsi="仿宋" w:eastAsia="仿宋" w:cs="仿宋"/>
                <w:sz w:val="24"/>
                <w:szCs w:val="24"/>
              </w:rPr>
            </w:pPr>
            <w:r>
              <w:rPr>
                <w:rFonts w:hint="eastAsia" w:ascii="仿宋" w:hAnsi="仿宋" w:eastAsia="仿宋" w:cs="仿宋"/>
                <w:sz w:val="24"/>
                <w:szCs w:val="24"/>
              </w:rPr>
              <w:t>1、不断完善农贸市场基础设施条件，全力打造环境干净整洁、经营秩序井然、管理文明规范、基础设施完善、面貌焕然一新、人民群众满意“全省领先、全国一流”的农贸市场</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1215"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2、2021年，集中力量对城区农贸市场进行专项整治，建立健全农贸市场长效管理考核机制，有效破解农贸市场长效管理难题，实现农贸市场日常管理精准化、规范化、常态化</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rPr>
          <w:trHeight w:val="864" w:hRule="atLeast"/>
        </w:trPr>
        <w:tc>
          <w:tcPr>
            <w:tcW w:w="1387" w:type="dxa"/>
            <w:vMerge w:val="continue"/>
            <w:vAlign w:val="center"/>
          </w:tcPr>
          <w:p>
            <w:pPr>
              <w:rPr>
                <w:rFonts w:ascii="仿宋" w:hAnsi="仿宋" w:eastAsia="仿宋" w:cs="仿宋"/>
                <w:sz w:val="24"/>
                <w:szCs w:val="24"/>
              </w:rPr>
            </w:pPr>
          </w:p>
        </w:tc>
        <w:tc>
          <w:tcPr>
            <w:tcW w:w="1556" w:type="dxa"/>
            <w:vMerge w:val="continue"/>
            <w:vAlign w:val="center"/>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3、2025年，城区农贸市场改造提升和环境整治得到明显改善，建立完善长效管理机制</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vAlign w:val="center"/>
          </w:tcPr>
          <w:p>
            <w:pPr>
              <w:rPr>
                <w:rFonts w:ascii="仿宋" w:hAnsi="仿宋" w:eastAsia="仿宋" w:cs="仿宋"/>
                <w:sz w:val="24"/>
                <w:szCs w:val="24"/>
              </w:rPr>
            </w:pPr>
          </w:p>
        </w:tc>
        <w:tc>
          <w:tcPr>
            <w:tcW w:w="1556" w:type="dxa"/>
            <w:vMerge w:val="restart"/>
            <w:vAlign w:val="center"/>
          </w:tcPr>
          <w:p>
            <w:pPr>
              <w:rPr>
                <w:rFonts w:ascii="仿宋" w:hAnsi="仿宋" w:eastAsia="仿宋" w:cs="仿宋"/>
                <w:sz w:val="24"/>
                <w:szCs w:val="24"/>
              </w:rPr>
            </w:pPr>
            <w:r>
              <w:rPr>
                <w:rFonts w:hint="eastAsia" w:ascii="仿宋" w:hAnsi="仿宋" w:eastAsia="仿宋" w:cs="仿宋"/>
                <w:sz w:val="24"/>
                <w:szCs w:val="24"/>
              </w:rPr>
              <w:t>8、“六小”乱象整治</w:t>
            </w:r>
          </w:p>
        </w:tc>
        <w:tc>
          <w:tcPr>
            <w:tcW w:w="5841" w:type="dxa"/>
          </w:tcPr>
          <w:p>
            <w:pPr>
              <w:rPr>
                <w:rFonts w:ascii="仿宋" w:hAnsi="仿宋" w:eastAsia="仿宋" w:cs="仿宋"/>
                <w:sz w:val="24"/>
                <w:szCs w:val="24"/>
              </w:rPr>
            </w:pPr>
            <w:r>
              <w:rPr>
                <w:rFonts w:hint="eastAsia" w:ascii="仿宋" w:hAnsi="仿宋" w:eastAsia="仿宋" w:cs="仿宋"/>
                <w:sz w:val="24"/>
                <w:szCs w:val="24"/>
              </w:rPr>
              <w:t>1、全面提高全市“六小”行业经营者的依法经营意识和卫生管理水平，切实改善“六小”行业环境卫生状况</w:t>
            </w:r>
          </w:p>
        </w:tc>
      </w:tr>
      <w:tr>
        <w:tblPrEx>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Ex>
        <w:tc>
          <w:tcPr>
            <w:tcW w:w="1387" w:type="dxa"/>
            <w:vMerge w:val="continue"/>
          </w:tcPr>
          <w:p>
            <w:pPr>
              <w:rPr>
                <w:rFonts w:ascii="仿宋" w:hAnsi="仿宋" w:eastAsia="仿宋" w:cs="仿宋"/>
                <w:sz w:val="24"/>
                <w:szCs w:val="24"/>
              </w:rPr>
            </w:pPr>
          </w:p>
        </w:tc>
        <w:tc>
          <w:tcPr>
            <w:tcW w:w="1556" w:type="dxa"/>
            <w:vMerge w:val="continue"/>
          </w:tcPr>
          <w:p>
            <w:pPr>
              <w:rPr>
                <w:rFonts w:ascii="仿宋" w:hAnsi="仿宋" w:eastAsia="仿宋" w:cs="仿宋"/>
                <w:sz w:val="24"/>
                <w:szCs w:val="24"/>
              </w:rPr>
            </w:pPr>
          </w:p>
        </w:tc>
        <w:tc>
          <w:tcPr>
            <w:tcW w:w="5841" w:type="dxa"/>
          </w:tcPr>
          <w:p>
            <w:pPr>
              <w:rPr>
                <w:rFonts w:ascii="仿宋" w:hAnsi="仿宋" w:eastAsia="仿宋" w:cs="仿宋"/>
                <w:sz w:val="24"/>
                <w:szCs w:val="24"/>
              </w:rPr>
            </w:pPr>
            <w:r>
              <w:rPr>
                <w:rFonts w:hint="eastAsia" w:ascii="仿宋" w:hAnsi="仿宋" w:eastAsia="仿宋" w:cs="仿宋"/>
                <w:sz w:val="24"/>
                <w:szCs w:val="24"/>
              </w:rPr>
              <w:t>2、管理制度健全，实现卫生管理制度上墙，消毒设施齐全，操作规范</w:t>
            </w:r>
          </w:p>
        </w:tc>
      </w:tr>
    </w:tbl>
    <w:p>
      <w:pPr>
        <w:widowControl/>
        <w:spacing w:line="560" w:lineRule="exact"/>
        <w:jc w:val="center"/>
        <w:rPr>
          <w:rFonts w:ascii="仿宋" w:hAnsi="仿宋" w:eastAsia="仿宋" w:cs="仿宋"/>
          <w:sz w:val="32"/>
          <w:szCs w:val="32"/>
        </w:rPr>
      </w:pPr>
    </w:p>
    <w:sectPr>
      <w:footerReference r:id="rId4" w:type="default"/>
      <w:pgSz w:w="11906" w:h="16838"/>
      <w:pgMar w:top="1440" w:right="1440" w:bottom="1440" w:left="1800" w:header="851" w:footer="992" w:gutter="0"/>
      <w:pgNumType w:start="1"/>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Batang">
    <w:altName w:val="Malgun Gothic"/>
    <w:panose1 w:val="02030600000101010101"/>
    <w:charset w:val="81"/>
    <w:family w:val="roman"/>
    <w:pitch w:val="default"/>
    <w:sig w:usb0="00000000" w:usb1="00000000" w:usb2="00000030" w:usb3="00000000" w:csb0="4008009F" w:csb1="DFD70000"/>
  </w:font>
  <w:font w:name="Book Antiqua">
    <w:panose1 w:val="02040602050305030304"/>
    <w:charset w:val="00"/>
    <w:family w:val="auto"/>
    <w:pitch w:val="default"/>
    <w:sig w:usb0="00000287" w:usb1="00000000" w:usb2="00000000" w:usb3="00000000" w:csb0="2000009F" w:csb1="DFD70000"/>
  </w:font>
  <w:font w:name="Malgun Gothic">
    <w:panose1 w:val="020B0503020000020004"/>
    <w:charset w:val="81"/>
    <w:family w:val="auto"/>
    <w:pitch w:val="default"/>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0360526"/>
    </w:sdtPr>
    <w:sdtContent>
      <w:p>
        <w:pPr>
          <w:pStyle w:val="9"/>
          <w:jc w:val="center"/>
        </w:pPr>
      </w:p>
    </w:sdtContent>
  </w:sdt>
  <w:p>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jc w:val="center"/>
    </w:pPr>
    <w:r>
      <w:rPr>
        <w:rFonts w:ascii="Times New Roman" w:hAnsi="Times New Roman" w:cs="Times New Roman"/>
      </w:rPr>
      <w:fldChar w:fldCharType="begin"/>
    </w:r>
    <w:r>
      <w:rPr>
        <w:rFonts w:ascii="Times New Roman" w:hAnsi="Times New Roman" w:cs="Times New Roman"/>
      </w:rPr>
      <w:instrText xml:space="preserve"> PAGE   \* MERGEFORMAT </w:instrText>
    </w:r>
    <w:r>
      <w:rPr>
        <w:rFonts w:ascii="Times New Roman" w:hAnsi="Times New Roman" w:cs="Times New Roman"/>
      </w:rPr>
      <w:fldChar w:fldCharType="separate"/>
    </w:r>
    <w:r>
      <w:rPr>
        <w:rFonts w:ascii="Times New Roman" w:hAnsi="Times New Roman" w:cs="Times New Roman"/>
        <w:lang w:val="zh-CN"/>
      </w:rPr>
      <w:t>128</w:t>
    </w:r>
    <w:r>
      <w:rPr>
        <w:rFonts w:ascii="Times New Roman" w:hAnsi="Times New Roman" w:cs="Times New Roman"/>
      </w:rPr>
      <w:fldChar w:fldCharType="end"/>
    </w:r>
  </w:p>
  <w:p>
    <w:pPr>
      <w:pStyle w:val="9"/>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53B8A6C"/>
    <w:multiLevelType w:val="singleLevel"/>
    <w:tmpl w:val="B53B8A6C"/>
    <w:lvl w:ilvl="0" w:tentative="0">
      <w:start w:val="1"/>
      <w:numFmt w:val="chineseCounting"/>
      <w:suff w:val="nothing"/>
      <w:lvlText w:val="（%1）"/>
      <w:lvlJc w:val="left"/>
    </w:lvl>
  </w:abstractNum>
  <w:abstractNum w:abstractNumId="1">
    <w:nsid w:val="B60C7979"/>
    <w:multiLevelType w:val="singleLevel"/>
    <w:tmpl w:val="B60C7979"/>
    <w:lvl w:ilvl="0" w:tentative="0">
      <w:start w:val="1"/>
      <w:numFmt w:val="chineseCounting"/>
      <w:suff w:val="nothing"/>
      <w:lvlText w:val="（%1）"/>
      <w:lvlJc w:val="left"/>
    </w:lvl>
  </w:abstractNum>
  <w:abstractNum w:abstractNumId="2">
    <w:nsid w:val="D5333C95"/>
    <w:multiLevelType w:val="singleLevel"/>
    <w:tmpl w:val="D5333C95"/>
    <w:lvl w:ilvl="0" w:tentative="0">
      <w:start w:val="1"/>
      <w:numFmt w:val="chineseCounting"/>
      <w:suff w:val="nothing"/>
      <w:lvlText w:val="（%1）"/>
      <w:lvlJc w:val="left"/>
    </w:lvl>
  </w:abstractNum>
  <w:abstractNum w:abstractNumId="3">
    <w:nsid w:val="03D823F8"/>
    <w:multiLevelType w:val="multilevel"/>
    <w:tmpl w:val="03D823F8"/>
    <w:lvl w:ilvl="0" w:tentative="0">
      <w:start w:val="1"/>
      <w:numFmt w:val="japaneseCounting"/>
      <w:lvlText w:val="第%1章"/>
      <w:lvlJc w:val="left"/>
      <w:pPr>
        <w:ind w:left="1080" w:hanging="108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4A20250"/>
    <w:multiLevelType w:val="multilevel"/>
    <w:tmpl w:val="04A20250"/>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0DFF30D1"/>
    <w:multiLevelType w:val="multilevel"/>
    <w:tmpl w:val="0DFF30D1"/>
    <w:lvl w:ilvl="0" w:tentative="0">
      <w:start w:val="1"/>
      <w:numFmt w:val="japaneseCounting"/>
      <w:lvlText w:val="%1、"/>
      <w:lvlJc w:val="left"/>
      <w:pPr>
        <w:ind w:left="1219"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6">
    <w:nsid w:val="12964257"/>
    <w:multiLevelType w:val="multilevel"/>
    <w:tmpl w:val="12964257"/>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249A6B7C"/>
    <w:multiLevelType w:val="multilevel"/>
    <w:tmpl w:val="249A6B7C"/>
    <w:lvl w:ilvl="0" w:tentative="0">
      <w:start w:val="1"/>
      <w:numFmt w:val="chineseCountingThousand"/>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8">
    <w:nsid w:val="259A32DD"/>
    <w:multiLevelType w:val="multilevel"/>
    <w:tmpl w:val="259A32DD"/>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35EC5718"/>
    <w:multiLevelType w:val="multilevel"/>
    <w:tmpl w:val="35EC5718"/>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37820B2E"/>
    <w:multiLevelType w:val="multilevel"/>
    <w:tmpl w:val="37820B2E"/>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1">
    <w:nsid w:val="3F711AFF"/>
    <w:multiLevelType w:val="multilevel"/>
    <w:tmpl w:val="3F711AFF"/>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3FEE4C7D"/>
    <w:multiLevelType w:val="multilevel"/>
    <w:tmpl w:val="3FEE4C7D"/>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427E17F9"/>
    <w:multiLevelType w:val="multilevel"/>
    <w:tmpl w:val="427E17F9"/>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46614CFE"/>
    <w:multiLevelType w:val="multilevel"/>
    <w:tmpl w:val="46614CFE"/>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5">
    <w:nsid w:val="4C970D91"/>
    <w:multiLevelType w:val="singleLevel"/>
    <w:tmpl w:val="4C970D91"/>
    <w:lvl w:ilvl="0" w:tentative="0">
      <w:start w:val="1"/>
      <w:numFmt w:val="chineseCounting"/>
      <w:suff w:val="nothing"/>
      <w:lvlText w:val="（%1）"/>
      <w:lvlJc w:val="left"/>
      <w:rPr>
        <w:rFonts w:hint="eastAsia"/>
      </w:rPr>
    </w:lvl>
  </w:abstractNum>
  <w:abstractNum w:abstractNumId="16">
    <w:nsid w:val="5D859B56"/>
    <w:multiLevelType w:val="singleLevel"/>
    <w:tmpl w:val="5D859B56"/>
    <w:lvl w:ilvl="0" w:tentative="0">
      <w:start w:val="1"/>
      <w:numFmt w:val="chineseCounting"/>
      <w:suff w:val="nothing"/>
      <w:lvlText w:val="（%1）"/>
      <w:lvlJc w:val="left"/>
    </w:lvl>
  </w:abstractNum>
  <w:abstractNum w:abstractNumId="17">
    <w:nsid w:val="5D882FB0"/>
    <w:multiLevelType w:val="singleLevel"/>
    <w:tmpl w:val="5D882FB0"/>
    <w:lvl w:ilvl="0" w:tentative="0">
      <w:start w:val="3"/>
      <w:numFmt w:val="chineseCounting"/>
      <w:suff w:val="nothing"/>
      <w:lvlText w:val="（%1）"/>
      <w:lvlJc w:val="left"/>
    </w:lvl>
  </w:abstractNum>
  <w:abstractNum w:abstractNumId="18">
    <w:nsid w:val="5D8B2127"/>
    <w:multiLevelType w:val="singleLevel"/>
    <w:tmpl w:val="5D8B2127"/>
    <w:lvl w:ilvl="0" w:tentative="0">
      <w:start w:val="3"/>
      <w:numFmt w:val="chineseCounting"/>
      <w:suff w:val="nothing"/>
      <w:lvlText w:val="（%1）"/>
      <w:lvlJc w:val="left"/>
    </w:lvl>
  </w:abstractNum>
  <w:abstractNum w:abstractNumId="19">
    <w:nsid w:val="5D8B296D"/>
    <w:multiLevelType w:val="singleLevel"/>
    <w:tmpl w:val="5D8B296D"/>
    <w:lvl w:ilvl="0" w:tentative="0">
      <w:start w:val="1"/>
      <w:numFmt w:val="chineseCounting"/>
      <w:suff w:val="nothing"/>
      <w:lvlText w:val="（%1）"/>
      <w:lvlJc w:val="left"/>
    </w:lvl>
  </w:abstractNum>
  <w:abstractNum w:abstractNumId="20">
    <w:nsid w:val="5D8B3040"/>
    <w:multiLevelType w:val="singleLevel"/>
    <w:tmpl w:val="5D8B3040"/>
    <w:lvl w:ilvl="0" w:tentative="0">
      <w:start w:val="1"/>
      <w:numFmt w:val="chineseCounting"/>
      <w:suff w:val="nothing"/>
      <w:lvlText w:val="（%1）"/>
      <w:lvlJc w:val="left"/>
    </w:lvl>
  </w:abstractNum>
  <w:abstractNum w:abstractNumId="21">
    <w:nsid w:val="5D8B37FA"/>
    <w:multiLevelType w:val="multilevel"/>
    <w:tmpl w:val="5D8B37FA"/>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2">
    <w:nsid w:val="5D8B3BC3"/>
    <w:multiLevelType w:val="singleLevel"/>
    <w:tmpl w:val="5D8B3BC3"/>
    <w:lvl w:ilvl="0" w:tentative="0">
      <w:start w:val="1"/>
      <w:numFmt w:val="chineseCounting"/>
      <w:suff w:val="nothing"/>
      <w:lvlText w:val="（%1）"/>
      <w:lvlJc w:val="left"/>
    </w:lvl>
  </w:abstractNum>
  <w:abstractNum w:abstractNumId="23">
    <w:nsid w:val="5D8B3D37"/>
    <w:multiLevelType w:val="singleLevel"/>
    <w:tmpl w:val="5D8B3D37"/>
    <w:lvl w:ilvl="0" w:tentative="0">
      <w:start w:val="1"/>
      <w:numFmt w:val="chineseCounting"/>
      <w:suff w:val="space"/>
      <w:lvlText w:val="第%1节"/>
      <w:lvlJc w:val="left"/>
    </w:lvl>
  </w:abstractNum>
  <w:abstractNum w:abstractNumId="24">
    <w:nsid w:val="5D8B3D81"/>
    <w:multiLevelType w:val="multilevel"/>
    <w:tmpl w:val="5D8B3D81"/>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5">
    <w:nsid w:val="5D8B3E29"/>
    <w:multiLevelType w:val="singleLevel"/>
    <w:tmpl w:val="5D8B3E29"/>
    <w:lvl w:ilvl="0" w:tentative="0">
      <w:start w:val="1"/>
      <w:numFmt w:val="chineseCounting"/>
      <w:suff w:val="nothing"/>
      <w:lvlText w:val="（%1）"/>
      <w:lvlJc w:val="left"/>
    </w:lvl>
  </w:abstractNum>
  <w:abstractNum w:abstractNumId="26">
    <w:nsid w:val="5D919899"/>
    <w:multiLevelType w:val="singleLevel"/>
    <w:tmpl w:val="5D919899"/>
    <w:lvl w:ilvl="0" w:tentative="0">
      <w:start w:val="1"/>
      <w:numFmt w:val="decimal"/>
      <w:suff w:val="nothing"/>
      <w:lvlText w:val="（%1）"/>
      <w:lvlJc w:val="left"/>
    </w:lvl>
  </w:abstractNum>
  <w:abstractNum w:abstractNumId="27">
    <w:nsid w:val="5D91A0C7"/>
    <w:multiLevelType w:val="singleLevel"/>
    <w:tmpl w:val="5D91A0C7"/>
    <w:lvl w:ilvl="0" w:tentative="0">
      <w:start w:val="1"/>
      <w:numFmt w:val="chineseCounting"/>
      <w:suff w:val="nothing"/>
      <w:lvlText w:val="（%1）"/>
      <w:lvlJc w:val="left"/>
    </w:lvl>
  </w:abstractNum>
  <w:abstractNum w:abstractNumId="28">
    <w:nsid w:val="5D980553"/>
    <w:multiLevelType w:val="multilevel"/>
    <w:tmpl w:val="5D980553"/>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9">
    <w:nsid w:val="5D981AF0"/>
    <w:multiLevelType w:val="singleLevel"/>
    <w:tmpl w:val="5D981AF0"/>
    <w:lvl w:ilvl="0" w:tentative="0">
      <w:start w:val="1"/>
      <w:numFmt w:val="decimal"/>
      <w:suff w:val="nothing"/>
      <w:lvlText w:val="（%1）"/>
      <w:lvlJc w:val="left"/>
    </w:lvl>
  </w:abstractNum>
  <w:abstractNum w:abstractNumId="30">
    <w:nsid w:val="5D983E4D"/>
    <w:multiLevelType w:val="singleLevel"/>
    <w:tmpl w:val="5D983E4D"/>
    <w:lvl w:ilvl="0" w:tentative="0">
      <w:start w:val="3"/>
      <w:numFmt w:val="decimal"/>
      <w:suff w:val="nothing"/>
      <w:lvlText w:val="（%1）"/>
      <w:lvlJc w:val="left"/>
    </w:lvl>
  </w:abstractNum>
  <w:abstractNum w:abstractNumId="31">
    <w:nsid w:val="5D9C41A6"/>
    <w:multiLevelType w:val="singleLevel"/>
    <w:tmpl w:val="5D9C41A6"/>
    <w:lvl w:ilvl="0" w:tentative="0">
      <w:start w:val="1"/>
      <w:numFmt w:val="chineseCounting"/>
      <w:suff w:val="nothing"/>
      <w:lvlText w:val="（%1）"/>
      <w:lvlJc w:val="left"/>
    </w:lvl>
  </w:abstractNum>
  <w:abstractNum w:abstractNumId="32">
    <w:nsid w:val="5D9E9FFD"/>
    <w:multiLevelType w:val="singleLevel"/>
    <w:tmpl w:val="5D9E9FFD"/>
    <w:lvl w:ilvl="0" w:tentative="0">
      <w:start w:val="1"/>
      <w:numFmt w:val="chineseCounting"/>
      <w:suff w:val="nothing"/>
      <w:lvlText w:val="（%1）"/>
      <w:lvlJc w:val="left"/>
    </w:lvl>
  </w:abstractNum>
  <w:abstractNum w:abstractNumId="33">
    <w:nsid w:val="5D9FDF80"/>
    <w:multiLevelType w:val="singleLevel"/>
    <w:tmpl w:val="5D9FDF80"/>
    <w:lvl w:ilvl="0" w:tentative="0">
      <w:start w:val="2"/>
      <w:numFmt w:val="decimal"/>
      <w:suff w:val="nothing"/>
      <w:lvlText w:val="（%1）"/>
      <w:lvlJc w:val="left"/>
    </w:lvl>
  </w:abstractNum>
  <w:abstractNum w:abstractNumId="34">
    <w:nsid w:val="5DA03D9C"/>
    <w:multiLevelType w:val="singleLevel"/>
    <w:tmpl w:val="5DA03D9C"/>
    <w:lvl w:ilvl="0" w:tentative="0">
      <w:start w:val="1"/>
      <w:numFmt w:val="chineseCounting"/>
      <w:suff w:val="nothing"/>
      <w:lvlText w:val="（%1）"/>
      <w:lvlJc w:val="left"/>
    </w:lvl>
  </w:abstractNum>
  <w:abstractNum w:abstractNumId="35">
    <w:nsid w:val="5DA043E6"/>
    <w:multiLevelType w:val="singleLevel"/>
    <w:tmpl w:val="5DA043E6"/>
    <w:lvl w:ilvl="0" w:tentative="0">
      <w:start w:val="1"/>
      <w:numFmt w:val="chineseCounting"/>
      <w:suff w:val="nothing"/>
      <w:lvlText w:val="（%1）"/>
      <w:lvlJc w:val="left"/>
    </w:lvl>
  </w:abstractNum>
  <w:abstractNum w:abstractNumId="36">
    <w:nsid w:val="5DA04B4D"/>
    <w:multiLevelType w:val="singleLevel"/>
    <w:tmpl w:val="5DA04B4D"/>
    <w:lvl w:ilvl="0" w:tentative="0">
      <w:start w:val="1"/>
      <w:numFmt w:val="chineseCounting"/>
      <w:suff w:val="nothing"/>
      <w:lvlText w:val="（%1）"/>
      <w:lvlJc w:val="left"/>
    </w:lvl>
  </w:abstractNum>
  <w:abstractNum w:abstractNumId="37">
    <w:nsid w:val="69B80119"/>
    <w:multiLevelType w:val="multilevel"/>
    <w:tmpl w:val="69B80119"/>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8">
    <w:nsid w:val="72FC0388"/>
    <w:multiLevelType w:val="multilevel"/>
    <w:tmpl w:val="72FC0388"/>
    <w:lvl w:ilvl="0" w:tentative="0">
      <w:start w:val="1"/>
      <w:numFmt w:val="japaneseCounting"/>
      <w:lvlText w:val="（%1）"/>
      <w:lvlJc w:val="left"/>
      <w:pPr>
        <w:ind w:left="1723" w:hanging="1080"/>
      </w:pPr>
      <w:rPr>
        <w:rFonts w:hint="default"/>
      </w:rPr>
    </w:lvl>
    <w:lvl w:ilvl="1" w:tentative="0">
      <w:start w:val="1"/>
      <w:numFmt w:val="lowerLetter"/>
      <w:lvlText w:val="%2)"/>
      <w:lvlJc w:val="left"/>
      <w:pPr>
        <w:ind w:left="1483" w:hanging="420"/>
      </w:pPr>
    </w:lvl>
    <w:lvl w:ilvl="2" w:tentative="0">
      <w:start w:val="1"/>
      <w:numFmt w:val="lowerRoman"/>
      <w:lvlText w:val="%3."/>
      <w:lvlJc w:val="right"/>
      <w:pPr>
        <w:ind w:left="1903" w:hanging="420"/>
      </w:pPr>
    </w:lvl>
    <w:lvl w:ilvl="3" w:tentative="0">
      <w:start w:val="1"/>
      <w:numFmt w:val="decimal"/>
      <w:lvlText w:val="%4."/>
      <w:lvlJc w:val="left"/>
      <w:pPr>
        <w:ind w:left="2323" w:hanging="420"/>
      </w:pPr>
    </w:lvl>
    <w:lvl w:ilvl="4" w:tentative="0">
      <w:start w:val="1"/>
      <w:numFmt w:val="lowerLetter"/>
      <w:lvlText w:val="%5)"/>
      <w:lvlJc w:val="left"/>
      <w:pPr>
        <w:ind w:left="2743" w:hanging="420"/>
      </w:pPr>
    </w:lvl>
    <w:lvl w:ilvl="5" w:tentative="0">
      <w:start w:val="1"/>
      <w:numFmt w:val="lowerRoman"/>
      <w:lvlText w:val="%6."/>
      <w:lvlJc w:val="right"/>
      <w:pPr>
        <w:ind w:left="3163" w:hanging="420"/>
      </w:pPr>
    </w:lvl>
    <w:lvl w:ilvl="6" w:tentative="0">
      <w:start w:val="1"/>
      <w:numFmt w:val="decimal"/>
      <w:lvlText w:val="%7."/>
      <w:lvlJc w:val="left"/>
      <w:pPr>
        <w:ind w:left="3583" w:hanging="420"/>
      </w:pPr>
    </w:lvl>
    <w:lvl w:ilvl="7" w:tentative="0">
      <w:start w:val="1"/>
      <w:numFmt w:val="lowerLetter"/>
      <w:lvlText w:val="%8)"/>
      <w:lvlJc w:val="left"/>
      <w:pPr>
        <w:ind w:left="4003" w:hanging="420"/>
      </w:pPr>
    </w:lvl>
    <w:lvl w:ilvl="8" w:tentative="0">
      <w:start w:val="1"/>
      <w:numFmt w:val="lowerRoman"/>
      <w:lvlText w:val="%9."/>
      <w:lvlJc w:val="right"/>
      <w:pPr>
        <w:ind w:left="4423" w:hanging="420"/>
      </w:pPr>
    </w:lvl>
  </w:abstractNum>
  <w:abstractNum w:abstractNumId="39">
    <w:nsid w:val="75E5299B"/>
    <w:multiLevelType w:val="multilevel"/>
    <w:tmpl w:val="75E5299B"/>
    <w:lvl w:ilvl="0" w:tentative="0">
      <w:start w:val="1"/>
      <w:numFmt w:val="chineseCountingThousand"/>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0">
    <w:nsid w:val="78E38697"/>
    <w:multiLevelType w:val="singleLevel"/>
    <w:tmpl w:val="78E38697"/>
    <w:lvl w:ilvl="0" w:tentative="0">
      <w:start w:val="1"/>
      <w:numFmt w:val="chineseCounting"/>
      <w:suff w:val="nothing"/>
      <w:lvlText w:val="（%1）"/>
      <w:lvlJc w:val="left"/>
    </w:lvl>
  </w:abstractNum>
  <w:abstractNum w:abstractNumId="41">
    <w:nsid w:val="7E9C02EA"/>
    <w:multiLevelType w:val="multilevel"/>
    <w:tmpl w:val="7E9C02EA"/>
    <w:lvl w:ilvl="0" w:tentative="0">
      <w:start w:val="1"/>
      <w:numFmt w:val="japaneseCounting"/>
      <w:lvlText w:val="%1、"/>
      <w:lvlJc w:val="left"/>
      <w:pPr>
        <w:ind w:left="510" w:hanging="51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3"/>
  </w:num>
  <w:num w:numId="2">
    <w:abstractNumId w:val="11"/>
  </w:num>
  <w:num w:numId="3">
    <w:abstractNumId w:val="18"/>
  </w:num>
  <w:num w:numId="4">
    <w:abstractNumId w:val="19"/>
  </w:num>
  <w:num w:numId="5">
    <w:abstractNumId w:val="20"/>
  </w:num>
  <w:num w:numId="6">
    <w:abstractNumId w:val="6"/>
  </w:num>
  <w:num w:numId="7">
    <w:abstractNumId w:val="15"/>
  </w:num>
  <w:num w:numId="8">
    <w:abstractNumId w:val="4"/>
  </w:num>
  <w:num w:numId="9">
    <w:abstractNumId w:val="16"/>
  </w:num>
  <w:num w:numId="10">
    <w:abstractNumId w:val="1"/>
  </w:num>
  <w:num w:numId="11">
    <w:abstractNumId w:val="2"/>
  </w:num>
  <w:num w:numId="12">
    <w:abstractNumId w:val="40"/>
  </w:num>
  <w:num w:numId="13">
    <w:abstractNumId w:val="0"/>
  </w:num>
  <w:num w:numId="14">
    <w:abstractNumId w:val="9"/>
  </w:num>
  <w:num w:numId="15">
    <w:abstractNumId w:val="41"/>
  </w:num>
  <w:num w:numId="16">
    <w:abstractNumId w:val="10"/>
  </w:num>
  <w:num w:numId="17">
    <w:abstractNumId w:val="21"/>
  </w:num>
  <w:num w:numId="18">
    <w:abstractNumId w:val="22"/>
  </w:num>
  <w:num w:numId="19">
    <w:abstractNumId w:val="23"/>
  </w:num>
  <w:num w:numId="20">
    <w:abstractNumId w:val="24"/>
  </w:num>
  <w:num w:numId="21">
    <w:abstractNumId w:val="30"/>
  </w:num>
  <w:num w:numId="22">
    <w:abstractNumId w:val="29"/>
  </w:num>
  <w:num w:numId="23">
    <w:abstractNumId w:val="28"/>
  </w:num>
  <w:num w:numId="24">
    <w:abstractNumId w:val="25"/>
  </w:num>
  <w:num w:numId="25">
    <w:abstractNumId w:val="26"/>
  </w:num>
  <w:num w:numId="26">
    <w:abstractNumId w:val="33"/>
  </w:num>
  <w:num w:numId="27">
    <w:abstractNumId w:val="5"/>
  </w:num>
  <w:num w:numId="28">
    <w:abstractNumId w:val="34"/>
  </w:num>
  <w:num w:numId="29">
    <w:abstractNumId w:val="17"/>
  </w:num>
  <w:num w:numId="30">
    <w:abstractNumId w:val="38"/>
  </w:num>
  <w:num w:numId="31">
    <w:abstractNumId w:val="27"/>
  </w:num>
  <w:num w:numId="32">
    <w:abstractNumId w:val="8"/>
  </w:num>
  <w:num w:numId="33">
    <w:abstractNumId w:val="7"/>
  </w:num>
  <w:num w:numId="34">
    <w:abstractNumId w:val="39"/>
  </w:num>
  <w:num w:numId="35">
    <w:abstractNumId w:val="35"/>
  </w:num>
  <w:num w:numId="36">
    <w:abstractNumId w:val="36"/>
  </w:num>
  <w:num w:numId="37">
    <w:abstractNumId w:val="13"/>
  </w:num>
  <w:num w:numId="38">
    <w:abstractNumId w:val="32"/>
  </w:num>
  <w:num w:numId="39">
    <w:abstractNumId w:val="14"/>
  </w:num>
  <w:num w:numId="40">
    <w:abstractNumId w:val="12"/>
  </w:num>
  <w:num w:numId="41">
    <w:abstractNumId w:val="37"/>
  </w:num>
  <w:num w:numId="4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1"/>
  <w:bordersDoNotSurroundFooter w:val="1"/>
  <w:hideSpellingErrors/>
  <w:documentProtection w:enforcement="0"/>
  <w:defaultTabStop w:val="420"/>
  <w:drawingGridVerticalSpacing w:val="156"/>
  <w:noPunctuationKerning w:val="1"/>
  <w:characterSpacingControl w:val="compressPunctuation"/>
  <w:compat>
    <w:spaceForUL/>
    <w:balanceSingleByteDoubleByteWidth/>
    <w:doNotLeaveBackslashAlone/>
    <w:doNotExpandShiftReturn/>
    <w:adjustLineHeightInTable/>
    <w:useFELayout/>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1BDB"/>
    <w:rsid w:val="000031CF"/>
    <w:rsid w:val="0000338C"/>
    <w:rsid w:val="000039C7"/>
    <w:rsid w:val="00004B80"/>
    <w:rsid w:val="00011041"/>
    <w:rsid w:val="00011209"/>
    <w:rsid w:val="00011290"/>
    <w:rsid w:val="000123E4"/>
    <w:rsid w:val="00012AF3"/>
    <w:rsid w:val="0001377E"/>
    <w:rsid w:val="00013C31"/>
    <w:rsid w:val="000148AE"/>
    <w:rsid w:val="000156B5"/>
    <w:rsid w:val="0001583E"/>
    <w:rsid w:val="00015E53"/>
    <w:rsid w:val="000165FB"/>
    <w:rsid w:val="00017FA5"/>
    <w:rsid w:val="00021854"/>
    <w:rsid w:val="00021EB7"/>
    <w:rsid w:val="00021EC6"/>
    <w:rsid w:val="00024150"/>
    <w:rsid w:val="00024202"/>
    <w:rsid w:val="000263B9"/>
    <w:rsid w:val="000274D4"/>
    <w:rsid w:val="00027FB4"/>
    <w:rsid w:val="00031C7E"/>
    <w:rsid w:val="00032493"/>
    <w:rsid w:val="000339D9"/>
    <w:rsid w:val="00033AC9"/>
    <w:rsid w:val="00034D2A"/>
    <w:rsid w:val="00034F94"/>
    <w:rsid w:val="00036BBD"/>
    <w:rsid w:val="00040D00"/>
    <w:rsid w:val="00041DB5"/>
    <w:rsid w:val="00041DE3"/>
    <w:rsid w:val="00042C8B"/>
    <w:rsid w:val="0004325E"/>
    <w:rsid w:val="00043920"/>
    <w:rsid w:val="00043C92"/>
    <w:rsid w:val="00043E83"/>
    <w:rsid w:val="0005051F"/>
    <w:rsid w:val="00050F75"/>
    <w:rsid w:val="00052B59"/>
    <w:rsid w:val="00055045"/>
    <w:rsid w:val="00055FE0"/>
    <w:rsid w:val="00060B84"/>
    <w:rsid w:val="0006242B"/>
    <w:rsid w:val="0006418F"/>
    <w:rsid w:val="000643F3"/>
    <w:rsid w:val="00064AE9"/>
    <w:rsid w:val="00064CAD"/>
    <w:rsid w:val="00065174"/>
    <w:rsid w:val="000668B7"/>
    <w:rsid w:val="00066931"/>
    <w:rsid w:val="00067140"/>
    <w:rsid w:val="00070A2F"/>
    <w:rsid w:val="00073697"/>
    <w:rsid w:val="00077134"/>
    <w:rsid w:val="00077A3E"/>
    <w:rsid w:val="00080E9E"/>
    <w:rsid w:val="000823F2"/>
    <w:rsid w:val="00082903"/>
    <w:rsid w:val="000835DE"/>
    <w:rsid w:val="00083DC8"/>
    <w:rsid w:val="0008469A"/>
    <w:rsid w:val="00084DE5"/>
    <w:rsid w:val="00084E54"/>
    <w:rsid w:val="0008765C"/>
    <w:rsid w:val="00087EC8"/>
    <w:rsid w:val="00090AF3"/>
    <w:rsid w:val="000915FD"/>
    <w:rsid w:val="00094876"/>
    <w:rsid w:val="00094935"/>
    <w:rsid w:val="00095D7B"/>
    <w:rsid w:val="00096052"/>
    <w:rsid w:val="00096514"/>
    <w:rsid w:val="000A063C"/>
    <w:rsid w:val="000A0806"/>
    <w:rsid w:val="000A2302"/>
    <w:rsid w:val="000A2518"/>
    <w:rsid w:val="000A3562"/>
    <w:rsid w:val="000A4034"/>
    <w:rsid w:val="000A42B5"/>
    <w:rsid w:val="000A47CD"/>
    <w:rsid w:val="000A549D"/>
    <w:rsid w:val="000A72DD"/>
    <w:rsid w:val="000B0F3E"/>
    <w:rsid w:val="000B34C5"/>
    <w:rsid w:val="000B5E86"/>
    <w:rsid w:val="000B6CC5"/>
    <w:rsid w:val="000B75C7"/>
    <w:rsid w:val="000B7ABE"/>
    <w:rsid w:val="000C0743"/>
    <w:rsid w:val="000C15C5"/>
    <w:rsid w:val="000C5DFD"/>
    <w:rsid w:val="000C5FC9"/>
    <w:rsid w:val="000C7A75"/>
    <w:rsid w:val="000D063A"/>
    <w:rsid w:val="000D0B74"/>
    <w:rsid w:val="000D307F"/>
    <w:rsid w:val="000D3A4B"/>
    <w:rsid w:val="000D5E00"/>
    <w:rsid w:val="000D5E14"/>
    <w:rsid w:val="000D68C0"/>
    <w:rsid w:val="000E0380"/>
    <w:rsid w:val="000E0FFD"/>
    <w:rsid w:val="000E16D0"/>
    <w:rsid w:val="000E1F0C"/>
    <w:rsid w:val="000E263E"/>
    <w:rsid w:val="000E30AA"/>
    <w:rsid w:val="000E3C42"/>
    <w:rsid w:val="000E3CC1"/>
    <w:rsid w:val="000E404E"/>
    <w:rsid w:val="000E5F96"/>
    <w:rsid w:val="000F0F31"/>
    <w:rsid w:val="000F25E9"/>
    <w:rsid w:val="000F3899"/>
    <w:rsid w:val="000F4CB9"/>
    <w:rsid w:val="000F52E6"/>
    <w:rsid w:val="000F54A6"/>
    <w:rsid w:val="000F5FBB"/>
    <w:rsid w:val="000F7E04"/>
    <w:rsid w:val="001000CD"/>
    <w:rsid w:val="0010131B"/>
    <w:rsid w:val="00101C08"/>
    <w:rsid w:val="00102298"/>
    <w:rsid w:val="00102BE2"/>
    <w:rsid w:val="00105A80"/>
    <w:rsid w:val="001079DE"/>
    <w:rsid w:val="00107D05"/>
    <w:rsid w:val="001104D0"/>
    <w:rsid w:val="00110702"/>
    <w:rsid w:val="00111DDB"/>
    <w:rsid w:val="0011224F"/>
    <w:rsid w:val="001126A4"/>
    <w:rsid w:val="00113431"/>
    <w:rsid w:val="00114AB0"/>
    <w:rsid w:val="001162F3"/>
    <w:rsid w:val="001165D3"/>
    <w:rsid w:val="00117088"/>
    <w:rsid w:val="00117CEA"/>
    <w:rsid w:val="00121BED"/>
    <w:rsid w:val="00121EF3"/>
    <w:rsid w:val="0012349D"/>
    <w:rsid w:val="001234D6"/>
    <w:rsid w:val="00124082"/>
    <w:rsid w:val="00124359"/>
    <w:rsid w:val="001269F9"/>
    <w:rsid w:val="00126EF7"/>
    <w:rsid w:val="001300B1"/>
    <w:rsid w:val="00130355"/>
    <w:rsid w:val="001304BB"/>
    <w:rsid w:val="00130B3E"/>
    <w:rsid w:val="001316D3"/>
    <w:rsid w:val="00131C53"/>
    <w:rsid w:val="00132906"/>
    <w:rsid w:val="001341DF"/>
    <w:rsid w:val="00134E5E"/>
    <w:rsid w:val="001367F0"/>
    <w:rsid w:val="0013709A"/>
    <w:rsid w:val="0013762C"/>
    <w:rsid w:val="001376FC"/>
    <w:rsid w:val="00144223"/>
    <w:rsid w:val="001445A7"/>
    <w:rsid w:val="00144F03"/>
    <w:rsid w:val="00146352"/>
    <w:rsid w:val="00147138"/>
    <w:rsid w:val="00150221"/>
    <w:rsid w:val="0015109B"/>
    <w:rsid w:val="001514C3"/>
    <w:rsid w:val="001526B2"/>
    <w:rsid w:val="0015326F"/>
    <w:rsid w:val="00154009"/>
    <w:rsid w:val="001540B6"/>
    <w:rsid w:val="001541CE"/>
    <w:rsid w:val="0015455E"/>
    <w:rsid w:val="00155E87"/>
    <w:rsid w:val="001571CD"/>
    <w:rsid w:val="00157459"/>
    <w:rsid w:val="00161CD3"/>
    <w:rsid w:val="0016242B"/>
    <w:rsid w:val="00162A5B"/>
    <w:rsid w:val="0016370B"/>
    <w:rsid w:val="00163E0B"/>
    <w:rsid w:val="00164231"/>
    <w:rsid w:val="001645D4"/>
    <w:rsid w:val="00164FC5"/>
    <w:rsid w:val="00165B72"/>
    <w:rsid w:val="001667B3"/>
    <w:rsid w:val="00166823"/>
    <w:rsid w:val="001668D4"/>
    <w:rsid w:val="001675AC"/>
    <w:rsid w:val="001701B2"/>
    <w:rsid w:val="00170C00"/>
    <w:rsid w:val="0017156C"/>
    <w:rsid w:val="00171AC8"/>
    <w:rsid w:val="0017292B"/>
    <w:rsid w:val="00172A27"/>
    <w:rsid w:val="00173962"/>
    <w:rsid w:val="00174C66"/>
    <w:rsid w:val="00174C68"/>
    <w:rsid w:val="00174E76"/>
    <w:rsid w:val="00175786"/>
    <w:rsid w:val="00176272"/>
    <w:rsid w:val="0017676C"/>
    <w:rsid w:val="00176B22"/>
    <w:rsid w:val="0017780A"/>
    <w:rsid w:val="0018184A"/>
    <w:rsid w:val="00184D18"/>
    <w:rsid w:val="00186963"/>
    <w:rsid w:val="00187FBB"/>
    <w:rsid w:val="00190065"/>
    <w:rsid w:val="0019090C"/>
    <w:rsid w:val="0019360B"/>
    <w:rsid w:val="00194D96"/>
    <w:rsid w:val="00194DD6"/>
    <w:rsid w:val="00195A6D"/>
    <w:rsid w:val="001973BD"/>
    <w:rsid w:val="00197751"/>
    <w:rsid w:val="001A0DBB"/>
    <w:rsid w:val="001A1F16"/>
    <w:rsid w:val="001A2BF7"/>
    <w:rsid w:val="001A3BE2"/>
    <w:rsid w:val="001A46B3"/>
    <w:rsid w:val="001A574E"/>
    <w:rsid w:val="001A6B80"/>
    <w:rsid w:val="001A73F0"/>
    <w:rsid w:val="001A7A03"/>
    <w:rsid w:val="001B0B5C"/>
    <w:rsid w:val="001B0BC9"/>
    <w:rsid w:val="001B1B30"/>
    <w:rsid w:val="001B1D9B"/>
    <w:rsid w:val="001B1FFA"/>
    <w:rsid w:val="001B23AE"/>
    <w:rsid w:val="001B3102"/>
    <w:rsid w:val="001B3798"/>
    <w:rsid w:val="001B3B89"/>
    <w:rsid w:val="001B3D9F"/>
    <w:rsid w:val="001B5222"/>
    <w:rsid w:val="001B721A"/>
    <w:rsid w:val="001B7276"/>
    <w:rsid w:val="001B78F7"/>
    <w:rsid w:val="001C0C47"/>
    <w:rsid w:val="001C3533"/>
    <w:rsid w:val="001C3CC0"/>
    <w:rsid w:val="001C5A6C"/>
    <w:rsid w:val="001C6226"/>
    <w:rsid w:val="001C63C9"/>
    <w:rsid w:val="001C6E4A"/>
    <w:rsid w:val="001C7C9F"/>
    <w:rsid w:val="001D09E4"/>
    <w:rsid w:val="001D0D11"/>
    <w:rsid w:val="001D1500"/>
    <w:rsid w:val="001D320E"/>
    <w:rsid w:val="001D693B"/>
    <w:rsid w:val="001D699C"/>
    <w:rsid w:val="001E07C3"/>
    <w:rsid w:val="001E34F7"/>
    <w:rsid w:val="001E5BE1"/>
    <w:rsid w:val="001E7AD7"/>
    <w:rsid w:val="001F0B71"/>
    <w:rsid w:val="001F0C8F"/>
    <w:rsid w:val="001F1499"/>
    <w:rsid w:val="001F166D"/>
    <w:rsid w:val="001F22AF"/>
    <w:rsid w:val="001F2BC4"/>
    <w:rsid w:val="001F326B"/>
    <w:rsid w:val="001F52CC"/>
    <w:rsid w:val="001F572F"/>
    <w:rsid w:val="001F5797"/>
    <w:rsid w:val="001F5AC8"/>
    <w:rsid w:val="001F5F73"/>
    <w:rsid w:val="001F66DA"/>
    <w:rsid w:val="001F71ED"/>
    <w:rsid w:val="00200F8E"/>
    <w:rsid w:val="00201235"/>
    <w:rsid w:val="00202091"/>
    <w:rsid w:val="0020259B"/>
    <w:rsid w:val="00204915"/>
    <w:rsid w:val="00204F0F"/>
    <w:rsid w:val="00206FF0"/>
    <w:rsid w:val="0020726A"/>
    <w:rsid w:val="002110D7"/>
    <w:rsid w:val="0021468D"/>
    <w:rsid w:val="00214916"/>
    <w:rsid w:val="002154F4"/>
    <w:rsid w:val="002157B1"/>
    <w:rsid w:val="00215FDB"/>
    <w:rsid w:val="002169AC"/>
    <w:rsid w:val="002177D3"/>
    <w:rsid w:val="00217A39"/>
    <w:rsid w:val="00217CC5"/>
    <w:rsid w:val="00221AA5"/>
    <w:rsid w:val="0022564A"/>
    <w:rsid w:val="00225A3A"/>
    <w:rsid w:val="002266B4"/>
    <w:rsid w:val="002300CC"/>
    <w:rsid w:val="00230797"/>
    <w:rsid w:val="00234FF5"/>
    <w:rsid w:val="00236161"/>
    <w:rsid w:val="00236165"/>
    <w:rsid w:val="00237A35"/>
    <w:rsid w:val="00241B26"/>
    <w:rsid w:val="00242773"/>
    <w:rsid w:val="0024446C"/>
    <w:rsid w:val="00244B31"/>
    <w:rsid w:val="00244B86"/>
    <w:rsid w:val="00246681"/>
    <w:rsid w:val="0024703A"/>
    <w:rsid w:val="00250035"/>
    <w:rsid w:val="00250271"/>
    <w:rsid w:val="00250BB0"/>
    <w:rsid w:val="0025407D"/>
    <w:rsid w:val="00255A69"/>
    <w:rsid w:val="00255BD3"/>
    <w:rsid w:val="00256170"/>
    <w:rsid w:val="00256958"/>
    <w:rsid w:val="002569C5"/>
    <w:rsid w:val="00256D6D"/>
    <w:rsid w:val="00256E30"/>
    <w:rsid w:val="00257341"/>
    <w:rsid w:val="002573E7"/>
    <w:rsid w:val="00257B9D"/>
    <w:rsid w:val="00257FC2"/>
    <w:rsid w:val="002611E6"/>
    <w:rsid w:val="0026258A"/>
    <w:rsid w:val="002637F5"/>
    <w:rsid w:val="00263C6C"/>
    <w:rsid w:val="002662B7"/>
    <w:rsid w:val="002675D2"/>
    <w:rsid w:val="00270653"/>
    <w:rsid w:val="00271065"/>
    <w:rsid w:val="00272FE2"/>
    <w:rsid w:val="002734C1"/>
    <w:rsid w:val="00273EAF"/>
    <w:rsid w:val="002765A1"/>
    <w:rsid w:val="0027686A"/>
    <w:rsid w:val="00276912"/>
    <w:rsid w:val="002769C0"/>
    <w:rsid w:val="00276D7C"/>
    <w:rsid w:val="002774E7"/>
    <w:rsid w:val="0027759A"/>
    <w:rsid w:val="0028008F"/>
    <w:rsid w:val="002837C1"/>
    <w:rsid w:val="002851B1"/>
    <w:rsid w:val="00285947"/>
    <w:rsid w:val="002876B6"/>
    <w:rsid w:val="00290514"/>
    <w:rsid w:val="00290BC3"/>
    <w:rsid w:val="00290D43"/>
    <w:rsid w:val="00291A66"/>
    <w:rsid w:val="00291D15"/>
    <w:rsid w:val="00292563"/>
    <w:rsid w:val="00292735"/>
    <w:rsid w:val="00294D01"/>
    <w:rsid w:val="00295458"/>
    <w:rsid w:val="002964DA"/>
    <w:rsid w:val="002965A8"/>
    <w:rsid w:val="00297F03"/>
    <w:rsid w:val="002A018B"/>
    <w:rsid w:val="002A1520"/>
    <w:rsid w:val="002A1F55"/>
    <w:rsid w:val="002A22BC"/>
    <w:rsid w:val="002A32B9"/>
    <w:rsid w:val="002A38A4"/>
    <w:rsid w:val="002A3CE1"/>
    <w:rsid w:val="002A42C9"/>
    <w:rsid w:val="002A444A"/>
    <w:rsid w:val="002A5142"/>
    <w:rsid w:val="002A6259"/>
    <w:rsid w:val="002B2EDB"/>
    <w:rsid w:val="002B48F3"/>
    <w:rsid w:val="002B4AB1"/>
    <w:rsid w:val="002B77AC"/>
    <w:rsid w:val="002C0D1A"/>
    <w:rsid w:val="002C14DA"/>
    <w:rsid w:val="002C15FA"/>
    <w:rsid w:val="002C1F87"/>
    <w:rsid w:val="002C203A"/>
    <w:rsid w:val="002C2EB1"/>
    <w:rsid w:val="002C3731"/>
    <w:rsid w:val="002C465F"/>
    <w:rsid w:val="002C46B2"/>
    <w:rsid w:val="002C4B0C"/>
    <w:rsid w:val="002C4B91"/>
    <w:rsid w:val="002C6964"/>
    <w:rsid w:val="002C77AE"/>
    <w:rsid w:val="002D0A23"/>
    <w:rsid w:val="002D0C47"/>
    <w:rsid w:val="002D26BB"/>
    <w:rsid w:val="002D2FAC"/>
    <w:rsid w:val="002D3DD5"/>
    <w:rsid w:val="002D543F"/>
    <w:rsid w:val="002D6124"/>
    <w:rsid w:val="002D6EA9"/>
    <w:rsid w:val="002D7624"/>
    <w:rsid w:val="002E0FDA"/>
    <w:rsid w:val="002E1B6A"/>
    <w:rsid w:val="002E1F3A"/>
    <w:rsid w:val="002E2A82"/>
    <w:rsid w:val="002E2AB3"/>
    <w:rsid w:val="002E3675"/>
    <w:rsid w:val="002E3C8F"/>
    <w:rsid w:val="002E3D53"/>
    <w:rsid w:val="002E603B"/>
    <w:rsid w:val="002E6607"/>
    <w:rsid w:val="002E6AEB"/>
    <w:rsid w:val="002E7032"/>
    <w:rsid w:val="002E7B1D"/>
    <w:rsid w:val="002E7B7B"/>
    <w:rsid w:val="002F01E3"/>
    <w:rsid w:val="002F0FC5"/>
    <w:rsid w:val="002F15DC"/>
    <w:rsid w:val="002F1FD8"/>
    <w:rsid w:val="002F345B"/>
    <w:rsid w:val="002F35B3"/>
    <w:rsid w:val="002F4445"/>
    <w:rsid w:val="002F49C9"/>
    <w:rsid w:val="002F696F"/>
    <w:rsid w:val="002F762B"/>
    <w:rsid w:val="002F766D"/>
    <w:rsid w:val="00301D80"/>
    <w:rsid w:val="003021D4"/>
    <w:rsid w:val="003024BB"/>
    <w:rsid w:val="00303D95"/>
    <w:rsid w:val="003040B2"/>
    <w:rsid w:val="00304228"/>
    <w:rsid w:val="003052E2"/>
    <w:rsid w:val="0030634C"/>
    <w:rsid w:val="00306E68"/>
    <w:rsid w:val="003102BB"/>
    <w:rsid w:val="00310535"/>
    <w:rsid w:val="00312379"/>
    <w:rsid w:val="00312C22"/>
    <w:rsid w:val="00313629"/>
    <w:rsid w:val="00313DE2"/>
    <w:rsid w:val="00314CF9"/>
    <w:rsid w:val="00314E42"/>
    <w:rsid w:val="003209FE"/>
    <w:rsid w:val="00322782"/>
    <w:rsid w:val="003235DD"/>
    <w:rsid w:val="00324C88"/>
    <w:rsid w:val="00324D2D"/>
    <w:rsid w:val="00325BDE"/>
    <w:rsid w:val="003262F0"/>
    <w:rsid w:val="00326E72"/>
    <w:rsid w:val="00326F74"/>
    <w:rsid w:val="003271D6"/>
    <w:rsid w:val="003276D6"/>
    <w:rsid w:val="00327878"/>
    <w:rsid w:val="00327E94"/>
    <w:rsid w:val="003302C1"/>
    <w:rsid w:val="0033281F"/>
    <w:rsid w:val="00332B7F"/>
    <w:rsid w:val="00332B90"/>
    <w:rsid w:val="0033522C"/>
    <w:rsid w:val="00336089"/>
    <w:rsid w:val="003363E9"/>
    <w:rsid w:val="003368BF"/>
    <w:rsid w:val="00336B51"/>
    <w:rsid w:val="00336D1C"/>
    <w:rsid w:val="003377B7"/>
    <w:rsid w:val="003406D0"/>
    <w:rsid w:val="00341CCF"/>
    <w:rsid w:val="00342BD9"/>
    <w:rsid w:val="00342EA1"/>
    <w:rsid w:val="00343ADD"/>
    <w:rsid w:val="00343CBE"/>
    <w:rsid w:val="00343CD9"/>
    <w:rsid w:val="0034460C"/>
    <w:rsid w:val="00344CFF"/>
    <w:rsid w:val="00345773"/>
    <w:rsid w:val="00345F0A"/>
    <w:rsid w:val="00346379"/>
    <w:rsid w:val="00346394"/>
    <w:rsid w:val="00346469"/>
    <w:rsid w:val="0035095F"/>
    <w:rsid w:val="00350F93"/>
    <w:rsid w:val="00351CD3"/>
    <w:rsid w:val="00356166"/>
    <w:rsid w:val="0035680C"/>
    <w:rsid w:val="0035739E"/>
    <w:rsid w:val="003601B6"/>
    <w:rsid w:val="00360C30"/>
    <w:rsid w:val="00361604"/>
    <w:rsid w:val="003623B3"/>
    <w:rsid w:val="00362AC2"/>
    <w:rsid w:val="00363717"/>
    <w:rsid w:val="003643C3"/>
    <w:rsid w:val="003647D5"/>
    <w:rsid w:val="0036551A"/>
    <w:rsid w:val="00365C46"/>
    <w:rsid w:val="00365F63"/>
    <w:rsid w:val="003664E2"/>
    <w:rsid w:val="00367966"/>
    <w:rsid w:val="003701D0"/>
    <w:rsid w:val="00371F9C"/>
    <w:rsid w:val="00372044"/>
    <w:rsid w:val="0037316F"/>
    <w:rsid w:val="00373F59"/>
    <w:rsid w:val="00374A93"/>
    <w:rsid w:val="003755CC"/>
    <w:rsid w:val="003765FA"/>
    <w:rsid w:val="00377768"/>
    <w:rsid w:val="00377A97"/>
    <w:rsid w:val="00382412"/>
    <w:rsid w:val="0038479B"/>
    <w:rsid w:val="00384FF7"/>
    <w:rsid w:val="00386088"/>
    <w:rsid w:val="00386936"/>
    <w:rsid w:val="00386CA1"/>
    <w:rsid w:val="00390D5F"/>
    <w:rsid w:val="003919FC"/>
    <w:rsid w:val="0039238D"/>
    <w:rsid w:val="0039466E"/>
    <w:rsid w:val="00394C56"/>
    <w:rsid w:val="00394D7C"/>
    <w:rsid w:val="00395DC2"/>
    <w:rsid w:val="00396365"/>
    <w:rsid w:val="00396477"/>
    <w:rsid w:val="0039685B"/>
    <w:rsid w:val="00396870"/>
    <w:rsid w:val="00397409"/>
    <w:rsid w:val="00397635"/>
    <w:rsid w:val="00397663"/>
    <w:rsid w:val="003A11C0"/>
    <w:rsid w:val="003A150B"/>
    <w:rsid w:val="003A1D47"/>
    <w:rsid w:val="003A22E7"/>
    <w:rsid w:val="003A25FF"/>
    <w:rsid w:val="003A31E0"/>
    <w:rsid w:val="003A5876"/>
    <w:rsid w:val="003A64F2"/>
    <w:rsid w:val="003A7BC6"/>
    <w:rsid w:val="003B060E"/>
    <w:rsid w:val="003B0975"/>
    <w:rsid w:val="003B10CB"/>
    <w:rsid w:val="003B1D4B"/>
    <w:rsid w:val="003B2432"/>
    <w:rsid w:val="003B34A9"/>
    <w:rsid w:val="003B6215"/>
    <w:rsid w:val="003B75E4"/>
    <w:rsid w:val="003B7E1F"/>
    <w:rsid w:val="003C25CC"/>
    <w:rsid w:val="003C25DA"/>
    <w:rsid w:val="003C278E"/>
    <w:rsid w:val="003C5181"/>
    <w:rsid w:val="003C55FB"/>
    <w:rsid w:val="003C763D"/>
    <w:rsid w:val="003D17C5"/>
    <w:rsid w:val="003D2A6F"/>
    <w:rsid w:val="003D2CDC"/>
    <w:rsid w:val="003D431B"/>
    <w:rsid w:val="003D5B4B"/>
    <w:rsid w:val="003D6B0E"/>
    <w:rsid w:val="003E0AD1"/>
    <w:rsid w:val="003E1C3B"/>
    <w:rsid w:val="003E2FDA"/>
    <w:rsid w:val="003E386E"/>
    <w:rsid w:val="003E4AB4"/>
    <w:rsid w:val="003E4F40"/>
    <w:rsid w:val="003E5DF6"/>
    <w:rsid w:val="003F0AEE"/>
    <w:rsid w:val="003F1068"/>
    <w:rsid w:val="003F12BF"/>
    <w:rsid w:val="003F1D23"/>
    <w:rsid w:val="003F1F3B"/>
    <w:rsid w:val="003F2670"/>
    <w:rsid w:val="003F3907"/>
    <w:rsid w:val="003F3C2E"/>
    <w:rsid w:val="003F5638"/>
    <w:rsid w:val="003F60B6"/>
    <w:rsid w:val="003F76C4"/>
    <w:rsid w:val="003F777F"/>
    <w:rsid w:val="004005B4"/>
    <w:rsid w:val="00400BB3"/>
    <w:rsid w:val="0040155B"/>
    <w:rsid w:val="004016EB"/>
    <w:rsid w:val="0040230D"/>
    <w:rsid w:val="0040414D"/>
    <w:rsid w:val="00404224"/>
    <w:rsid w:val="00404249"/>
    <w:rsid w:val="00404EBA"/>
    <w:rsid w:val="004055A8"/>
    <w:rsid w:val="00405971"/>
    <w:rsid w:val="00406E3D"/>
    <w:rsid w:val="004075E2"/>
    <w:rsid w:val="00410940"/>
    <w:rsid w:val="00412837"/>
    <w:rsid w:val="0041522D"/>
    <w:rsid w:val="004154A4"/>
    <w:rsid w:val="00415DD4"/>
    <w:rsid w:val="00415FE5"/>
    <w:rsid w:val="004176CC"/>
    <w:rsid w:val="0042047D"/>
    <w:rsid w:val="004233EB"/>
    <w:rsid w:val="00424ABD"/>
    <w:rsid w:val="004258E2"/>
    <w:rsid w:val="00427851"/>
    <w:rsid w:val="0042796C"/>
    <w:rsid w:val="00427C24"/>
    <w:rsid w:val="004314FB"/>
    <w:rsid w:val="00433696"/>
    <w:rsid w:val="00433C42"/>
    <w:rsid w:val="00433D2E"/>
    <w:rsid w:val="004344D4"/>
    <w:rsid w:val="0043605E"/>
    <w:rsid w:val="00436E4A"/>
    <w:rsid w:val="00437546"/>
    <w:rsid w:val="00441DBD"/>
    <w:rsid w:val="00441E52"/>
    <w:rsid w:val="004430F2"/>
    <w:rsid w:val="00443112"/>
    <w:rsid w:val="0044386F"/>
    <w:rsid w:val="004442BC"/>
    <w:rsid w:val="004446C0"/>
    <w:rsid w:val="00444ED0"/>
    <w:rsid w:val="00445E58"/>
    <w:rsid w:val="00446F2F"/>
    <w:rsid w:val="004471E0"/>
    <w:rsid w:val="0044769C"/>
    <w:rsid w:val="00447E52"/>
    <w:rsid w:val="004503B5"/>
    <w:rsid w:val="00450737"/>
    <w:rsid w:val="00450AC1"/>
    <w:rsid w:val="00451ACE"/>
    <w:rsid w:val="004520BB"/>
    <w:rsid w:val="00452DFB"/>
    <w:rsid w:val="00452E12"/>
    <w:rsid w:val="00453218"/>
    <w:rsid w:val="00453643"/>
    <w:rsid w:val="00454B78"/>
    <w:rsid w:val="00454D8A"/>
    <w:rsid w:val="00455186"/>
    <w:rsid w:val="004565ED"/>
    <w:rsid w:val="00460444"/>
    <w:rsid w:val="0046045E"/>
    <w:rsid w:val="00462259"/>
    <w:rsid w:val="00465DA4"/>
    <w:rsid w:val="0047020D"/>
    <w:rsid w:val="00472763"/>
    <w:rsid w:val="0047333E"/>
    <w:rsid w:val="004738E1"/>
    <w:rsid w:val="004742DB"/>
    <w:rsid w:val="00474CD5"/>
    <w:rsid w:val="00474D08"/>
    <w:rsid w:val="00474D31"/>
    <w:rsid w:val="00474DCF"/>
    <w:rsid w:val="004777B3"/>
    <w:rsid w:val="00480450"/>
    <w:rsid w:val="00481816"/>
    <w:rsid w:val="004826BC"/>
    <w:rsid w:val="00482830"/>
    <w:rsid w:val="0048347B"/>
    <w:rsid w:val="00483F2C"/>
    <w:rsid w:val="00484514"/>
    <w:rsid w:val="00484D48"/>
    <w:rsid w:val="00485EE0"/>
    <w:rsid w:val="004946EF"/>
    <w:rsid w:val="0049479C"/>
    <w:rsid w:val="004949C5"/>
    <w:rsid w:val="004954A7"/>
    <w:rsid w:val="00495794"/>
    <w:rsid w:val="00496163"/>
    <w:rsid w:val="00497C3C"/>
    <w:rsid w:val="004A1028"/>
    <w:rsid w:val="004A4743"/>
    <w:rsid w:val="004A5E00"/>
    <w:rsid w:val="004A7752"/>
    <w:rsid w:val="004B04C1"/>
    <w:rsid w:val="004B37DF"/>
    <w:rsid w:val="004B3E8D"/>
    <w:rsid w:val="004B3F61"/>
    <w:rsid w:val="004B4EB2"/>
    <w:rsid w:val="004B5E30"/>
    <w:rsid w:val="004B7972"/>
    <w:rsid w:val="004B7BAC"/>
    <w:rsid w:val="004C033B"/>
    <w:rsid w:val="004C0954"/>
    <w:rsid w:val="004C0C1E"/>
    <w:rsid w:val="004C1D4A"/>
    <w:rsid w:val="004C2B7F"/>
    <w:rsid w:val="004C3059"/>
    <w:rsid w:val="004C508A"/>
    <w:rsid w:val="004C57C8"/>
    <w:rsid w:val="004C58C1"/>
    <w:rsid w:val="004C5FD3"/>
    <w:rsid w:val="004C644B"/>
    <w:rsid w:val="004C68B1"/>
    <w:rsid w:val="004C7AF9"/>
    <w:rsid w:val="004C7D6D"/>
    <w:rsid w:val="004D00ED"/>
    <w:rsid w:val="004D0CA0"/>
    <w:rsid w:val="004D0FB0"/>
    <w:rsid w:val="004D5463"/>
    <w:rsid w:val="004D6B42"/>
    <w:rsid w:val="004E05D9"/>
    <w:rsid w:val="004E13BA"/>
    <w:rsid w:val="004E2EDD"/>
    <w:rsid w:val="004E3B19"/>
    <w:rsid w:val="004E3F14"/>
    <w:rsid w:val="004E3F78"/>
    <w:rsid w:val="004E4F6C"/>
    <w:rsid w:val="004E5A74"/>
    <w:rsid w:val="004E7AD2"/>
    <w:rsid w:val="004E7F6F"/>
    <w:rsid w:val="004F01DB"/>
    <w:rsid w:val="004F1AD8"/>
    <w:rsid w:val="004F237E"/>
    <w:rsid w:val="004F2BC4"/>
    <w:rsid w:val="004F310B"/>
    <w:rsid w:val="004F709B"/>
    <w:rsid w:val="004F73AE"/>
    <w:rsid w:val="00500672"/>
    <w:rsid w:val="00500FA2"/>
    <w:rsid w:val="005011BF"/>
    <w:rsid w:val="0050154E"/>
    <w:rsid w:val="0050189A"/>
    <w:rsid w:val="00501E1D"/>
    <w:rsid w:val="00501FA3"/>
    <w:rsid w:val="00502EC5"/>
    <w:rsid w:val="00503761"/>
    <w:rsid w:val="0050402A"/>
    <w:rsid w:val="00504E7A"/>
    <w:rsid w:val="0050514D"/>
    <w:rsid w:val="00505CE7"/>
    <w:rsid w:val="00506325"/>
    <w:rsid w:val="00510990"/>
    <w:rsid w:val="00512A25"/>
    <w:rsid w:val="00512CE9"/>
    <w:rsid w:val="00513428"/>
    <w:rsid w:val="00513A44"/>
    <w:rsid w:val="00513DEF"/>
    <w:rsid w:val="0051414D"/>
    <w:rsid w:val="00514D1E"/>
    <w:rsid w:val="005156EA"/>
    <w:rsid w:val="00515B8A"/>
    <w:rsid w:val="005163A2"/>
    <w:rsid w:val="00517214"/>
    <w:rsid w:val="00517834"/>
    <w:rsid w:val="00520517"/>
    <w:rsid w:val="005223A3"/>
    <w:rsid w:val="00523E9E"/>
    <w:rsid w:val="005240F1"/>
    <w:rsid w:val="005245DB"/>
    <w:rsid w:val="005246C6"/>
    <w:rsid w:val="00524827"/>
    <w:rsid w:val="00524893"/>
    <w:rsid w:val="00531CFC"/>
    <w:rsid w:val="00532BBC"/>
    <w:rsid w:val="005343D3"/>
    <w:rsid w:val="00534463"/>
    <w:rsid w:val="0053449A"/>
    <w:rsid w:val="005345B7"/>
    <w:rsid w:val="00534768"/>
    <w:rsid w:val="00534C45"/>
    <w:rsid w:val="00535095"/>
    <w:rsid w:val="005401AB"/>
    <w:rsid w:val="0054053A"/>
    <w:rsid w:val="00540BA6"/>
    <w:rsid w:val="00540DB8"/>
    <w:rsid w:val="00542083"/>
    <w:rsid w:val="00542A93"/>
    <w:rsid w:val="00543259"/>
    <w:rsid w:val="00544BFE"/>
    <w:rsid w:val="00544D73"/>
    <w:rsid w:val="00545FAF"/>
    <w:rsid w:val="00547585"/>
    <w:rsid w:val="005477ED"/>
    <w:rsid w:val="005506EB"/>
    <w:rsid w:val="005528FE"/>
    <w:rsid w:val="00552CEF"/>
    <w:rsid w:val="00553230"/>
    <w:rsid w:val="00553912"/>
    <w:rsid w:val="00555069"/>
    <w:rsid w:val="00555293"/>
    <w:rsid w:val="00556E83"/>
    <w:rsid w:val="00557C6A"/>
    <w:rsid w:val="00560FBE"/>
    <w:rsid w:val="00561AFC"/>
    <w:rsid w:val="00563499"/>
    <w:rsid w:val="00564540"/>
    <w:rsid w:val="00564895"/>
    <w:rsid w:val="0056563C"/>
    <w:rsid w:val="005658B1"/>
    <w:rsid w:val="00566939"/>
    <w:rsid w:val="00567742"/>
    <w:rsid w:val="0056784E"/>
    <w:rsid w:val="00570DBE"/>
    <w:rsid w:val="005711C9"/>
    <w:rsid w:val="005745C4"/>
    <w:rsid w:val="005757FE"/>
    <w:rsid w:val="005758C0"/>
    <w:rsid w:val="005825C6"/>
    <w:rsid w:val="005828CF"/>
    <w:rsid w:val="005848D6"/>
    <w:rsid w:val="005854F6"/>
    <w:rsid w:val="00585A26"/>
    <w:rsid w:val="00586853"/>
    <w:rsid w:val="00587130"/>
    <w:rsid w:val="005875AC"/>
    <w:rsid w:val="00591049"/>
    <w:rsid w:val="005923E3"/>
    <w:rsid w:val="005923FE"/>
    <w:rsid w:val="005937DB"/>
    <w:rsid w:val="00593968"/>
    <w:rsid w:val="00593ABC"/>
    <w:rsid w:val="00593AC0"/>
    <w:rsid w:val="005945EA"/>
    <w:rsid w:val="0059779E"/>
    <w:rsid w:val="005978D7"/>
    <w:rsid w:val="005A0D75"/>
    <w:rsid w:val="005A28EF"/>
    <w:rsid w:val="005A327D"/>
    <w:rsid w:val="005A4693"/>
    <w:rsid w:val="005A470E"/>
    <w:rsid w:val="005A4BBA"/>
    <w:rsid w:val="005A55B9"/>
    <w:rsid w:val="005A5B7E"/>
    <w:rsid w:val="005A729E"/>
    <w:rsid w:val="005B069A"/>
    <w:rsid w:val="005B0AB4"/>
    <w:rsid w:val="005B0DA7"/>
    <w:rsid w:val="005B26AE"/>
    <w:rsid w:val="005B4A33"/>
    <w:rsid w:val="005B5AC7"/>
    <w:rsid w:val="005B5EAA"/>
    <w:rsid w:val="005B61B9"/>
    <w:rsid w:val="005B6CF7"/>
    <w:rsid w:val="005C037B"/>
    <w:rsid w:val="005C04FA"/>
    <w:rsid w:val="005C07CD"/>
    <w:rsid w:val="005C0F74"/>
    <w:rsid w:val="005C2994"/>
    <w:rsid w:val="005C4988"/>
    <w:rsid w:val="005C4EA8"/>
    <w:rsid w:val="005D0804"/>
    <w:rsid w:val="005D0C78"/>
    <w:rsid w:val="005D1D76"/>
    <w:rsid w:val="005D1FF4"/>
    <w:rsid w:val="005D2340"/>
    <w:rsid w:val="005D3415"/>
    <w:rsid w:val="005D3825"/>
    <w:rsid w:val="005D4E29"/>
    <w:rsid w:val="005D68F6"/>
    <w:rsid w:val="005D71B9"/>
    <w:rsid w:val="005D749A"/>
    <w:rsid w:val="005E10CB"/>
    <w:rsid w:val="005E283A"/>
    <w:rsid w:val="005E4279"/>
    <w:rsid w:val="005E4866"/>
    <w:rsid w:val="005E52E5"/>
    <w:rsid w:val="005E5DCF"/>
    <w:rsid w:val="005E5E22"/>
    <w:rsid w:val="005E63D0"/>
    <w:rsid w:val="005E6438"/>
    <w:rsid w:val="005E7588"/>
    <w:rsid w:val="005E7741"/>
    <w:rsid w:val="005E79B4"/>
    <w:rsid w:val="005F1063"/>
    <w:rsid w:val="005F1236"/>
    <w:rsid w:val="005F4DCF"/>
    <w:rsid w:val="005F6761"/>
    <w:rsid w:val="005F6B6A"/>
    <w:rsid w:val="005F75FF"/>
    <w:rsid w:val="00601C70"/>
    <w:rsid w:val="00601DDB"/>
    <w:rsid w:val="00602990"/>
    <w:rsid w:val="00603390"/>
    <w:rsid w:val="006040F6"/>
    <w:rsid w:val="0060555B"/>
    <w:rsid w:val="00606AC8"/>
    <w:rsid w:val="00607AFB"/>
    <w:rsid w:val="00610B0F"/>
    <w:rsid w:val="00610BC9"/>
    <w:rsid w:val="00610C1B"/>
    <w:rsid w:val="006119A5"/>
    <w:rsid w:val="0061266B"/>
    <w:rsid w:val="00613D85"/>
    <w:rsid w:val="00614EE0"/>
    <w:rsid w:val="00615171"/>
    <w:rsid w:val="0061544D"/>
    <w:rsid w:val="006157A4"/>
    <w:rsid w:val="0061612F"/>
    <w:rsid w:val="00617DD3"/>
    <w:rsid w:val="00620D8F"/>
    <w:rsid w:val="0062103B"/>
    <w:rsid w:val="00621DCF"/>
    <w:rsid w:val="0062295E"/>
    <w:rsid w:val="00623C26"/>
    <w:rsid w:val="0062406A"/>
    <w:rsid w:val="0062492E"/>
    <w:rsid w:val="00625FAA"/>
    <w:rsid w:val="006268F4"/>
    <w:rsid w:val="00627A7E"/>
    <w:rsid w:val="00627B22"/>
    <w:rsid w:val="00630343"/>
    <w:rsid w:val="006310C1"/>
    <w:rsid w:val="00631408"/>
    <w:rsid w:val="00632940"/>
    <w:rsid w:val="00635F3F"/>
    <w:rsid w:val="006403C8"/>
    <w:rsid w:val="00641141"/>
    <w:rsid w:val="006412DF"/>
    <w:rsid w:val="00641EBD"/>
    <w:rsid w:val="006422D7"/>
    <w:rsid w:val="00642C84"/>
    <w:rsid w:val="006443D0"/>
    <w:rsid w:val="00644E2E"/>
    <w:rsid w:val="00646E17"/>
    <w:rsid w:val="0065019B"/>
    <w:rsid w:val="00650D77"/>
    <w:rsid w:val="00650E44"/>
    <w:rsid w:val="00651446"/>
    <w:rsid w:val="0065251F"/>
    <w:rsid w:val="00652722"/>
    <w:rsid w:val="006535D7"/>
    <w:rsid w:val="00653A1A"/>
    <w:rsid w:val="006553AD"/>
    <w:rsid w:val="00655A4D"/>
    <w:rsid w:val="00656174"/>
    <w:rsid w:val="00656233"/>
    <w:rsid w:val="006563E6"/>
    <w:rsid w:val="00656A02"/>
    <w:rsid w:val="00656ED3"/>
    <w:rsid w:val="00656F39"/>
    <w:rsid w:val="00657B15"/>
    <w:rsid w:val="00660DB2"/>
    <w:rsid w:val="00661763"/>
    <w:rsid w:val="0066327A"/>
    <w:rsid w:val="00664484"/>
    <w:rsid w:val="00664D9C"/>
    <w:rsid w:val="00670205"/>
    <w:rsid w:val="00673BBC"/>
    <w:rsid w:val="00675EDC"/>
    <w:rsid w:val="006807C3"/>
    <w:rsid w:val="00681C05"/>
    <w:rsid w:val="0068355A"/>
    <w:rsid w:val="00683CB8"/>
    <w:rsid w:val="00684BDB"/>
    <w:rsid w:val="0068662B"/>
    <w:rsid w:val="0068685C"/>
    <w:rsid w:val="00690769"/>
    <w:rsid w:val="006916AA"/>
    <w:rsid w:val="006919C6"/>
    <w:rsid w:val="00691F4F"/>
    <w:rsid w:val="00692D36"/>
    <w:rsid w:val="0069313F"/>
    <w:rsid w:val="006940A8"/>
    <w:rsid w:val="00694D67"/>
    <w:rsid w:val="00696035"/>
    <w:rsid w:val="00696CAD"/>
    <w:rsid w:val="006972AF"/>
    <w:rsid w:val="006A145F"/>
    <w:rsid w:val="006A17BC"/>
    <w:rsid w:val="006A1DFD"/>
    <w:rsid w:val="006A1E54"/>
    <w:rsid w:val="006A1F3F"/>
    <w:rsid w:val="006A3ED0"/>
    <w:rsid w:val="006A426C"/>
    <w:rsid w:val="006A4E74"/>
    <w:rsid w:val="006A50B0"/>
    <w:rsid w:val="006B2D9F"/>
    <w:rsid w:val="006C1415"/>
    <w:rsid w:val="006C183B"/>
    <w:rsid w:val="006C1A7D"/>
    <w:rsid w:val="006C1D1F"/>
    <w:rsid w:val="006C324A"/>
    <w:rsid w:val="006C4EFA"/>
    <w:rsid w:val="006C62E0"/>
    <w:rsid w:val="006C75DB"/>
    <w:rsid w:val="006D0D67"/>
    <w:rsid w:val="006D15B3"/>
    <w:rsid w:val="006D2608"/>
    <w:rsid w:val="006D2CD2"/>
    <w:rsid w:val="006D3BED"/>
    <w:rsid w:val="006D5655"/>
    <w:rsid w:val="006D5E02"/>
    <w:rsid w:val="006D5E5F"/>
    <w:rsid w:val="006D6EC8"/>
    <w:rsid w:val="006E7C91"/>
    <w:rsid w:val="006E7E2B"/>
    <w:rsid w:val="006F0308"/>
    <w:rsid w:val="006F04F3"/>
    <w:rsid w:val="006F069B"/>
    <w:rsid w:val="006F0789"/>
    <w:rsid w:val="006F1C8B"/>
    <w:rsid w:val="006F3592"/>
    <w:rsid w:val="006F3BB1"/>
    <w:rsid w:val="006F439E"/>
    <w:rsid w:val="006F4891"/>
    <w:rsid w:val="006F5622"/>
    <w:rsid w:val="006F562F"/>
    <w:rsid w:val="006F61FE"/>
    <w:rsid w:val="006F6671"/>
    <w:rsid w:val="006F79C7"/>
    <w:rsid w:val="0070086F"/>
    <w:rsid w:val="00700CAD"/>
    <w:rsid w:val="00702D14"/>
    <w:rsid w:val="007030E6"/>
    <w:rsid w:val="00706A38"/>
    <w:rsid w:val="00706F3C"/>
    <w:rsid w:val="007072F2"/>
    <w:rsid w:val="00710231"/>
    <w:rsid w:val="00711615"/>
    <w:rsid w:val="007133E4"/>
    <w:rsid w:val="007148B0"/>
    <w:rsid w:val="00716F5D"/>
    <w:rsid w:val="00720AC4"/>
    <w:rsid w:val="00722817"/>
    <w:rsid w:val="0072281E"/>
    <w:rsid w:val="00725158"/>
    <w:rsid w:val="007277D8"/>
    <w:rsid w:val="00731590"/>
    <w:rsid w:val="007317F1"/>
    <w:rsid w:val="0073542B"/>
    <w:rsid w:val="007364B1"/>
    <w:rsid w:val="007411AC"/>
    <w:rsid w:val="00742C21"/>
    <w:rsid w:val="0074406B"/>
    <w:rsid w:val="00744AA6"/>
    <w:rsid w:val="00744C2F"/>
    <w:rsid w:val="0074683C"/>
    <w:rsid w:val="007476BC"/>
    <w:rsid w:val="00751482"/>
    <w:rsid w:val="007515FE"/>
    <w:rsid w:val="007523D2"/>
    <w:rsid w:val="007527FB"/>
    <w:rsid w:val="0075545B"/>
    <w:rsid w:val="00757C2B"/>
    <w:rsid w:val="007600EB"/>
    <w:rsid w:val="00760235"/>
    <w:rsid w:val="00760293"/>
    <w:rsid w:val="007607D9"/>
    <w:rsid w:val="007619FA"/>
    <w:rsid w:val="00762150"/>
    <w:rsid w:val="00763EEC"/>
    <w:rsid w:val="00766D25"/>
    <w:rsid w:val="00770817"/>
    <w:rsid w:val="007713CD"/>
    <w:rsid w:val="007717B7"/>
    <w:rsid w:val="00772000"/>
    <w:rsid w:val="00773293"/>
    <w:rsid w:val="007741DF"/>
    <w:rsid w:val="007744CD"/>
    <w:rsid w:val="00774845"/>
    <w:rsid w:val="00774EE8"/>
    <w:rsid w:val="007755E2"/>
    <w:rsid w:val="007763A1"/>
    <w:rsid w:val="00776863"/>
    <w:rsid w:val="00777642"/>
    <w:rsid w:val="00777C2A"/>
    <w:rsid w:val="007811A2"/>
    <w:rsid w:val="00781BDE"/>
    <w:rsid w:val="007832B9"/>
    <w:rsid w:val="00783C8C"/>
    <w:rsid w:val="00783E42"/>
    <w:rsid w:val="0078524B"/>
    <w:rsid w:val="007857B1"/>
    <w:rsid w:val="007863CB"/>
    <w:rsid w:val="007874D6"/>
    <w:rsid w:val="00787DA2"/>
    <w:rsid w:val="00790689"/>
    <w:rsid w:val="00791784"/>
    <w:rsid w:val="0079206F"/>
    <w:rsid w:val="007936FE"/>
    <w:rsid w:val="007938BE"/>
    <w:rsid w:val="007942BE"/>
    <w:rsid w:val="007946A9"/>
    <w:rsid w:val="00795934"/>
    <w:rsid w:val="007962F4"/>
    <w:rsid w:val="007964B8"/>
    <w:rsid w:val="007A065A"/>
    <w:rsid w:val="007A14DC"/>
    <w:rsid w:val="007A261B"/>
    <w:rsid w:val="007A2E74"/>
    <w:rsid w:val="007A3583"/>
    <w:rsid w:val="007A3BBD"/>
    <w:rsid w:val="007A45C9"/>
    <w:rsid w:val="007A5234"/>
    <w:rsid w:val="007A57CC"/>
    <w:rsid w:val="007A6726"/>
    <w:rsid w:val="007A75DE"/>
    <w:rsid w:val="007A7A90"/>
    <w:rsid w:val="007A7EAC"/>
    <w:rsid w:val="007B1D8C"/>
    <w:rsid w:val="007B2128"/>
    <w:rsid w:val="007B3641"/>
    <w:rsid w:val="007B41C1"/>
    <w:rsid w:val="007B483F"/>
    <w:rsid w:val="007B5209"/>
    <w:rsid w:val="007B5E30"/>
    <w:rsid w:val="007B6C6D"/>
    <w:rsid w:val="007C0B2A"/>
    <w:rsid w:val="007C1014"/>
    <w:rsid w:val="007C19F7"/>
    <w:rsid w:val="007C5338"/>
    <w:rsid w:val="007C560A"/>
    <w:rsid w:val="007C6E51"/>
    <w:rsid w:val="007D1B54"/>
    <w:rsid w:val="007D2A59"/>
    <w:rsid w:val="007D2B30"/>
    <w:rsid w:val="007D2C05"/>
    <w:rsid w:val="007D2C36"/>
    <w:rsid w:val="007D2DF1"/>
    <w:rsid w:val="007D46FD"/>
    <w:rsid w:val="007D4A85"/>
    <w:rsid w:val="007D6849"/>
    <w:rsid w:val="007D73D2"/>
    <w:rsid w:val="007D7DB9"/>
    <w:rsid w:val="007E037A"/>
    <w:rsid w:val="007E3040"/>
    <w:rsid w:val="007E307B"/>
    <w:rsid w:val="007E48A8"/>
    <w:rsid w:val="007E5972"/>
    <w:rsid w:val="007E59BE"/>
    <w:rsid w:val="007E772A"/>
    <w:rsid w:val="007E78CF"/>
    <w:rsid w:val="007E78DB"/>
    <w:rsid w:val="007E7F11"/>
    <w:rsid w:val="007F0057"/>
    <w:rsid w:val="007F099F"/>
    <w:rsid w:val="007F0C4F"/>
    <w:rsid w:val="007F1BEB"/>
    <w:rsid w:val="007F2AB4"/>
    <w:rsid w:val="007F2F06"/>
    <w:rsid w:val="007F5637"/>
    <w:rsid w:val="007F65A7"/>
    <w:rsid w:val="007F6D6E"/>
    <w:rsid w:val="007F70D5"/>
    <w:rsid w:val="007F7CB0"/>
    <w:rsid w:val="0080082C"/>
    <w:rsid w:val="00800DBE"/>
    <w:rsid w:val="00800DDA"/>
    <w:rsid w:val="00801713"/>
    <w:rsid w:val="00801F64"/>
    <w:rsid w:val="00802134"/>
    <w:rsid w:val="0080295D"/>
    <w:rsid w:val="0080337C"/>
    <w:rsid w:val="008033C7"/>
    <w:rsid w:val="0080456C"/>
    <w:rsid w:val="00804816"/>
    <w:rsid w:val="00805055"/>
    <w:rsid w:val="00805967"/>
    <w:rsid w:val="00807FC5"/>
    <w:rsid w:val="008109DD"/>
    <w:rsid w:val="00810AC4"/>
    <w:rsid w:val="00810FED"/>
    <w:rsid w:val="0081265E"/>
    <w:rsid w:val="00814AAB"/>
    <w:rsid w:val="008162D3"/>
    <w:rsid w:val="00816FDE"/>
    <w:rsid w:val="0081750F"/>
    <w:rsid w:val="00820278"/>
    <w:rsid w:val="00820A1C"/>
    <w:rsid w:val="00821557"/>
    <w:rsid w:val="008217E3"/>
    <w:rsid w:val="008231BF"/>
    <w:rsid w:val="00826CD9"/>
    <w:rsid w:val="00827454"/>
    <w:rsid w:val="0082757C"/>
    <w:rsid w:val="00827E46"/>
    <w:rsid w:val="00830569"/>
    <w:rsid w:val="0083167F"/>
    <w:rsid w:val="0083257E"/>
    <w:rsid w:val="0083300B"/>
    <w:rsid w:val="008331FE"/>
    <w:rsid w:val="00833FE0"/>
    <w:rsid w:val="00834832"/>
    <w:rsid w:val="00834C93"/>
    <w:rsid w:val="00841A7C"/>
    <w:rsid w:val="00842BF4"/>
    <w:rsid w:val="00843E14"/>
    <w:rsid w:val="008448E8"/>
    <w:rsid w:val="00844D88"/>
    <w:rsid w:val="00846657"/>
    <w:rsid w:val="0084737A"/>
    <w:rsid w:val="00851568"/>
    <w:rsid w:val="00851F62"/>
    <w:rsid w:val="0085306B"/>
    <w:rsid w:val="00854B9A"/>
    <w:rsid w:val="00855678"/>
    <w:rsid w:val="008559E5"/>
    <w:rsid w:val="00855CE0"/>
    <w:rsid w:val="0085748C"/>
    <w:rsid w:val="00860D05"/>
    <w:rsid w:val="0086253B"/>
    <w:rsid w:val="00863201"/>
    <w:rsid w:val="008640BB"/>
    <w:rsid w:val="00865DF0"/>
    <w:rsid w:val="0086703C"/>
    <w:rsid w:val="00870B5E"/>
    <w:rsid w:val="00871E4D"/>
    <w:rsid w:val="00875C24"/>
    <w:rsid w:val="0087609A"/>
    <w:rsid w:val="00876502"/>
    <w:rsid w:val="00876586"/>
    <w:rsid w:val="00876C72"/>
    <w:rsid w:val="008775EC"/>
    <w:rsid w:val="00880A93"/>
    <w:rsid w:val="0088168F"/>
    <w:rsid w:val="0088271F"/>
    <w:rsid w:val="0088621C"/>
    <w:rsid w:val="008864D4"/>
    <w:rsid w:val="00886A87"/>
    <w:rsid w:val="0089077D"/>
    <w:rsid w:val="00891CCA"/>
    <w:rsid w:val="00891D12"/>
    <w:rsid w:val="008933E5"/>
    <w:rsid w:val="00895129"/>
    <w:rsid w:val="00895F77"/>
    <w:rsid w:val="008974BE"/>
    <w:rsid w:val="00897E8A"/>
    <w:rsid w:val="008A0B54"/>
    <w:rsid w:val="008A0D85"/>
    <w:rsid w:val="008A4BBE"/>
    <w:rsid w:val="008A54B8"/>
    <w:rsid w:val="008B0437"/>
    <w:rsid w:val="008B13BB"/>
    <w:rsid w:val="008B1B48"/>
    <w:rsid w:val="008B1E7C"/>
    <w:rsid w:val="008B5AE8"/>
    <w:rsid w:val="008C1F8F"/>
    <w:rsid w:val="008C206F"/>
    <w:rsid w:val="008C27EF"/>
    <w:rsid w:val="008C2908"/>
    <w:rsid w:val="008C3852"/>
    <w:rsid w:val="008C5C76"/>
    <w:rsid w:val="008C762B"/>
    <w:rsid w:val="008C7E28"/>
    <w:rsid w:val="008D02E1"/>
    <w:rsid w:val="008D0AF4"/>
    <w:rsid w:val="008D0D69"/>
    <w:rsid w:val="008D262D"/>
    <w:rsid w:val="008D3A1D"/>
    <w:rsid w:val="008D4743"/>
    <w:rsid w:val="008D688D"/>
    <w:rsid w:val="008D76A2"/>
    <w:rsid w:val="008E01A4"/>
    <w:rsid w:val="008E15B6"/>
    <w:rsid w:val="008E2149"/>
    <w:rsid w:val="008E2A10"/>
    <w:rsid w:val="008E2ED2"/>
    <w:rsid w:val="008E4CB5"/>
    <w:rsid w:val="008E560C"/>
    <w:rsid w:val="008E5954"/>
    <w:rsid w:val="008E5C32"/>
    <w:rsid w:val="008E7AF4"/>
    <w:rsid w:val="008F0C04"/>
    <w:rsid w:val="008F210E"/>
    <w:rsid w:val="008F2B15"/>
    <w:rsid w:val="008F3C3E"/>
    <w:rsid w:val="008F44A8"/>
    <w:rsid w:val="008F593D"/>
    <w:rsid w:val="008F5BB3"/>
    <w:rsid w:val="008F7B66"/>
    <w:rsid w:val="0090054D"/>
    <w:rsid w:val="00900DF1"/>
    <w:rsid w:val="0090127E"/>
    <w:rsid w:val="009013F6"/>
    <w:rsid w:val="00903354"/>
    <w:rsid w:val="00903C6B"/>
    <w:rsid w:val="00905202"/>
    <w:rsid w:val="00905EB0"/>
    <w:rsid w:val="00906227"/>
    <w:rsid w:val="00906A77"/>
    <w:rsid w:val="009077F6"/>
    <w:rsid w:val="00907A33"/>
    <w:rsid w:val="00910878"/>
    <w:rsid w:val="009112EA"/>
    <w:rsid w:val="00912E93"/>
    <w:rsid w:val="009151B8"/>
    <w:rsid w:val="009162C3"/>
    <w:rsid w:val="00916B03"/>
    <w:rsid w:val="0091701D"/>
    <w:rsid w:val="009171D7"/>
    <w:rsid w:val="0092024D"/>
    <w:rsid w:val="00920F98"/>
    <w:rsid w:val="00921318"/>
    <w:rsid w:val="0092188B"/>
    <w:rsid w:val="00921CE1"/>
    <w:rsid w:val="00921FC1"/>
    <w:rsid w:val="009240D0"/>
    <w:rsid w:val="009245CA"/>
    <w:rsid w:val="009255D4"/>
    <w:rsid w:val="0092567F"/>
    <w:rsid w:val="00926E06"/>
    <w:rsid w:val="00927FE9"/>
    <w:rsid w:val="00930456"/>
    <w:rsid w:val="00930C14"/>
    <w:rsid w:val="009337DD"/>
    <w:rsid w:val="00934586"/>
    <w:rsid w:val="00934B83"/>
    <w:rsid w:val="009359D7"/>
    <w:rsid w:val="00935A8C"/>
    <w:rsid w:val="00936BA4"/>
    <w:rsid w:val="009372BD"/>
    <w:rsid w:val="00937A35"/>
    <w:rsid w:val="00937B69"/>
    <w:rsid w:val="0094110E"/>
    <w:rsid w:val="00943DC0"/>
    <w:rsid w:val="00943FCC"/>
    <w:rsid w:val="00946CC3"/>
    <w:rsid w:val="0094771B"/>
    <w:rsid w:val="00947B57"/>
    <w:rsid w:val="00950289"/>
    <w:rsid w:val="00950467"/>
    <w:rsid w:val="00950751"/>
    <w:rsid w:val="00951068"/>
    <w:rsid w:val="00952394"/>
    <w:rsid w:val="00952556"/>
    <w:rsid w:val="00952FD1"/>
    <w:rsid w:val="009537C1"/>
    <w:rsid w:val="0095497A"/>
    <w:rsid w:val="00954B47"/>
    <w:rsid w:val="00954D7D"/>
    <w:rsid w:val="0095580E"/>
    <w:rsid w:val="00960231"/>
    <w:rsid w:val="00960668"/>
    <w:rsid w:val="009615BD"/>
    <w:rsid w:val="00961777"/>
    <w:rsid w:val="009636CE"/>
    <w:rsid w:val="00963984"/>
    <w:rsid w:val="00963AC9"/>
    <w:rsid w:val="00964BF5"/>
    <w:rsid w:val="00965C1B"/>
    <w:rsid w:val="0096623A"/>
    <w:rsid w:val="00966459"/>
    <w:rsid w:val="0096779C"/>
    <w:rsid w:val="00970338"/>
    <w:rsid w:val="00970452"/>
    <w:rsid w:val="009717B7"/>
    <w:rsid w:val="00971827"/>
    <w:rsid w:val="00971B62"/>
    <w:rsid w:val="009722F1"/>
    <w:rsid w:val="00972E7D"/>
    <w:rsid w:val="009733A8"/>
    <w:rsid w:val="00973703"/>
    <w:rsid w:val="00975832"/>
    <w:rsid w:val="00975A48"/>
    <w:rsid w:val="00976902"/>
    <w:rsid w:val="00977771"/>
    <w:rsid w:val="00977864"/>
    <w:rsid w:val="00980A6B"/>
    <w:rsid w:val="00980F89"/>
    <w:rsid w:val="00981657"/>
    <w:rsid w:val="00982A2F"/>
    <w:rsid w:val="00983395"/>
    <w:rsid w:val="009837BD"/>
    <w:rsid w:val="009849C3"/>
    <w:rsid w:val="00984BBE"/>
    <w:rsid w:val="009879A8"/>
    <w:rsid w:val="00991D57"/>
    <w:rsid w:val="009923FF"/>
    <w:rsid w:val="00993CFF"/>
    <w:rsid w:val="00993EBF"/>
    <w:rsid w:val="00994F42"/>
    <w:rsid w:val="00995332"/>
    <w:rsid w:val="0099611A"/>
    <w:rsid w:val="0099673E"/>
    <w:rsid w:val="00996AA6"/>
    <w:rsid w:val="00997527"/>
    <w:rsid w:val="00997B11"/>
    <w:rsid w:val="009A0D8A"/>
    <w:rsid w:val="009A38D8"/>
    <w:rsid w:val="009A4267"/>
    <w:rsid w:val="009A4587"/>
    <w:rsid w:val="009A4BBD"/>
    <w:rsid w:val="009A50CD"/>
    <w:rsid w:val="009A6086"/>
    <w:rsid w:val="009A649E"/>
    <w:rsid w:val="009A6DB4"/>
    <w:rsid w:val="009A6FB5"/>
    <w:rsid w:val="009A72C0"/>
    <w:rsid w:val="009A748A"/>
    <w:rsid w:val="009B000F"/>
    <w:rsid w:val="009B02E7"/>
    <w:rsid w:val="009B12E3"/>
    <w:rsid w:val="009B1BE5"/>
    <w:rsid w:val="009B24E0"/>
    <w:rsid w:val="009B266A"/>
    <w:rsid w:val="009B3352"/>
    <w:rsid w:val="009B35A6"/>
    <w:rsid w:val="009B3A28"/>
    <w:rsid w:val="009B5CFB"/>
    <w:rsid w:val="009B6820"/>
    <w:rsid w:val="009B69A7"/>
    <w:rsid w:val="009B7D9C"/>
    <w:rsid w:val="009C006B"/>
    <w:rsid w:val="009C164C"/>
    <w:rsid w:val="009C167C"/>
    <w:rsid w:val="009C23B9"/>
    <w:rsid w:val="009C39F1"/>
    <w:rsid w:val="009C6472"/>
    <w:rsid w:val="009C76B5"/>
    <w:rsid w:val="009C7F3A"/>
    <w:rsid w:val="009D19FD"/>
    <w:rsid w:val="009D4283"/>
    <w:rsid w:val="009D51E4"/>
    <w:rsid w:val="009D5D27"/>
    <w:rsid w:val="009D6CF7"/>
    <w:rsid w:val="009D7FF3"/>
    <w:rsid w:val="009E0806"/>
    <w:rsid w:val="009E3A97"/>
    <w:rsid w:val="009E41AF"/>
    <w:rsid w:val="009F0927"/>
    <w:rsid w:val="009F0ABC"/>
    <w:rsid w:val="009F0C95"/>
    <w:rsid w:val="009F325A"/>
    <w:rsid w:val="009F3389"/>
    <w:rsid w:val="009F5733"/>
    <w:rsid w:val="009F5F42"/>
    <w:rsid w:val="009F61A1"/>
    <w:rsid w:val="009F647E"/>
    <w:rsid w:val="009F743A"/>
    <w:rsid w:val="009F76CA"/>
    <w:rsid w:val="00A03A58"/>
    <w:rsid w:val="00A04EE7"/>
    <w:rsid w:val="00A05172"/>
    <w:rsid w:val="00A05CD2"/>
    <w:rsid w:val="00A06DB9"/>
    <w:rsid w:val="00A06F79"/>
    <w:rsid w:val="00A11F8E"/>
    <w:rsid w:val="00A1370C"/>
    <w:rsid w:val="00A13887"/>
    <w:rsid w:val="00A15D48"/>
    <w:rsid w:val="00A1720D"/>
    <w:rsid w:val="00A206B8"/>
    <w:rsid w:val="00A21F54"/>
    <w:rsid w:val="00A22B03"/>
    <w:rsid w:val="00A24360"/>
    <w:rsid w:val="00A2477D"/>
    <w:rsid w:val="00A24B16"/>
    <w:rsid w:val="00A24C01"/>
    <w:rsid w:val="00A25B31"/>
    <w:rsid w:val="00A26EC9"/>
    <w:rsid w:val="00A27C8C"/>
    <w:rsid w:val="00A30303"/>
    <w:rsid w:val="00A30FF2"/>
    <w:rsid w:val="00A31194"/>
    <w:rsid w:val="00A32229"/>
    <w:rsid w:val="00A32C42"/>
    <w:rsid w:val="00A32CD1"/>
    <w:rsid w:val="00A338C9"/>
    <w:rsid w:val="00A411F5"/>
    <w:rsid w:val="00A416C3"/>
    <w:rsid w:val="00A41E0D"/>
    <w:rsid w:val="00A42BCE"/>
    <w:rsid w:val="00A42F8C"/>
    <w:rsid w:val="00A432B4"/>
    <w:rsid w:val="00A43B9A"/>
    <w:rsid w:val="00A45B45"/>
    <w:rsid w:val="00A4604D"/>
    <w:rsid w:val="00A460FF"/>
    <w:rsid w:val="00A464FE"/>
    <w:rsid w:val="00A46B6B"/>
    <w:rsid w:val="00A46BFC"/>
    <w:rsid w:val="00A479F9"/>
    <w:rsid w:val="00A47D16"/>
    <w:rsid w:val="00A5076F"/>
    <w:rsid w:val="00A612C3"/>
    <w:rsid w:val="00A6290E"/>
    <w:rsid w:val="00A62D48"/>
    <w:rsid w:val="00A63498"/>
    <w:rsid w:val="00A637E7"/>
    <w:rsid w:val="00A63E8A"/>
    <w:rsid w:val="00A64AF1"/>
    <w:rsid w:val="00A66F05"/>
    <w:rsid w:val="00A6785E"/>
    <w:rsid w:val="00A67A5F"/>
    <w:rsid w:val="00A70AB0"/>
    <w:rsid w:val="00A70CDC"/>
    <w:rsid w:val="00A71AA6"/>
    <w:rsid w:val="00A7226F"/>
    <w:rsid w:val="00A768B2"/>
    <w:rsid w:val="00A80B56"/>
    <w:rsid w:val="00A81896"/>
    <w:rsid w:val="00A81F3D"/>
    <w:rsid w:val="00A82BEE"/>
    <w:rsid w:val="00A83CFB"/>
    <w:rsid w:val="00A83F90"/>
    <w:rsid w:val="00A840B9"/>
    <w:rsid w:val="00A84434"/>
    <w:rsid w:val="00A848E8"/>
    <w:rsid w:val="00A85CBC"/>
    <w:rsid w:val="00A9109C"/>
    <w:rsid w:val="00A9227A"/>
    <w:rsid w:val="00A93084"/>
    <w:rsid w:val="00A936B0"/>
    <w:rsid w:val="00A95888"/>
    <w:rsid w:val="00A95C0B"/>
    <w:rsid w:val="00A97B55"/>
    <w:rsid w:val="00A97C77"/>
    <w:rsid w:val="00AA1802"/>
    <w:rsid w:val="00AA3781"/>
    <w:rsid w:val="00AA3820"/>
    <w:rsid w:val="00AA4249"/>
    <w:rsid w:val="00AA66B6"/>
    <w:rsid w:val="00AA6FD5"/>
    <w:rsid w:val="00AA702C"/>
    <w:rsid w:val="00AA7409"/>
    <w:rsid w:val="00AA78D8"/>
    <w:rsid w:val="00AB0665"/>
    <w:rsid w:val="00AB15D1"/>
    <w:rsid w:val="00AB2B22"/>
    <w:rsid w:val="00AB3995"/>
    <w:rsid w:val="00AB4272"/>
    <w:rsid w:val="00AB5425"/>
    <w:rsid w:val="00AB6A7B"/>
    <w:rsid w:val="00AC07F0"/>
    <w:rsid w:val="00AC13C5"/>
    <w:rsid w:val="00AC2909"/>
    <w:rsid w:val="00AC2EEF"/>
    <w:rsid w:val="00AC5EE0"/>
    <w:rsid w:val="00AC5F4F"/>
    <w:rsid w:val="00AC626A"/>
    <w:rsid w:val="00AC6A83"/>
    <w:rsid w:val="00AD0012"/>
    <w:rsid w:val="00AD0109"/>
    <w:rsid w:val="00AD0DAC"/>
    <w:rsid w:val="00AD16CF"/>
    <w:rsid w:val="00AD2F44"/>
    <w:rsid w:val="00AD3318"/>
    <w:rsid w:val="00AD344A"/>
    <w:rsid w:val="00AD59B2"/>
    <w:rsid w:val="00AD5D10"/>
    <w:rsid w:val="00AD6315"/>
    <w:rsid w:val="00AD7BA6"/>
    <w:rsid w:val="00AD7EB1"/>
    <w:rsid w:val="00AE0EE6"/>
    <w:rsid w:val="00AE107E"/>
    <w:rsid w:val="00AE15EA"/>
    <w:rsid w:val="00AE21E4"/>
    <w:rsid w:val="00AE35C3"/>
    <w:rsid w:val="00AE3D7D"/>
    <w:rsid w:val="00AE4759"/>
    <w:rsid w:val="00AE48F7"/>
    <w:rsid w:val="00AE4C68"/>
    <w:rsid w:val="00AE5CAC"/>
    <w:rsid w:val="00AE5DDD"/>
    <w:rsid w:val="00AE63D1"/>
    <w:rsid w:val="00AE6859"/>
    <w:rsid w:val="00AE751A"/>
    <w:rsid w:val="00AE75BB"/>
    <w:rsid w:val="00AE7691"/>
    <w:rsid w:val="00AE78E6"/>
    <w:rsid w:val="00AF0703"/>
    <w:rsid w:val="00AF177F"/>
    <w:rsid w:val="00AF1898"/>
    <w:rsid w:val="00AF1F7A"/>
    <w:rsid w:val="00AF439F"/>
    <w:rsid w:val="00AF4A07"/>
    <w:rsid w:val="00AF5309"/>
    <w:rsid w:val="00AF6672"/>
    <w:rsid w:val="00B00014"/>
    <w:rsid w:val="00B000C9"/>
    <w:rsid w:val="00B01089"/>
    <w:rsid w:val="00B01831"/>
    <w:rsid w:val="00B0263C"/>
    <w:rsid w:val="00B0311B"/>
    <w:rsid w:val="00B0433B"/>
    <w:rsid w:val="00B05ADD"/>
    <w:rsid w:val="00B06B51"/>
    <w:rsid w:val="00B074A9"/>
    <w:rsid w:val="00B07839"/>
    <w:rsid w:val="00B10DC9"/>
    <w:rsid w:val="00B12219"/>
    <w:rsid w:val="00B13BE0"/>
    <w:rsid w:val="00B1656C"/>
    <w:rsid w:val="00B20DC8"/>
    <w:rsid w:val="00B2284E"/>
    <w:rsid w:val="00B2337F"/>
    <w:rsid w:val="00B2395B"/>
    <w:rsid w:val="00B244EA"/>
    <w:rsid w:val="00B25055"/>
    <w:rsid w:val="00B25F3E"/>
    <w:rsid w:val="00B2698A"/>
    <w:rsid w:val="00B26DF1"/>
    <w:rsid w:val="00B2725A"/>
    <w:rsid w:val="00B27A94"/>
    <w:rsid w:val="00B321AE"/>
    <w:rsid w:val="00B321F1"/>
    <w:rsid w:val="00B328D1"/>
    <w:rsid w:val="00B345FE"/>
    <w:rsid w:val="00B3483C"/>
    <w:rsid w:val="00B34C13"/>
    <w:rsid w:val="00B37DF4"/>
    <w:rsid w:val="00B40F0E"/>
    <w:rsid w:val="00B41D50"/>
    <w:rsid w:val="00B42FBA"/>
    <w:rsid w:val="00B4376A"/>
    <w:rsid w:val="00B44A3F"/>
    <w:rsid w:val="00B4532F"/>
    <w:rsid w:val="00B50370"/>
    <w:rsid w:val="00B51B47"/>
    <w:rsid w:val="00B51C5B"/>
    <w:rsid w:val="00B5367C"/>
    <w:rsid w:val="00B556F3"/>
    <w:rsid w:val="00B55E91"/>
    <w:rsid w:val="00B60446"/>
    <w:rsid w:val="00B6141A"/>
    <w:rsid w:val="00B61E4F"/>
    <w:rsid w:val="00B6231D"/>
    <w:rsid w:val="00B623C2"/>
    <w:rsid w:val="00B62CA4"/>
    <w:rsid w:val="00B64D74"/>
    <w:rsid w:val="00B657CE"/>
    <w:rsid w:val="00B677C2"/>
    <w:rsid w:val="00B67FA3"/>
    <w:rsid w:val="00B70CEA"/>
    <w:rsid w:val="00B725A1"/>
    <w:rsid w:val="00B72895"/>
    <w:rsid w:val="00B72C98"/>
    <w:rsid w:val="00B7712C"/>
    <w:rsid w:val="00B77688"/>
    <w:rsid w:val="00B803FB"/>
    <w:rsid w:val="00B806E3"/>
    <w:rsid w:val="00B819DE"/>
    <w:rsid w:val="00B834CF"/>
    <w:rsid w:val="00B835B7"/>
    <w:rsid w:val="00B84093"/>
    <w:rsid w:val="00B85C73"/>
    <w:rsid w:val="00B87170"/>
    <w:rsid w:val="00B87BC4"/>
    <w:rsid w:val="00B9031B"/>
    <w:rsid w:val="00B908EE"/>
    <w:rsid w:val="00B9229C"/>
    <w:rsid w:val="00B92753"/>
    <w:rsid w:val="00B93B24"/>
    <w:rsid w:val="00B945EF"/>
    <w:rsid w:val="00B94C95"/>
    <w:rsid w:val="00B95B8F"/>
    <w:rsid w:val="00B95F7E"/>
    <w:rsid w:val="00B96B64"/>
    <w:rsid w:val="00B970A0"/>
    <w:rsid w:val="00BA045F"/>
    <w:rsid w:val="00BA1543"/>
    <w:rsid w:val="00BA1DA2"/>
    <w:rsid w:val="00BA3395"/>
    <w:rsid w:val="00BA39DA"/>
    <w:rsid w:val="00BA3BF4"/>
    <w:rsid w:val="00BA3EBF"/>
    <w:rsid w:val="00BA4246"/>
    <w:rsid w:val="00BA4E7D"/>
    <w:rsid w:val="00BA4F7D"/>
    <w:rsid w:val="00BA513B"/>
    <w:rsid w:val="00BA6399"/>
    <w:rsid w:val="00BA640B"/>
    <w:rsid w:val="00BA71FC"/>
    <w:rsid w:val="00BA7281"/>
    <w:rsid w:val="00BA780C"/>
    <w:rsid w:val="00BB0B75"/>
    <w:rsid w:val="00BB1ABE"/>
    <w:rsid w:val="00BB24F3"/>
    <w:rsid w:val="00BB4D34"/>
    <w:rsid w:val="00BB63D2"/>
    <w:rsid w:val="00BC446C"/>
    <w:rsid w:val="00BC4DC8"/>
    <w:rsid w:val="00BC528C"/>
    <w:rsid w:val="00BC664A"/>
    <w:rsid w:val="00BC6EDB"/>
    <w:rsid w:val="00BD441A"/>
    <w:rsid w:val="00BD48AA"/>
    <w:rsid w:val="00BD5D26"/>
    <w:rsid w:val="00BD6568"/>
    <w:rsid w:val="00BD66F6"/>
    <w:rsid w:val="00BD7F95"/>
    <w:rsid w:val="00BD7FEA"/>
    <w:rsid w:val="00BE0864"/>
    <w:rsid w:val="00BE0C59"/>
    <w:rsid w:val="00BE4443"/>
    <w:rsid w:val="00BE49DC"/>
    <w:rsid w:val="00BE4F34"/>
    <w:rsid w:val="00BE6437"/>
    <w:rsid w:val="00BE644B"/>
    <w:rsid w:val="00BE6F63"/>
    <w:rsid w:val="00BF0853"/>
    <w:rsid w:val="00BF1403"/>
    <w:rsid w:val="00BF14CD"/>
    <w:rsid w:val="00BF1A0E"/>
    <w:rsid w:val="00BF1C1D"/>
    <w:rsid w:val="00BF476F"/>
    <w:rsid w:val="00BF4EC4"/>
    <w:rsid w:val="00BF53D6"/>
    <w:rsid w:val="00BF69A8"/>
    <w:rsid w:val="00BF6D6C"/>
    <w:rsid w:val="00C01E60"/>
    <w:rsid w:val="00C0206E"/>
    <w:rsid w:val="00C026D3"/>
    <w:rsid w:val="00C0280C"/>
    <w:rsid w:val="00C0422E"/>
    <w:rsid w:val="00C0493A"/>
    <w:rsid w:val="00C06B53"/>
    <w:rsid w:val="00C06CF5"/>
    <w:rsid w:val="00C079F4"/>
    <w:rsid w:val="00C1024C"/>
    <w:rsid w:val="00C10AF9"/>
    <w:rsid w:val="00C1235C"/>
    <w:rsid w:val="00C12EC1"/>
    <w:rsid w:val="00C13603"/>
    <w:rsid w:val="00C145C5"/>
    <w:rsid w:val="00C15617"/>
    <w:rsid w:val="00C1618D"/>
    <w:rsid w:val="00C16744"/>
    <w:rsid w:val="00C20939"/>
    <w:rsid w:val="00C20A0F"/>
    <w:rsid w:val="00C21984"/>
    <w:rsid w:val="00C236B4"/>
    <w:rsid w:val="00C24F0A"/>
    <w:rsid w:val="00C25939"/>
    <w:rsid w:val="00C25B3B"/>
    <w:rsid w:val="00C25CA4"/>
    <w:rsid w:val="00C30D64"/>
    <w:rsid w:val="00C320A0"/>
    <w:rsid w:val="00C3288C"/>
    <w:rsid w:val="00C32ABB"/>
    <w:rsid w:val="00C32CE4"/>
    <w:rsid w:val="00C33457"/>
    <w:rsid w:val="00C33ED1"/>
    <w:rsid w:val="00C35CA6"/>
    <w:rsid w:val="00C35D59"/>
    <w:rsid w:val="00C35D66"/>
    <w:rsid w:val="00C37C35"/>
    <w:rsid w:val="00C4342F"/>
    <w:rsid w:val="00C44034"/>
    <w:rsid w:val="00C45CBF"/>
    <w:rsid w:val="00C5091B"/>
    <w:rsid w:val="00C52B5A"/>
    <w:rsid w:val="00C5300A"/>
    <w:rsid w:val="00C535FB"/>
    <w:rsid w:val="00C53D89"/>
    <w:rsid w:val="00C55BC0"/>
    <w:rsid w:val="00C55E5B"/>
    <w:rsid w:val="00C5690A"/>
    <w:rsid w:val="00C60800"/>
    <w:rsid w:val="00C6104E"/>
    <w:rsid w:val="00C610D3"/>
    <w:rsid w:val="00C61B97"/>
    <w:rsid w:val="00C62793"/>
    <w:rsid w:val="00C62890"/>
    <w:rsid w:val="00C62F20"/>
    <w:rsid w:val="00C63872"/>
    <w:rsid w:val="00C65167"/>
    <w:rsid w:val="00C67152"/>
    <w:rsid w:val="00C710AC"/>
    <w:rsid w:val="00C76A27"/>
    <w:rsid w:val="00C7737A"/>
    <w:rsid w:val="00C8043B"/>
    <w:rsid w:val="00C80A53"/>
    <w:rsid w:val="00C81D37"/>
    <w:rsid w:val="00C83804"/>
    <w:rsid w:val="00C84B4B"/>
    <w:rsid w:val="00C85F06"/>
    <w:rsid w:val="00C8606F"/>
    <w:rsid w:val="00C86447"/>
    <w:rsid w:val="00C86A1B"/>
    <w:rsid w:val="00C87A37"/>
    <w:rsid w:val="00C90002"/>
    <w:rsid w:val="00C91048"/>
    <w:rsid w:val="00C91955"/>
    <w:rsid w:val="00C9256E"/>
    <w:rsid w:val="00C92610"/>
    <w:rsid w:val="00C9337C"/>
    <w:rsid w:val="00C97487"/>
    <w:rsid w:val="00C979C0"/>
    <w:rsid w:val="00CA013B"/>
    <w:rsid w:val="00CA1714"/>
    <w:rsid w:val="00CA3389"/>
    <w:rsid w:val="00CA69FC"/>
    <w:rsid w:val="00CB03E2"/>
    <w:rsid w:val="00CB215F"/>
    <w:rsid w:val="00CB28EF"/>
    <w:rsid w:val="00CB35E6"/>
    <w:rsid w:val="00CB37A6"/>
    <w:rsid w:val="00CB6459"/>
    <w:rsid w:val="00CB6769"/>
    <w:rsid w:val="00CB6C8E"/>
    <w:rsid w:val="00CB6E9E"/>
    <w:rsid w:val="00CB6F6C"/>
    <w:rsid w:val="00CB7FAA"/>
    <w:rsid w:val="00CC0C5C"/>
    <w:rsid w:val="00CC117E"/>
    <w:rsid w:val="00CC18EC"/>
    <w:rsid w:val="00CC2A5A"/>
    <w:rsid w:val="00CC2D29"/>
    <w:rsid w:val="00CC41AA"/>
    <w:rsid w:val="00CC50D4"/>
    <w:rsid w:val="00CC54B1"/>
    <w:rsid w:val="00CC5F87"/>
    <w:rsid w:val="00CC6364"/>
    <w:rsid w:val="00CC73FA"/>
    <w:rsid w:val="00CC7CEA"/>
    <w:rsid w:val="00CD01D4"/>
    <w:rsid w:val="00CD037E"/>
    <w:rsid w:val="00CD1979"/>
    <w:rsid w:val="00CD2414"/>
    <w:rsid w:val="00CD2693"/>
    <w:rsid w:val="00CD330B"/>
    <w:rsid w:val="00CD4D7D"/>
    <w:rsid w:val="00CD54A5"/>
    <w:rsid w:val="00CD65C7"/>
    <w:rsid w:val="00CD6D5D"/>
    <w:rsid w:val="00CD6DF3"/>
    <w:rsid w:val="00CD7667"/>
    <w:rsid w:val="00CD7C94"/>
    <w:rsid w:val="00CE0BDB"/>
    <w:rsid w:val="00CE15DD"/>
    <w:rsid w:val="00CE16A9"/>
    <w:rsid w:val="00CE2A62"/>
    <w:rsid w:val="00CE30C1"/>
    <w:rsid w:val="00CE4296"/>
    <w:rsid w:val="00CE4FCE"/>
    <w:rsid w:val="00CE5AC1"/>
    <w:rsid w:val="00CE61D3"/>
    <w:rsid w:val="00CE69EC"/>
    <w:rsid w:val="00CF02B5"/>
    <w:rsid w:val="00CF085C"/>
    <w:rsid w:val="00CF0BC3"/>
    <w:rsid w:val="00CF2C0F"/>
    <w:rsid w:val="00CF2D9F"/>
    <w:rsid w:val="00CF2E9E"/>
    <w:rsid w:val="00CF390C"/>
    <w:rsid w:val="00CF3A03"/>
    <w:rsid w:val="00CF42D5"/>
    <w:rsid w:val="00CF4410"/>
    <w:rsid w:val="00CF4A57"/>
    <w:rsid w:val="00CF4F08"/>
    <w:rsid w:val="00CF4FCA"/>
    <w:rsid w:val="00CF523C"/>
    <w:rsid w:val="00CF696F"/>
    <w:rsid w:val="00CF71B3"/>
    <w:rsid w:val="00D04428"/>
    <w:rsid w:val="00D05BCE"/>
    <w:rsid w:val="00D06788"/>
    <w:rsid w:val="00D07E89"/>
    <w:rsid w:val="00D11216"/>
    <w:rsid w:val="00D11FCC"/>
    <w:rsid w:val="00D14E3B"/>
    <w:rsid w:val="00D15EA1"/>
    <w:rsid w:val="00D165DB"/>
    <w:rsid w:val="00D201AB"/>
    <w:rsid w:val="00D20E57"/>
    <w:rsid w:val="00D220FE"/>
    <w:rsid w:val="00D226E8"/>
    <w:rsid w:val="00D24D37"/>
    <w:rsid w:val="00D24F57"/>
    <w:rsid w:val="00D267B4"/>
    <w:rsid w:val="00D26FEA"/>
    <w:rsid w:val="00D32AB0"/>
    <w:rsid w:val="00D3301A"/>
    <w:rsid w:val="00D330B6"/>
    <w:rsid w:val="00D33A06"/>
    <w:rsid w:val="00D33F93"/>
    <w:rsid w:val="00D355D2"/>
    <w:rsid w:val="00D3618B"/>
    <w:rsid w:val="00D36E1A"/>
    <w:rsid w:val="00D3732B"/>
    <w:rsid w:val="00D400A2"/>
    <w:rsid w:val="00D419CA"/>
    <w:rsid w:val="00D43351"/>
    <w:rsid w:val="00D4557C"/>
    <w:rsid w:val="00D46182"/>
    <w:rsid w:val="00D475CB"/>
    <w:rsid w:val="00D50886"/>
    <w:rsid w:val="00D50D95"/>
    <w:rsid w:val="00D50FDC"/>
    <w:rsid w:val="00D5260E"/>
    <w:rsid w:val="00D52801"/>
    <w:rsid w:val="00D52A35"/>
    <w:rsid w:val="00D549D9"/>
    <w:rsid w:val="00D560AD"/>
    <w:rsid w:val="00D6195C"/>
    <w:rsid w:val="00D61C1F"/>
    <w:rsid w:val="00D64772"/>
    <w:rsid w:val="00D65663"/>
    <w:rsid w:val="00D662F7"/>
    <w:rsid w:val="00D66509"/>
    <w:rsid w:val="00D66872"/>
    <w:rsid w:val="00D677FB"/>
    <w:rsid w:val="00D70C1A"/>
    <w:rsid w:val="00D72FE1"/>
    <w:rsid w:val="00D732EB"/>
    <w:rsid w:val="00D735F2"/>
    <w:rsid w:val="00D74728"/>
    <w:rsid w:val="00D76426"/>
    <w:rsid w:val="00D76598"/>
    <w:rsid w:val="00D76657"/>
    <w:rsid w:val="00D80989"/>
    <w:rsid w:val="00D81904"/>
    <w:rsid w:val="00D847F5"/>
    <w:rsid w:val="00D84CB3"/>
    <w:rsid w:val="00D86071"/>
    <w:rsid w:val="00D873DF"/>
    <w:rsid w:val="00D874C8"/>
    <w:rsid w:val="00D87661"/>
    <w:rsid w:val="00D87D7B"/>
    <w:rsid w:val="00D928DF"/>
    <w:rsid w:val="00D93C68"/>
    <w:rsid w:val="00D94465"/>
    <w:rsid w:val="00D949D2"/>
    <w:rsid w:val="00D972E2"/>
    <w:rsid w:val="00D97DE8"/>
    <w:rsid w:val="00DA049E"/>
    <w:rsid w:val="00DA06F1"/>
    <w:rsid w:val="00DA0C99"/>
    <w:rsid w:val="00DA17D2"/>
    <w:rsid w:val="00DA1947"/>
    <w:rsid w:val="00DA2642"/>
    <w:rsid w:val="00DA2DBD"/>
    <w:rsid w:val="00DA3161"/>
    <w:rsid w:val="00DA5385"/>
    <w:rsid w:val="00DA5E1D"/>
    <w:rsid w:val="00DA67B0"/>
    <w:rsid w:val="00DA6D07"/>
    <w:rsid w:val="00DA6FBD"/>
    <w:rsid w:val="00DA7CEA"/>
    <w:rsid w:val="00DB08C4"/>
    <w:rsid w:val="00DB1C94"/>
    <w:rsid w:val="00DB453B"/>
    <w:rsid w:val="00DB4AA2"/>
    <w:rsid w:val="00DB4F7F"/>
    <w:rsid w:val="00DB732C"/>
    <w:rsid w:val="00DB7BD9"/>
    <w:rsid w:val="00DC014D"/>
    <w:rsid w:val="00DC0F62"/>
    <w:rsid w:val="00DC249F"/>
    <w:rsid w:val="00DC4106"/>
    <w:rsid w:val="00DC411C"/>
    <w:rsid w:val="00DC4A80"/>
    <w:rsid w:val="00DC4D2A"/>
    <w:rsid w:val="00DC6F0A"/>
    <w:rsid w:val="00DC7EC8"/>
    <w:rsid w:val="00DD1159"/>
    <w:rsid w:val="00DD14DA"/>
    <w:rsid w:val="00DD1D46"/>
    <w:rsid w:val="00DD3052"/>
    <w:rsid w:val="00DE004F"/>
    <w:rsid w:val="00DE072F"/>
    <w:rsid w:val="00DE0D67"/>
    <w:rsid w:val="00DE1C0D"/>
    <w:rsid w:val="00DE338D"/>
    <w:rsid w:val="00DE3428"/>
    <w:rsid w:val="00DE3F48"/>
    <w:rsid w:val="00DE469F"/>
    <w:rsid w:val="00DE4B8D"/>
    <w:rsid w:val="00DE51F1"/>
    <w:rsid w:val="00DE60EA"/>
    <w:rsid w:val="00DE6274"/>
    <w:rsid w:val="00DE747E"/>
    <w:rsid w:val="00DE7E2B"/>
    <w:rsid w:val="00DF0D02"/>
    <w:rsid w:val="00DF303A"/>
    <w:rsid w:val="00DF3719"/>
    <w:rsid w:val="00DF51F7"/>
    <w:rsid w:val="00DF54BD"/>
    <w:rsid w:val="00DF60FD"/>
    <w:rsid w:val="00DF7F5E"/>
    <w:rsid w:val="00E03ABB"/>
    <w:rsid w:val="00E040C3"/>
    <w:rsid w:val="00E0473E"/>
    <w:rsid w:val="00E06E1C"/>
    <w:rsid w:val="00E07351"/>
    <w:rsid w:val="00E07DE9"/>
    <w:rsid w:val="00E10904"/>
    <w:rsid w:val="00E10DCF"/>
    <w:rsid w:val="00E111CA"/>
    <w:rsid w:val="00E11472"/>
    <w:rsid w:val="00E119FA"/>
    <w:rsid w:val="00E142CD"/>
    <w:rsid w:val="00E15368"/>
    <w:rsid w:val="00E15FC1"/>
    <w:rsid w:val="00E1609E"/>
    <w:rsid w:val="00E16B01"/>
    <w:rsid w:val="00E16C17"/>
    <w:rsid w:val="00E16F2F"/>
    <w:rsid w:val="00E17BB3"/>
    <w:rsid w:val="00E20891"/>
    <w:rsid w:val="00E209AA"/>
    <w:rsid w:val="00E2303D"/>
    <w:rsid w:val="00E24BD9"/>
    <w:rsid w:val="00E2660C"/>
    <w:rsid w:val="00E2669C"/>
    <w:rsid w:val="00E26C05"/>
    <w:rsid w:val="00E26E3B"/>
    <w:rsid w:val="00E27901"/>
    <w:rsid w:val="00E30BAB"/>
    <w:rsid w:val="00E3229F"/>
    <w:rsid w:val="00E34616"/>
    <w:rsid w:val="00E34A8A"/>
    <w:rsid w:val="00E3531B"/>
    <w:rsid w:val="00E35B61"/>
    <w:rsid w:val="00E367AA"/>
    <w:rsid w:val="00E40B05"/>
    <w:rsid w:val="00E41D0F"/>
    <w:rsid w:val="00E4206B"/>
    <w:rsid w:val="00E42D3D"/>
    <w:rsid w:val="00E43164"/>
    <w:rsid w:val="00E431BA"/>
    <w:rsid w:val="00E43879"/>
    <w:rsid w:val="00E43BA7"/>
    <w:rsid w:val="00E44F06"/>
    <w:rsid w:val="00E45025"/>
    <w:rsid w:val="00E45681"/>
    <w:rsid w:val="00E4582A"/>
    <w:rsid w:val="00E458A8"/>
    <w:rsid w:val="00E46415"/>
    <w:rsid w:val="00E465AB"/>
    <w:rsid w:val="00E467CA"/>
    <w:rsid w:val="00E47D74"/>
    <w:rsid w:val="00E511A4"/>
    <w:rsid w:val="00E51573"/>
    <w:rsid w:val="00E5239C"/>
    <w:rsid w:val="00E531A0"/>
    <w:rsid w:val="00E536B8"/>
    <w:rsid w:val="00E54EEA"/>
    <w:rsid w:val="00E54FF3"/>
    <w:rsid w:val="00E555D8"/>
    <w:rsid w:val="00E574E2"/>
    <w:rsid w:val="00E612C3"/>
    <w:rsid w:val="00E62F4C"/>
    <w:rsid w:val="00E631B0"/>
    <w:rsid w:val="00E64D36"/>
    <w:rsid w:val="00E651AD"/>
    <w:rsid w:val="00E65233"/>
    <w:rsid w:val="00E66E00"/>
    <w:rsid w:val="00E679E0"/>
    <w:rsid w:val="00E71E93"/>
    <w:rsid w:val="00E727BE"/>
    <w:rsid w:val="00E733D9"/>
    <w:rsid w:val="00E74714"/>
    <w:rsid w:val="00E74E67"/>
    <w:rsid w:val="00E762E6"/>
    <w:rsid w:val="00E76440"/>
    <w:rsid w:val="00E7669B"/>
    <w:rsid w:val="00E767C3"/>
    <w:rsid w:val="00E7788B"/>
    <w:rsid w:val="00E80004"/>
    <w:rsid w:val="00E81DA8"/>
    <w:rsid w:val="00E82809"/>
    <w:rsid w:val="00E839B8"/>
    <w:rsid w:val="00E83CD0"/>
    <w:rsid w:val="00E84935"/>
    <w:rsid w:val="00E84AB7"/>
    <w:rsid w:val="00E8594F"/>
    <w:rsid w:val="00E90B87"/>
    <w:rsid w:val="00E91526"/>
    <w:rsid w:val="00E91838"/>
    <w:rsid w:val="00E93617"/>
    <w:rsid w:val="00E938CC"/>
    <w:rsid w:val="00E97CB5"/>
    <w:rsid w:val="00E97DE9"/>
    <w:rsid w:val="00EA11D4"/>
    <w:rsid w:val="00EA1767"/>
    <w:rsid w:val="00EA19E2"/>
    <w:rsid w:val="00EA1B33"/>
    <w:rsid w:val="00EA1F26"/>
    <w:rsid w:val="00EA225B"/>
    <w:rsid w:val="00EA30ED"/>
    <w:rsid w:val="00EA4280"/>
    <w:rsid w:val="00EA5F86"/>
    <w:rsid w:val="00EA652C"/>
    <w:rsid w:val="00EB028B"/>
    <w:rsid w:val="00EB1889"/>
    <w:rsid w:val="00EB4E64"/>
    <w:rsid w:val="00EB5917"/>
    <w:rsid w:val="00EB6172"/>
    <w:rsid w:val="00EB6191"/>
    <w:rsid w:val="00EC0B5C"/>
    <w:rsid w:val="00EC12FA"/>
    <w:rsid w:val="00EC34ED"/>
    <w:rsid w:val="00EC5CB2"/>
    <w:rsid w:val="00EC7942"/>
    <w:rsid w:val="00EC7FD2"/>
    <w:rsid w:val="00ED10DD"/>
    <w:rsid w:val="00ED1E7D"/>
    <w:rsid w:val="00ED2991"/>
    <w:rsid w:val="00ED2BCA"/>
    <w:rsid w:val="00ED31B6"/>
    <w:rsid w:val="00ED32BF"/>
    <w:rsid w:val="00ED3928"/>
    <w:rsid w:val="00ED3931"/>
    <w:rsid w:val="00ED5481"/>
    <w:rsid w:val="00ED588A"/>
    <w:rsid w:val="00ED6CF2"/>
    <w:rsid w:val="00ED7151"/>
    <w:rsid w:val="00EE0BFF"/>
    <w:rsid w:val="00EE1A5F"/>
    <w:rsid w:val="00EE4BE3"/>
    <w:rsid w:val="00EE515E"/>
    <w:rsid w:val="00EE6214"/>
    <w:rsid w:val="00EE69E1"/>
    <w:rsid w:val="00EE7C42"/>
    <w:rsid w:val="00EE7FEA"/>
    <w:rsid w:val="00EF00DE"/>
    <w:rsid w:val="00EF2FEF"/>
    <w:rsid w:val="00EF335D"/>
    <w:rsid w:val="00EF423A"/>
    <w:rsid w:val="00EF4414"/>
    <w:rsid w:val="00EF565A"/>
    <w:rsid w:val="00EF6E28"/>
    <w:rsid w:val="00F01B69"/>
    <w:rsid w:val="00F024D7"/>
    <w:rsid w:val="00F04A42"/>
    <w:rsid w:val="00F05192"/>
    <w:rsid w:val="00F051FA"/>
    <w:rsid w:val="00F05FFB"/>
    <w:rsid w:val="00F06F03"/>
    <w:rsid w:val="00F0700F"/>
    <w:rsid w:val="00F07FA8"/>
    <w:rsid w:val="00F10467"/>
    <w:rsid w:val="00F11864"/>
    <w:rsid w:val="00F1336F"/>
    <w:rsid w:val="00F1367C"/>
    <w:rsid w:val="00F13E25"/>
    <w:rsid w:val="00F1518F"/>
    <w:rsid w:val="00F157A4"/>
    <w:rsid w:val="00F15F8C"/>
    <w:rsid w:val="00F1621D"/>
    <w:rsid w:val="00F17487"/>
    <w:rsid w:val="00F201CF"/>
    <w:rsid w:val="00F2268B"/>
    <w:rsid w:val="00F22D54"/>
    <w:rsid w:val="00F25BF3"/>
    <w:rsid w:val="00F26076"/>
    <w:rsid w:val="00F26521"/>
    <w:rsid w:val="00F27128"/>
    <w:rsid w:val="00F27D38"/>
    <w:rsid w:val="00F30271"/>
    <w:rsid w:val="00F304A6"/>
    <w:rsid w:val="00F316E4"/>
    <w:rsid w:val="00F31CCE"/>
    <w:rsid w:val="00F31CE3"/>
    <w:rsid w:val="00F32941"/>
    <w:rsid w:val="00F32F5A"/>
    <w:rsid w:val="00F3373E"/>
    <w:rsid w:val="00F3532F"/>
    <w:rsid w:val="00F41A05"/>
    <w:rsid w:val="00F429A3"/>
    <w:rsid w:val="00F42B83"/>
    <w:rsid w:val="00F42DD5"/>
    <w:rsid w:val="00F432C0"/>
    <w:rsid w:val="00F433DC"/>
    <w:rsid w:val="00F43470"/>
    <w:rsid w:val="00F469AA"/>
    <w:rsid w:val="00F46EBE"/>
    <w:rsid w:val="00F47064"/>
    <w:rsid w:val="00F47164"/>
    <w:rsid w:val="00F50063"/>
    <w:rsid w:val="00F50F76"/>
    <w:rsid w:val="00F51CC5"/>
    <w:rsid w:val="00F56350"/>
    <w:rsid w:val="00F56A5F"/>
    <w:rsid w:val="00F57048"/>
    <w:rsid w:val="00F60ABB"/>
    <w:rsid w:val="00F60D95"/>
    <w:rsid w:val="00F6165F"/>
    <w:rsid w:val="00F62542"/>
    <w:rsid w:val="00F63299"/>
    <w:rsid w:val="00F63689"/>
    <w:rsid w:val="00F641F5"/>
    <w:rsid w:val="00F64E0F"/>
    <w:rsid w:val="00F64ED1"/>
    <w:rsid w:val="00F6726B"/>
    <w:rsid w:val="00F67733"/>
    <w:rsid w:val="00F7069E"/>
    <w:rsid w:val="00F718EB"/>
    <w:rsid w:val="00F71AF0"/>
    <w:rsid w:val="00F74436"/>
    <w:rsid w:val="00F7443B"/>
    <w:rsid w:val="00F74852"/>
    <w:rsid w:val="00F76DA4"/>
    <w:rsid w:val="00F77691"/>
    <w:rsid w:val="00F77A85"/>
    <w:rsid w:val="00F77AE5"/>
    <w:rsid w:val="00F82C39"/>
    <w:rsid w:val="00F83707"/>
    <w:rsid w:val="00F83A70"/>
    <w:rsid w:val="00F84655"/>
    <w:rsid w:val="00F860FB"/>
    <w:rsid w:val="00F8674A"/>
    <w:rsid w:val="00F86C42"/>
    <w:rsid w:val="00F86EA9"/>
    <w:rsid w:val="00F877F0"/>
    <w:rsid w:val="00F90017"/>
    <w:rsid w:val="00F91DEC"/>
    <w:rsid w:val="00F93B6E"/>
    <w:rsid w:val="00F941BA"/>
    <w:rsid w:val="00F94F11"/>
    <w:rsid w:val="00FA0BCD"/>
    <w:rsid w:val="00FA0C67"/>
    <w:rsid w:val="00FA2317"/>
    <w:rsid w:val="00FA2A48"/>
    <w:rsid w:val="00FA336B"/>
    <w:rsid w:val="00FA380D"/>
    <w:rsid w:val="00FA5D33"/>
    <w:rsid w:val="00FA73A7"/>
    <w:rsid w:val="00FA75E2"/>
    <w:rsid w:val="00FA7DD5"/>
    <w:rsid w:val="00FB121A"/>
    <w:rsid w:val="00FB16CB"/>
    <w:rsid w:val="00FB1FCB"/>
    <w:rsid w:val="00FB2F23"/>
    <w:rsid w:val="00FB2F47"/>
    <w:rsid w:val="00FB3932"/>
    <w:rsid w:val="00FB4628"/>
    <w:rsid w:val="00FB57E1"/>
    <w:rsid w:val="00FB5D4F"/>
    <w:rsid w:val="00FB65FF"/>
    <w:rsid w:val="00FB7045"/>
    <w:rsid w:val="00FB7297"/>
    <w:rsid w:val="00FC08D6"/>
    <w:rsid w:val="00FC0A33"/>
    <w:rsid w:val="00FC0A7B"/>
    <w:rsid w:val="00FC0BD2"/>
    <w:rsid w:val="00FC35E2"/>
    <w:rsid w:val="00FC46B5"/>
    <w:rsid w:val="00FC7212"/>
    <w:rsid w:val="00FC7DC5"/>
    <w:rsid w:val="00FD1CCD"/>
    <w:rsid w:val="00FD2180"/>
    <w:rsid w:val="00FD23FC"/>
    <w:rsid w:val="00FD41FE"/>
    <w:rsid w:val="00FD464D"/>
    <w:rsid w:val="00FD50E1"/>
    <w:rsid w:val="00FD547A"/>
    <w:rsid w:val="00FD5F7D"/>
    <w:rsid w:val="00FD67A8"/>
    <w:rsid w:val="00FE04DD"/>
    <w:rsid w:val="00FE0783"/>
    <w:rsid w:val="00FE09FF"/>
    <w:rsid w:val="00FE11E6"/>
    <w:rsid w:val="00FE2555"/>
    <w:rsid w:val="00FE3CB2"/>
    <w:rsid w:val="00FE50FF"/>
    <w:rsid w:val="00FE5D64"/>
    <w:rsid w:val="00FE621A"/>
    <w:rsid w:val="00FE7388"/>
    <w:rsid w:val="00FE7B71"/>
    <w:rsid w:val="00FF075E"/>
    <w:rsid w:val="00FF306C"/>
    <w:rsid w:val="00FF3667"/>
    <w:rsid w:val="00FF3963"/>
    <w:rsid w:val="00FF4195"/>
    <w:rsid w:val="00FF5D1A"/>
    <w:rsid w:val="00FF6588"/>
    <w:rsid w:val="01194CC8"/>
    <w:rsid w:val="011B1E13"/>
    <w:rsid w:val="012C079B"/>
    <w:rsid w:val="015321F1"/>
    <w:rsid w:val="01605351"/>
    <w:rsid w:val="01AB246A"/>
    <w:rsid w:val="01DF0F58"/>
    <w:rsid w:val="01E010C2"/>
    <w:rsid w:val="01E30609"/>
    <w:rsid w:val="02094B6F"/>
    <w:rsid w:val="02100F44"/>
    <w:rsid w:val="023203EC"/>
    <w:rsid w:val="02342AA9"/>
    <w:rsid w:val="02570D8E"/>
    <w:rsid w:val="0265382E"/>
    <w:rsid w:val="02AD6978"/>
    <w:rsid w:val="02FA3AD9"/>
    <w:rsid w:val="03323C43"/>
    <w:rsid w:val="03364445"/>
    <w:rsid w:val="033B5D57"/>
    <w:rsid w:val="033C29CA"/>
    <w:rsid w:val="0344218D"/>
    <w:rsid w:val="038302CB"/>
    <w:rsid w:val="038F3A6A"/>
    <w:rsid w:val="03925E15"/>
    <w:rsid w:val="03A35064"/>
    <w:rsid w:val="03AF38A6"/>
    <w:rsid w:val="03BC4C65"/>
    <w:rsid w:val="03BD101C"/>
    <w:rsid w:val="03BE6112"/>
    <w:rsid w:val="03E669C5"/>
    <w:rsid w:val="04927367"/>
    <w:rsid w:val="049F507D"/>
    <w:rsid w:val="04C41CE7"/>
    <w:rsid w:val="04C72053"/>
    <w:rsid w:val="04EF4A50"/>
    <w:rsid w:val="052D5522"/>
    <w:rsid w:val="053A186C"/>
    <w:rsid w:val="054B4E94"/>
    <w:rsid w:val="05805AA5"/>
    <w:rsid w:val="05974B2F"/>
    <w:rsid w:val="05A904F7"/>
    <w:rsid w:val="05AC2C30"/>
    <w:rsid w:val="05BA34C9"/>
    <w:rsid w:val="05D54409"/>
    <w:rsid w:val="060F449B"/>
    <w:rsid w:val="062317B2"/>
    <w:rsid w:val="062F29A2"/>
    <w:rsid w:val="063C5591"/>
    <w:rsid w:val="063D79F4"/>
    <w:rsid w:val="063E751B"/>
    <w:rsid w:val="06454AB4"/>
    <w:rsid w:val="068B5729"/>
    <w:rsid w:val="06B93644"/>
    <w:rsid w:val="06BD1EBB"/>
    <w:rsid w:val="06CF0604"/>
    <w:rsid w:val="06EF2742"/>
    <w:rsid w:val="0732388B"/>
    <w:rsid w:val="07713CC8"/>
    <w:rsid w:val="078B3120"/>
    <w:rsid w:val="07B712CE"/>
    <w:rsid w:val="07CA1F5A"/>
    <w:rsid w:val="07EF452C"/>
    <w:rsid w:val="082A25E6"/>
    <w:rsid w:val="083E1761"/>
    <w:rsid w:val="084E3DAD"/>
    <w:rsid w:val="086165F5"/>
    <w:rsid w:val="08A84826"/>
    <w:rsid w:val="08CB2697"/>
    <w:rsid w:val="08DB274B"/>
    <w:rsid w:val="08F03C39"/>
    <w:rsid w:val="08F608AE"/>
    <w:rsid w:val="09012E13"/>
    <w:rsid w:val="090C79D9"/>
    <w:rsid w:val="09190E4C"/>
    <w:rsid w:val="091D2D4B"/>
    <w:rsid w:val="09477124"/>
    <w:rsid w:val="09992F20"/>
    <w:rsid w:val="09AA7EE8"/>
    <w:rsid w:val="09D25B34"/>
    <w:rsid w:val="09D410AD"/>
    <w:rsid w:val="09F43D9A"/>
    <w:rsid w:val="0A0A1097"/>
    <w:rsid w:val="0A1B1827"/>
    <w:rsid w:val="0A7337BA"/>
    <w:rsid w:val="0A883BAA"/>
    <w:rsid w:val="0AA01841"/>
    <w:rsid w:val="0AAC2CE9"/>
    <w:rsid w:val="0AB32DD1"/>
    <w:rsid w:val="0AE86CC2"/>
    <w:rsid w:val="0B575ECB"/>
    <w:rsid w:val="0B6A2F06"/>
    <w:rsid w:val="0B870529"/>
    <w:rsid w:val="0BA256FF"/>
    <w:rsid w:val="0BA30ADC"/>
    <w:rsid w:val="0BA3134E"/>
    <w:rsid w:val="0BB95BB5"/>
    <w:rsid w:val="0BF17322"/>
    <w:rsid w:val="0C014DAE"/>
    <w:rsid w:val="0C10488A"/>
    <w:rsid w:val="0C194F22"/>
    <w:rsid w:val="0C3268FC"/>
    <w:rsid w:val="0C3A7A1C"/>
    <w:rsid w:val="0C4D6543"/>
    <w:rsid w:val="0C6F33B9"/>
    <w:rsid w:val="0C763149"/>
    <w:rsid w:val="0C9004F7"/>
    <w:rsid w:val="0C921B3F"/>
    <w:rsid w:val="0C9D64C3"/>
    <w:rsid w:val="0CAC2A8C"/>
    <w:rsid w:val="0CC24A67"/>
    <w:rsid w:val="0CDF434B"/>
    <w:rsid w:val="0CF0255A"/>
    <w:rsid w:val="0CF90D5B"/>
    <w:rsid w:val="0CF97CE7"/>
    <w:rsid w:val="0D5E4C28"/>
    <w:rsid w:val="0D6B4E39"/>
    <w:rsid w:val="0D890C22"/>
    <w:rsid w:val="0D8F2815"/>
    <w:rsid w:val="0DAB5281"/>
    <w:rsid w:val="0DE4244F"/>
    <w:rsid w:val="0DFC4D48"/>
    <w:rsid w:val="0E044318"/>
    <w:rsid w:val="0E0C1705"/>
    <w:rsid w:val="0E1A200B"/>
    <w:rsid w:val="0E2D35C8"/>
    <w:rsid w:val="0E31114B"/>
    <w:rsid w:val="0E3316E5"/>
    <w:rsid w:val="0E3A5084"/>
    <w:rsid w:val="0E4632EB"/>
    <w:rsid w:val="0E4867A5"/>
    <w:rsid w:val="0E58031C"/>
    <w:rsid w:val="0E8C5F3A"/>
    <w:rsid w:val="0E8E226B"/>
    <w:rsid w:val="0ED36629"/>
    <w:rsid w:val="0F0B008A"/>
    <w:rsid w:val="0F165B18"/>
    <w:rsid w:val="0F3346C1"/>
    <w:rsid w:val="0F3B65C2"/>
    <w:rsid w:val="0F3C65EA"/>
    <w:rsid w:val="0F4D69C2"/>
    <w:rsid w:val="0F6D6437"/>
    <w:rsid w:val="0F6E1B0F"/>
    <w:rsid w:val="0F7C20AC"/>
    <w:rsid w:val="0F987533"/>
    <w:rsid w:val="0F9B7A46"/>
    <w:rsid w:val="0FDB12F4"/>
    <w:rsid w:val="0FDE5717"/>
    <w:rsid w:val="0FE15D08"/>
    <w:rsid w:val="10241136"/>
    <w:rsid w:val="104850A4"/>
    <w:rsid w:val="10526995"/>
    <w:rsid w:val="107846C3"/>
    <w:rsid w:val="107B2F8D"/>
    <w:rsid w:val="108F2AA5"/>
    <w:rsid w:val="109957A6"/>
    <w:rsid w:val="10A1351D"/>
    <w:rsid w:val="10A912D4"/>
    <w:rsid w:val="10AB315E"/>
    <w:rsid w:val="10B90FA7"/>
    <w:rsid w:val="10D17999"/>
    <w:rsid w:val="10D46E4F"/>
    <w:rsid w:val="10DD7605"/>
    <w:rsid w:val="10E15F42"/>
    <w:rsid w:val="11163A25"/>
    <w:rsid w:val="111C5B09"/>
    <w:rsid w:val="115E2551"/>
    <w:rsid w:val="116C00E0"/>
    <w:rsid w:val="119A473F"/>
    <w:rsid w:val="119C297A"/>
    <w:rsid w:val="11BB5E95"/>
    <w:rsid w:val="11DC08B2"/>
    <w:rsid w:val="12026D36"/>
    <w:rsid w:val="12111ED0"/>
    <w:rsid w:val="121F4504"/>
    <w:rsid w:val="122D2AF9"/>
    <w:rsid w:val="12553709"/>
    <w:rsid w:val="12574115"/>
    <w:rsid w:val="125D6919"/>
    <w:rsid w:val="126414B6"/>
    <w:rsid w:val="12672FFB"/>
    <w:rsid w:val="126879A7"/>
    <w:rsid w:val="1295234C"/>
    <w:rsid w:val="12A82C91"/>
    <w:rsid w:val="12BF1AAA"/>
    <w:rsid w:val="13026361"/>
    <w:rsid w:val="131454D2"/>
    <w:rsid w:val="1325638D"/>
    <w:rsid w:val="135D7ACE"/>
    <w:rsid w:val="1370358B"/>
    <w:rsid w:val="13886C48"/>
    <w:rsid w:val="138F6833"/>
    <w:rsid w:val="139B7434"/>
    <w:rsid w:val="13D34630"/>
    <w:rsid w:val="13EB53E7"/>
    <w:rsid w:val="13F17B0C"/>
    <w:rsid w:val="14127454"/>
    <w:rsid w:val="14172BC7"/>
    <w:rsid w:val="14341FD4"/>
    <w:rsid w:val="143573D3"/>
    <w:rsid w:val="143C4A2B"/>
    <w:rsid w:val="14526C7C"/>
    <w:rsid w:val="1462144D"/>
    <w:rsid w:val="14711621"/>
    <w:rsid w:val="147F7E1A"/>
    <w:rsid w:val="14B43CB9"/>
    <w:rsid w:val="14DF045A"/>
    <w:rsid w:val="14F86C01"/>
    <w:rsid w:val="15035512"/>
    <w:rsid w:val="150A1813"/>
    <w:rsid w:val="152F7C9A"/>
    <w:rsid w:val="15474C60"/>
    <w:rsid w:val="156338BA"/>
    <w:rsid w:val="1575679D"/>
    <w:rsid w:val="159264E5"/>
    <w:rsid w:val="15A63492"/>
    <w:rsid w:val="15AA4B5F"/>
    <w:rsid w:val="15B81D2A"/>
    <w:rsid w:val="15F82954"/>
    <w:rsid w:val="160611F1"/>
    <w:rsid w:val="16062BE5"/>
    <w:rsid w:val="161322D7"/>
    <w:rsid w:val="16267B55"/>
    <w:rsid w:val="16B26950"/>
    <w:rsid w:val="16E56681"/>
    <w:rsid w:val="171F52BB"/>
    <w:rsid w:val="17396C9C"/>
    <w:rsid w:val="173F3CA8"/>
    <w:rsid w:val="173F3FFB"/>
    <w:rsid w:val="174E0775"/>
    <w:rsid w:val="17567B02"/>
    <w:rsid w:val="175A4E01"/>
    <w:rsid w:val="175C4644"/>
    <w:rsid w:val="1787040A"/>
    <w:rsid w:val="17976A62"/>
    <w:rsid w:val="17996E0E"/>
    <w:rsid w:val="17AB2579"/>
    <w:rsid w:val="17D078D6"/>
    <w:rsid w:val="17E07555"/>
    <w:rsid w:val="17F12BEC"/>
    <w:rsid w:val="17FA1E5A"/>
    <w:rsid w:val="182630A0"/>
    <w:rsid w:val="18281D29"/>
    <w:rsid w:val="182F06E6"/>
    <w:rsid w:val="18684A7E"/>
    <w:rsid w:val="18AE113C"/>
    <w:rsid w:val="18CD408F"/>
    <w:rsid w:val="18D9479C"/>
    <w:rsid w:val="18DF100D"/>
    <w:rsid w:val="18F2366C"/>
    <w:rsid w:val="197930A2"/>
    <w:rsid w:val="19802A6B"/>
    <w:rsid w:val="198B20E4"/>
    <w:rsid w:val="19933B0D"/>
    <w:rsid w:val="19A421B2"/>
    <w:rsid w:val="19C05A4C"/>
    <w:rsid w:val="19C42FC7"/>
    <w:rsid w:val="19CB0679"/>
    <w:rsid w:val="19EB0EF5"/>
    <w:rsid w:val="1A4568EE"/>
    <w:rsid w:val="1A4B0A6F"/>
    <w:rsid w:val="1A4F7496"/>
    <w:rsid w:val="1A6E0BDD"/>
    <w:rsid w:val="1A7729FC"/>
    <w:rsid w:val="1A8C60F4"/>
    <w:rsid w:val="1A91773B"/>
    <w:rsid w:val="1A922285"/>
    <w:rsid w:val="1A9815B9"/>
    <w:rsid w:val="1AA878BD"/>
    <w:rsid w:val="1AB30F9A"/>
    <w:rsid w:val="1ABC1B79"/>
    <w:rsid w:val="1ACD1E7B"/>
    <w:rsid w:val="1AD36CFE"/>
    <w:rsid w:val="1AD83883"/>
    <w:rsid w:val="1AE0401A"/>
    <w:rsid w:val="1AE56A46"/>
    <w:rsid w:val="1B371DCF"/>
    <w:rsid w:val="1B5626EF"/>
    <w:rsid w:val="1B5C2F24"/>
    <w:rsid w:val="1B603650"/>
    <w:rsid w:val="1B8F7E16"/>
    <w:rsid w:val="1B941DA6"/>
    <w:rsid w:val="1B991453"/>
    <w:rsid w:val="1BA26460"/>
    <w:rsid w:val="1BC25802"/>
    <w:rsid w:val="1BDF68F8"/>
    <w:rsid w:val="1BE3400B"/>
    <w:rsid w:val="1BF61F9C"/>
    <w:rsid w:val="1BFA4D4D"/>
    <w:rsid w:val="1C016DAA"/>
    <w:rsid w:val="1C08441E"/>
    <w:rsid w:val="1C230CA2"/>
    <w:rsid w:val="1C3057DE"/>
    <w:rsid w:val="1C4217E1"/>
    <w:rsid w:val="1C8828D7"/>
    <w:rsid w:val="1CA04E16"/>
    <w:rsid w:val="1CC449FD"/>
    <w:rsid w:val="1CC85A90"/>
    <w:rsid w:val="1CDD0F3D"/>
    <w:rsid w:val="1CEF1CEB"/>
    <w:rsid w:val="1D017FED"/>
    <w:rsid w:val="1D1D5E98"/>
    <w:rsid w:val="1D1D6BBF"/>
    <w:rsid w:val="1D412809"/>
    <w:rsid w:val="1D507530"/>
    <w:rsid w:val="1D555B9C"/>
    <w:rsid w:val="1D5B5610"/>
    <w:rsid w:val="1D5C3AF4"/>
    <w:rsid w:val="1DB14D87"/>
    <w:rsid w:val="1DC75EA8"/>
    <w:rsid w:val="1DD7780E"/>
    <w:rsid w:val="1DE74AAD"/>
    <w:rsid w:val="1DF53374"/>
    <w:rsid w:val="1DF6314A"/>
    <w:rsid w:val="1E0818EF"/>
    <w:rsid w:val="1E1D3F3C"/>
    <w:rsid w:val="1E581452"/>
    <w:rsid w:val="1E6F4DD0"/>
    <w:rsid w:val="1E727DAA"/>
    <w:rsid w:val="1E786610"/>
    <w:rsid w:val="1E853088"/>
    <w:rsid w:val="1E9123E0"/>
    <w:rsid w:val="1EC63178"/>
    <w:rsid w:val="1ED5400A"/>
    <w:rsid w:val="1ED550C3"/>
    <w:rsid w:val="1F02574A"/>
    <w:rsid w:val="1F140E02"/>
    <w:rsid w:val="1F2849E7"/>
    <w:rsid w:val="1F381E9B"/>
    <w:rsid w:val="1F5842F7"/>
    <w:rsid w:val="1F7A5EE0"/>
    <w:rsid w:val="1F972244"/>
    <w:rsid w:val="1F9F2009"/>
    <w:rsid w:val="1FD35446"/>
    <w:rsid w:val="200C35CF"/>
    <w:rsid w:val="200F66A0"/>
    <w:rsid w:val="201878B9"/>
    <w:rsid w:val="20393FE6"/>
    <w:rsid w:val="204F2393"/>
    <w:rsid w:val="206F0365"/>
    <w:rsid w:val="20CF3518"/>
    <w:rsid w:val="20F678B5"/>
    <w:rsid w:val="20FC2051"/>
    <w:rsid w:val="21146C7B"/>
    <w:rsid w:val="211B12C5"/>
    <w:rsid w:val="212C2302"/>
    <w:rsid w:val="21A421A3"/>
    <w:rsid w:val="21AC23BA"/>
    <w:rsid w:val="21D42CCC"/>
    <w:rsid w:val="221A07C4"/>
    <w:rsid w:val="223D577D"/>
    <w:rsid w:val="22624B88"/>
    <w:rsid w:val="22A1696A"/>
    <w:rsid w:val="22BE4D80"/>
    <w:rsid w:val="22F11690"/>
    <w:rsid w:val="230B4FB3"/>
    <w:rsid w:val="23136ABE"/>
    <w:rsid w:val="23184208"/>
    <w:rsid w:val="234B09A6"/>
    <w:rsid w:val="236A20A2"/>
    <w:rsid w:val="23A16194"/>
    <w:rsid w:val="23C070E6"/>
    <w:rsid w:val="24075E74"/>
    <w:rsid w:val="240D2662"/>
    <w:rsid w:val="24456C7C"/>
    <w:rsid w:val="245F0481"/>
    <w:rsid w:val="24777C20"/>
    <w:rsid w:val="24C0129D"/>
    <w:rsid w:val="24C93612"/>
    <w:rsid w:val="24DE3DDA"/>
    <w:rsid w:val="24F2552C"/>
    <w:rsid w:val="25264C91"/>
    <w:rsid w:val="252F1982"/>
    <w:rsid w:val="253146ED"/>
    <w:rsid w:val="253C4FED"/>
    <w:rsid w:val="25424033"/>
    <w:rsid w:val="25584D95"/>
    <w:rsid w:val="256E6759"/>
    <w:rsid w:val="258F6672"/>
    <w:rsid w:val="25C236D7"/>
    <w:rsid w:val="25E85336"/>
    <w:rsid w:val="25F6052B"/>
    <w:rsid w:val="25F93241"/>
    <w:rsid w:val="260A1E01"/>
    <w:rsid w:val="26286FEA"/>
    <w:rsid w:val="264C1779"/>
    <w:rsid w:val="265D61BB"/>
    <w:rsid w:val="267D4F78"/>
    <w:rsid w:val="269C7EE8"/>
    <w:rsid w:val="26A01EC5"/>
    <w:rsid w:val="26D33875"/>
    <w:rsid w:val="27182D0D"/>
    <w:rsid w:val="271A038B"/>
    <w:rsid w:val="27430FDF"/>
    <w:rsid w:val="274346AB"/>
    <w:rsid w:val="27AB5F6C"/>
    <w:rsid w:val="27CA2DE3"/>
    <w:rsid w:val="28101320"/>
    <w:rsid w:val="281D236A"/>
    <w:rsid w:val="282D04EE"/>
    <w:rsid w:val="28604377"/>
    <w:rsid w:val="28C021D1"/>
    <w:rsid w:val="28CB5608"/>
    <w:rsid w:val="28FB228D"/>
    <w:rsid w:val="29534D0D"/>
    <w:rsid w:val="295714B6"/>
    <w:rsid w:val="296C55E2"/>
    <w:rsid w:val="2976421E"/>
    <w:rsid w:val="29B24042"/>
    <w:rsid w:val="29C9443D"/>
    <w:rsid w:val="29EC3B07"/>
    <w:rsid w:val="2A0E6B53"/>
    <w:rsid w:val="2A1D1743"/>
    <w:rsid w:val="2A262064"/>
    <w:rsid w:val="2A296197"/>
    <w:rsid w:val="2A35491B"/>
    <w:rsid w:val="2A666C43"/>
    <w:rsid w:val="2A831C8A"/>
    <w:rsid w:val="2AB065D5"/>
    <w:rsid w:val="2AC9521B"/>
    <w:rsid w:val="2AD31AE9"/>
    <w:rsid w:val="2B182643"/>
    <w:rsid w:val="2B223895"/>
    <w:rsid w:val="2B41567D"/>
    <w:rsid w:val="2B4F2FC3"/>
    <w:rsid w:val="2B7023D1"/>
    <w:rsid w:val="2B8E4289"/>
    <w:rsid w:val="2BA85BAA"/>
    <w:rsid w:val="2BB27314"/>
    <w:rsid w:val="2C466D8A"/>
    <w:rsid w:val="2C857276"/>
    <w:rsid w:val="2C8B2280"/>
    <w:rsid w:val="2C952CF3"/>
    <w:rsid w:val="2C9851FD"/>
    <w:rsid w:val="2CA4098A"/>
    <w:rsid w:val="2CC42905"/>
    <w:rsid w:val="2CD41AB5"/>
    <w:rsid w:val="2CE74AF9"/>
    <w:rsid w:val="2D156115"/>
    <w:rsid w:val="2D302D0F"/>
    <w:rsid w:val="2D3703AF"/>
    <w:rsid w:val="2D3A70CA"/>
    <w:rsid w:val="2D82351C"/>
    <w:rsid w:val="2E230FC3"/>
    <w:rsid w:val="2E277973"/>
    <w:rsid w:val="2E5832CF"/>
    <w:rsid w:val="2E733E1B"/>
    <w:rsid w:val="2E8F508D"/>
    <w:rsid w:val="2E95025A"/>
    <w:rsid w:val="2EBC23F4"/>
    <w:rsid w:val="2EDD0DA1"/>
    <w:rsid w:val="2EE42829"/>
    <w:rsid w:val="2EE6541F"/>
    <w:rsid w:val="2EE965B5"/>
    <w:rsid w:val="2EEA3A50"/>
    <w:rsid w:val="2EEC1137"/>
    <w:rsid w:val="2EF652E8"/>
    <w:rsid w:val="2EFB5FAF"/>
    <w:rsid w:val="2F16575D"/>
    <w:rsid w:val="2F1E189C"/>
    <w:rsid w:val="2F1E65A6"/>
    <w:rsid w:val="2F4D7BFE"/>
    <w:rsid w:val="2F524F01"/>
    <w:rsid w:val="2F6C29C7"/>
    <w:rsid w:val="2F82278F"/>
    <w:rsid w:val="2FA20545"/>
    <w:rsid w:val="2FF14D05"/>
    <w:rsid w:val="302D3E62"/>
    <w:rsid w:val="3037135E"/>
    <w:rsid w:val="304D1479"/>
    <w:rsid w:val="308016EE"/>
    <w:rsid w:val="308F026A"/>
    <w:rsid w:val="30AD0DE2"/>
    <w:rsid w:val="30EA7447"/>
    <w:rsid w:val="3100273C"/>
    <w:rsid w:val="310258A8"/>
    <w:rsid w:val="31075761"/>
    <w:rsid w:val="31090005"/>
    <w:rsid w:val="310A2B55"/>
    <w:rsid w:val="312D3A14"/>
    <w:rsid w:val="313E669F"/>
    <w:rsid w:val="31416902"/>
    <w:rsid w:val="31525082"/>
    <w:rsid w:val="317D0FF1"/>
    <w:rsid w:val="319A2F29"/>
    <w:rsid w:val="31A9412E"/>
    <w:rsid w:val="31BD7B92"/>
    <w:rsid w:val="31C10166"/>
    <w:rsid w:val="31C56F86"/>
    <w:rsid w:val="31DE1780"/>
    <w:rsid w:val="31E4503E"/>
    <w:rsid w:val="321D034D"/>
    <w:rsid w:val="32246760"/>
    <w:rsid w:val="32443584"/>
    <w:rsid w:val="324C3B1C"/>
    <w:rsid w:val="32746786"/>
    <w:rsid w:val="32755383"/>
    <w:rsid w:val="327A6142"/>
    <w:rsid w:val="327B1F22"/>
    <w:rsid w:val="32AF5835"/>
    <w:rsid w:val="32B84EC3"/>
    <w:rsid w:val="32B916AB"/>
    <w:rsid w:val="32BE741D"/>
    <w:rsid w:val="32E17A5D"/>
    <w:rsid w:val="3321243B"/>
    <w:rsid w:val="332516BB"/>
    <w:rsid w:val="33507989"/>
    <w:rsid w:val="3376263D"/>
    <w:rsid w:val="338F4F15"/>
    <w:rsid w:val="339A1077"/>
    <w:rsid w:val="339D6626"/>
    <w:rsid w:val="33CD73C4"/>
    <w:rsid w:val="34110FA0"/>
    <w:rsid w:val="34796921"/>
    <w:rsid w:val="34796933"/>
    <w:rsid w:val="347F1F54"/>
    <w:rsid w:val="34881218"/>
    <w:rsid w:val="348B3CA1"/>
    <w:rsid w:val="34916C18"/>
    <w:rsid w:val="34A63254"/>
    <w:rsid w:val="34AA14F1"/>
    <w:rsid w:val="34C81C98"/>
    <w:rsid w:val="34D15A2F"/>
    <w:rsid w:val="34D25203"/>
    <w:rsid w:val="354B7938"/>
    <w:rsid w:val="35595F08"/>
    <w:rsid w:val="35664458"/>
    <w:rsid w:val="356F33AB"/>
    <w:rsid w:val="357830D4"/>
    <w:rsid w:val="35A157A0"/>
    <w:rsid w:val="35AF5162"/>
    <w:rsid w:val="35CD0387"/>
    <w:rsid w:val="35F20673"/>
    <w:rsid w:val="35FF0D34"/>
    <w:rsid w:val="360D4907"/>
    <w:rsid w:val="36271CA0"/>
    <w:rsid w:val="36454181"/>
    <w:rsid w:val="366F2754"/>
    <w:rsid w:val="36801C46"/>
    <w:rsid w:val="36802C38"/>
    <w:rsid w:val="36C60D4F"/>
    <w:rsid w:val="36D3248C"/>
    <w:rsid w:val="370857E1"/>
    <w:rsid w:val="371F1B57"/>
    <w:rsid w:val="376D6E3D"/>
    <w:rsid w:val="378B52A6"/>
    <w:rsid w:val="37947111"/>
    <w:rsid w:val="37A27662"/>
    <w:rsid w:val="37B253F2"/>
    <w:rsid w:val="37D72378"/>
    <w:rsid w:val="37E61FF1"/>
    <w:rsid w:val="37EE2DB0"/>
    <w:rsid w:val="37FA1C39"/>
    <w:rsid w:val="37FE75CC"/>
    <w:rsid w:val="382246A6"/>
    <w:rsid w:val="382322AB"/>
    <w:rsid w:val="385C4B4C"/>
    <w:rsid w:val="386C6E4B"/>
    <w:rsid w:val="38BB670D"/>
    <w:rsid w:val="38E44F73"/>
    <w:rsid w:val="392E3020"/>
    <w:rsid w:val="39455D2D"/>
    <w:rsid w:val="39477DA4"/>
    <w:rsid w:val="39482DCB"/>
    <w:rsid w:val="39B25EFF"/>
    <w:rsid w:val="39DE5300"/>
    <w:rsid w:val="39FD1534"/>
    <w:rsid w:val="3A2913A1"/>
    <w:rsid w:val="3A364C8B"/>
    <w:rsid w:val="3A422D1F"/>
    <w:rsid w:val="3A450C37"/>
    <w:rsid w:val="3A6B781A"/>
    <w:rsid w:val="3AB415E7"/>
    <w:rsid w:val="3AC1222C"/>
    <w:rsid w:val="3B184FD3"/>
    <w:rsid w:val="3B203EE8"/>
    <w:rsid w:val="3B236576"/>
    <w:rsid w:val="3B3E1270"/>
    <w:rsid w:val="3B4135A0"/>
    <w:rsid w:val="3B52095F"/>
    <w:rsid w:val="3B572E43"/>
    <w:rsid w:val="3B5B106A"/>
    <w:rsid w:val="3B624846"/>
    <w:rsid w:val="3B6E2B14"/>
    <w:rsid w:val="3B7D5FB0"/>
    <w:rsid w:val="3B8A1DB3"/>
    <w:rsid w:val="3BA27082"/>
    <w:rsid w:val="3BB8398A"/>
    <w:rsid w:val="3BCB198F"/>
    <w:rsid w:val="3BE45118"/>
    <w:rsid w:val="3BEB3930"/>
    <w:rsid w:val="3C1800F7"/>
    <w:rsid w:val="3C37091C"/>
    <w:rsid w:val="3C4D68DA"/>
    <w:rsid w:val="3C587206"/>
    <w:rsid w:val="3CAD0113"/>
    <w:rsid w:val="3CB81C2D"/>
    <w:rsid w:val="3CBD49FC"/>
    <w:rsid w:val="3CC141D3"/>
    <w:rsid w:val="3CD3253A"/>
    <w:rsid w:val="3CF22F73"/>
    <w:rsid w:val="3CFA6916"/>
    <w:rsid w:val="3D137034"/>
    <w:rsid w:val="3D277B1A"/>
    <w:rsid w:val="3D4C1224"/>
    <w:rsid w:val="3D5A792D"/>
    <w:rsid w:val="3DBB303F"/>
    <w:rsid w:val="3DC06A05"/>
    <w:rsid w:val="3DCD45E4"/>
    <w:rsid w:val="3DD31D8F"/>
    <w:rsid w:val="3DE737BE"/>
    <w:rsid w:val="3E0173DF"/>
    <w:rsid w:val="3E0D00F0"/>
    <w:rsid w:val="3E295AA1"/>
    <w:rsid w:val="3E3E2DD9"/>
    <w:rsid w:val="3E6577DB"/>
    <w:rsid w:val="3EA84CC0"/>
    <w:rsid w:val="3EC65B08"/>
    <w:rsid w:val="3EF271C2"/>
    <w:rsid w:val="3F257C1C"/>
    <w:rsid w:val="3F362476"/>
    <w:rsid w:val="3F436CF0"/>
    <w:rsid w:val="3F4535FB"/>
    <w:rsid w:val="3F4A1C8D"/>
    <w:rsid w:val="3F5A44ED"/>
    <w:rsid w:val="3F637345"/>
    <w:rsid w:val="3F6719D5"/>
    <w:rsid w:val="3F887622"/>
    <w:rsid w:val="3FDA57BF"/>
    <w:rsid w:val="3FEA16A1"/>
    <w:rsid w:val="3FF01E37"/>
    <w:rsid w:val="401D207F"/>
    <w:rsid w:val="404B2D2E"/>
    <w:rsid w:val="40724B40"/>
    <w:rsid w:val="40796E86"/>
    <w:rsid w:val="407D49E3"/>
    <w:rsid w:val="40866719"/>
    <w:rsid w:val="409A3937"/>
    <w:rsid w:val="40A014A9"/>
    <w:rsid w:val="40C85952"/>
    <w:rsid w:val="40CE3906"/>
    <w:rsid w:val="40D445CD"/>
    <w:rsid w:val="4101271F"/>
    <w:rsid w:val="4145087A"/>
    <w:rsid w:val="41503F99"/>
    <w:rsid w:val="41D9276D"/>
    <w:rsid w:val="41DC19FA"/>
    <w:rsid w:val="41E268C1"/>
    <w:rsid w:val="41EF1452"/>
    <w:rsid w:val="42137D1C"/>
    <w:rsid w:val="4244587E"/>
    <w:rsid w:val="425C6DB5"/>
    <w:rsid w:val="42644FE3"/>
    <w:rsid w:val="42836DB9"/>
    <w:rsid w:val="42B01C51"/>
    <w:rsid w:val="42B47731"/>
    <w:rsid w:val="42BA7D65"/>
    <w:rsid w:val="42D27E67"/>
    <w:rsid w:val="42E13AD8"/>
    <w:rsid w:val="42F515ED"/>
    <w:rsid w:val="4328716A"/>
    <w:rsid w:val="43502964"/>
    <w:rsid w:val="436B3C64"/>
    <w:rsid w:val="43831F8F"/>
    <w:rsid w:val="43863527"/>
    <w:rsid w:val="43B162B9"/>
    <w:rsid w:val="43C7507A"/>
    <w:rsid w:val="43D359B6"/>
    <w:rsid w:val="43D93C0E"/>
    <w:rsid w:val="43DB2FA3"/>
    <w:rsid w:val="442F30A8"/>
    <w:rsid w:val="444E1726"/>
    <w:rsid w:val="445A4921"/>
    <w:rsid w:val="449F4B5F"/>
    <w:rsid w:val="44E24755"/>
    <w:rsid w:val="44F21065"/>
    <w:rsid w:val="45054CFA"/>
    <w:rsid w:val="450B1884"/>
    <w:rsid w:val="453861EA"/>
    <w:rsid w:val="45514ECB"/>
    <w:rsid w:val="45537EC0"/>
    <w:rsid w:val="45581FF4"/>
    <w:rsid w:val="455D605E"/>
    <w:rsid w:val="456C3499"/>
    <w:rsid w:val="45823897"/>
    <w:rsid w:val="45826CF9"/>
    <w:rsid w:val="45A269AB"/>
    <w:rsid w:val="45DB000A"/>
    <w:rsid w:val="462265E0"/>
    <w:rsid w:val="46302F6B"/>
    <w:rsid w:val="46460254"/>
    <w:rsid w:val="465168FF"/>
    <w:rsid w:val="46575260"/>
    <w:rsid w:val="46717C55"/>
    <w:rsid w:val="46755B5A"/>
    <w:rsid w:val="469F0A2F"/>
    <w:rsid w:val="4701357A"/>
    <w:rsid w:val="471C16C4"/>
    <w:rsid w:val="476D5E96"/>
    <w:rsid w:val="477D4BCB"/>
    <w:rsid w:val="477E496D"/>
    <w:rsid w:val="4780521E"/>
    <w:rsid w:val="4790363F"/>
    <w:rsid w:val="47A571FC"/>
    <w:rsid w:val="47BA31F2"/>
    <w:rsid w:val="47D2190C"/>
    <w:rsid w:val="48071C2E"/>
    <w:rsid w:val="481013AD"/>
    <w:rsid w:val="48193668"/>
    <w:rsid w:val="48213B22"/>
    <w:rsid w:val="482F73A0"/>
    <w:rsid w:val="484B1125"/>
    <w:rsid w:val="484E1956"/>
    <w:rsid w:val="48837DAE"/>
    <w:rsid w:val="48875626"/>
    <w:rsid w:val="48AF2BA6"/>
    <w:rsid w:val="48B644AE"/>
    <w:rsid w:val="48D46208"/>
    <w:rsid w:val="48E2386C"/>
    <w:rsid w:val="48E47CA1"/>
    <w:rsid w:val="491F3772"/>
    <w:rsid w:val="49323E59"/>
    <w:rsid w:val="4980554E"/>
    <w:rsid w:val="49887D2D"/>
    <w:rsid w:val="49CE6376"/>
    <w:rsid w:val="49E00194"/>
    <w:rsid w:val="4A427E61"/>
    <w:rsid w:val="4A657FD8"/>
    <w:rsid w:val="4A6D392E"/>
    <w:rsid w:val="4AC15513"/>
    <w:rsid w:val="4AC33810"/>
    <w:rsid w:val="4AC36B9E"/>
    <w:rsid w:val="4AD57FEE"/>
    <w:rsid w:val="4AF05342"/>
    <w:rsid w:val="4B52308E"/>
    <w:rsid w:val="4B9960CB"/>
    <w:rsid w:val="4BBC5A4E"/>
    <w:rsid w:val="4BD90891"/>
    <w:rsid w:val="4BDF7CB8"/>
    <w:rsid w:val="4C113885"/>
    <w:rsid w:val="4C1D29A3"/>
    <w:rsid w:val="4C376F21"/>
    <w:rsid w:val="4C4A27D7"/>
    <w:rsid w:val="4C723CFF"/>
    <w:rsid w:val="4CEC299E"/>
    <w:rsid w:val="4D1B793B"/>
    <w:rsid w:val="4D290CA0"/>
    <w:rsid w:val="4D2B692E"/>
    <w:rsid w:val="4D367010"/>
    <w:rsid w:val="4D553A35"/>
    <w:rsid w:val="4D674246"/>
    <w:rsid w:val="4D991A35"/>
    <w:rsid w:val="4DB5356B"/>
    <w:rsid w:val="4DCC0E1E"/>
    <w:rsid w:val="4DD5115A"/>
    <w:rsid w:val="4DD80FD4"/>
    <w:rsid w:val="4DF86415"/>
    <w:rsid w:val="4DFC15DA"/>
    <w:rsid w:val="4DFF1FA6"/>
    <w:rsid w:val="4E06000F"/>
    <w:rsid w:val="4E1D738D"/>
    <w:rsid w:val="4E1E4DCE"/>
    <w:rsid w:val="4E2366BD"/>
    <w:rsid w:val="4E34076D"/>
    <w:rsid w:val="4E371F7E"/>
    <w:rsid w:val="4E433EA1"/>
    <w:rsid w:val="4E4D4C9F"/>
    <w:rsid w:val="4E506BAA"/>
    <w:rsid w:val="4ECE4E97"/>
    <w:rsid w:val="4EE0342E"/>
    <w:rsid w:val="4EE6024A"/>
    <w:rsid w:val="4F0A245D"/>
    <w:rsid w:val="4F1760E3"/>
    <w:rsid w:val="4F246EB2"/>
    <w:rsid w:val="4F4D3DD5"/>
    <w:rsid w:val="4F533FB4"/>
    <w:rsid w:val="4F7779D8"/>
    <w:rsid w:val="4F804244"/>
    <w:rsid w:val="4FB9124F"/>
    <w:rsid w:val="4FEC21A8"/>
    <w:rsid w:val="50024CA4"/>
    <w:rsid w:val="50106C46"/>
    <w:rsid w:val="50211A29"/>
    <w:rsid w:val="5026366B"/>
    <w:rsid w:val="502C25C5"/>
    <w:rsid w:val="502E737B"/>
    <w:rsid w:val="503D0914"/>
    <w:rsid w:val="50536716"/>
    <w:rsid w:val="50665F63"/>
    <w:rsid w:val="506B13F0"/>
    <w:rsid w:val="50730DD2"/>
    <w:rsid w:val="50747C5F"/>
    <w:rsid w:val="50810081"/>
    <w:rsid w:val="50947871"/>
    <w:rsid w:val="50A0363E"/>
    <w:rsid w:val="50A15017"/>
    <w:rsid w:val="50B62D71"/>
    <w:rsid w:val="50C80C85"/>
    <w:rsid w:val="50DB40F2"/>
    <w:rsid w:val="50E35C0B"/>
    <w:rsid w:val="50EF6BB9"/>
    <w:rsid w:val="51054C31"/>
    <w:rsid w:val="511F1F1A"/>
    <w:rsid w:val="51421E0E"/>
    <w:rsid w:val="514A3C70"/>
    <w:rsid w:val="519532E8"/>
    <w:rsid w:val="51AD3D58"/>
    <w:rsid w:val="51D76796"/>
    <w:rsid w:val="51E8620F"/>
    <w:rsid w:val="522E0FA7"/>
    <w:rsid w:val="525C0290"/>
    <w:rsid w:val="528251A3"/>
    <w:rsid w:val="528A27F6"/>
    <w:rsid w:val="52B72AE4"/>
    <w:rsid w:val="52BE46B7"/>
    <w:rsid w:val="52C53BFD"/>
    <w:rsid w:val="52CA14B7"/>
    <w:rsid w:val="52E32AE4"/>
    <w:rsid w:val="52E636D3"/>
    <w:rsid w:val="531E0E80"/>
    <w:rsid w:val="53404EA0"/>
    <w:rsid w:val="534D3599"/>
    <w:rsid w:val="53566ED1"/>
    <w:rsid w:val="537A6705"/>
    <w:rsid w:val="53846194"/>
    <w:rsid w:val="539E7033"/>
    <w:rsid w:val="53C543F8"/>
    <w:rsid w:val="53DD4E18"/>
    <w:rsid w:val="53E522ED"/>
    <w:rsid w:val="53FE0A80"/>
    <w:rsid w:val="54517A18"/>
    <w:rsid w:val="54586DC2"/>
    <w:rsid w:val="54BE1251"/>
    <w:rsid w:val="54C31A09"/>
    <w:rsid w:val="551864F9"/>
    <w:rsid w:val="55351404"/>
    <w:rsid w:val="55367066"/>
    <w:rsid w:val="55452F6F"/>
    <w:rsid w:val="55586279"/>
    <w:rsid w:val="556D72EF"/>
    <w:rsid w:val="556F699C"/>
    <w:rsid w:val="55751691"/>
    <w:rsid w:val="557813C4"/>
    <w:rsid w:val="558161D7"/>
    <w:rsid w:val="55AB0B03"/>
    <w:rsid w:val="55C35F91"/>
    <w:rsid w:val="55CB2ADB"/>
    <w:rsid w:val="55CF6494"/>
    <w:rsid w:val="55D435CC"/>
    <w:rsid w:val="560A2C01"/>
    <w:rsid w:val="564A195D"/>
    <w:rsid w:val="56505923"/>
    <w:rsid w:val="565A0456"/>
    <w:rsid w:val="566708FE"/>
    <w:rsid w:val="567635F4"/>
    <w:rsid w:val="5679498E"/>
    <w:rsid w:val="567B273C"/>
    <w:rsid w:val="569204D9"/>
    <w:rsid w:val="56972E2E"/>
    <w:rsid w:val="569F5A78"/>
    <w:rsid w:val="56D439DD"/>
    <w:rsid w:val="56EB2F2B"/>
    <w:rsid w:val="56F5489C"/>
    <w:rsid w:val="571F45FF"/>
    <w:rsid w:val="57992F02"/>
    <w:rsid w:val="579D6B27"/>
    <w:rsid w:val="57BF7E75"/>
    <w:rsid w:val="57CA6749"/>
    <w:rsid w:val="57DE5DB6"/>
    <w:rsid w:val="581820F3"/>
    <w:rsid w:val="58420925"/>
    <w:rsid w:val="5847165F"/>
    <w:rsid w:val="588E3853"/>
    <w:rsid w:val="58A61D3A"/>
    <w:rsid w:val="58AF5DA9"/>
    <w:rsid w:val="58CB56C1"/>
    <w:rsid w:val="58D157F6"/>
    <w:rsid w:val="5908375B"/>
    <w:rsid w:val="59101F4F"/>
    <w:rsid w:val="591601F2"/>
    <w:rsid w:val="59186E35"/>
    <w:rsid w:val="592525CD"/>
    <w:rsid w:val="59386EAE"/>
    <w:rsid w:val="59477AB2"/>
    <w:rsid w:val="59607CFD"/>
    <w:rsid w:val="59864608"/>
    <w:rsid w:val="59A03CB3"/>
    <w:rsid w:val="59B33C71"/>
    <w:rsid w:val="59BB4C30"/>
    <w:rsid w:val="59BE454F"/>
    <w:rsid w:val="59D63339"/>
    <w:rsid w:val="5A240678"/>
    <w:rsid w:val="5A2C113F"/>
    <w:rsid w:val="5A4D5817"/>
    <w:rsid w:val="5A6A4129"/>
    <w:rsid w:val="5A6B02B5"/>
    <w:rsid w:val="5A6B2324"/>
    <w:rsid w:val="5A6C3974"/>
    <w:rsid w:val="5A8F4A2F"/>
    <w:rsid w:val="5A902C50"/>
    <w:rsid w:val="5AB10F63"/>
    <w:rsid w:val="5AC26217"/>
    <w:rsid w:val="5AFD5906"/>
    <w:rsid w:val="5B3B6F85"/>
    <w:rsid w:val="5B627FA4"/>
    <w:rsid w:val="5B6807D5"/>
    <w:rsid w:val="5B81202C"/>
    <w:rsid w:val="5BA943CD"/>
    <w:rsid w:val="5BB14944"/>
    <w:rsid w:val="5C0A78EE"/>
    <w:rsid w:val="5C197CD9"/>
    <w:rsid w:val="5C3C4FAB"/>
    <w:rsid w:val="5C534EBC"/>
    <w:rsid w:val="5C654ED2"/>
    <w:rsid w:val="5C692AAC"/>
    <w:rsid w:val="5C6C7CB2"/>
    <w:rsid w:val="5C743F28"/>
    <w:rsid w:val="5C7F5517"/>
    <w:rsid w:val="5CA23630"/>
    <w:rsid w:val="5CAC3E04"/>
    <w:rsid w:val="5CAE5379"/>
    <w:rsid w:val="5CC80B2C"/>
    <w:rsid w:val="5CF74363"/>
    <w:rsid w:val="5D081819"/>
    <w:rsid w:val="5D1273D3"/>
    <w:rsid w:val="5D1C0F72"/>
    <w:rsid w:val="5D3D3FF4"/>
    <w:rsid w:val="5D473B79"/>
    <w:rsid w:val="5D4B05AF"/>
    <w:rsid w:val="5D5327B4"/>
    <w:rsid w:val="5D855350"/>
    <w:rsid w:val="5DA10F5A"/>
    <w:rsid w:val="5DC559CE"/>
    <w:rsid w:val="5DCA5896"/>
    <w:rsid w:val="5E0873D0"/>
    <w:rsid w:val="5E115E6B"/>
    <w:rsid w:val="5E14204D"/>
    <w:rsid w:val="5E402576"/>
    <w:rsid w:val="5E5C606B"/>
    <w:rsid w:val="5E650848"/>
    <w:rsid w:val="5E7922BF"/>
    <w:rsid w:val="5EA019D9"/>
    <w:rsid w:val="5EAF62D4"/>
    <w:rsid w:val="5ED01A9B"/>
    <w:rsid w:val="5EEF4467"/>
    <w:rsid w:val="5EF42B54"/>
    <w:rsid w:val="5F0F2F1D"/>
    <w:rsid w:val="5F124441"/>
    <w:rsid w:val="5F244FDC"/>
    <w:rsid w:val="5F294B0D"/>
    <w:rsid w:val="5F357135"/>
    <w:rsid w:val="5F4E13D9"/>
    <w:rsid w:val="5F5C7AA9"/>
    <w:rsid w:val="5F826D0B"/>
    <w:rsid w:val="5FA4509E"/>
    <w:rsid w:val="5FB51BA4"/>
    <w:rsid w:val="5FCE781E"/>
    <w:rsid w:val="5FE4496C"/>
    <w:rsid w:val="5FF7583B"/>
    <w:rsid w:val="600404F7"/>
    <w:rsid w:val="600E35E7"/>
    <w:rsid w:val="601870CB"/>
    <w:rsid w:val="6021374B"/>
    <w:rsid w:val="60225E9F"/>
    <w:rsid w:val="604C58C3"/>
    <w:rsid w:val="60596494"/>
    <w:rsid w:val="60651863"/>
    <w:rsid w:val="606D3F03"/>
    <w:rsid w:val="6085378B"/>
    <w:rsid w:val="608B44FA"/>
    <w:rsid w:val="608E342F"/>
    <w:rsid w:val="60BB7B1F"/>
    <w:rsid w:val="60D30F2F"/>
    <w:rsid w:val="60D62B9F"/>
    <w:rsid w:val="60E02C4E"/>
    <w:rsid w:val="60E16461"/>
    <w:rsid w:val="60EB0E44"/>
    <w:rsid w:val="61137783"/>
    <w:rsid w:val="614452F0"/>
    <w:rsid w:val="61567BA7"/>
    <w:rsid w:val="615E48E9"/>
    <w:rsid w:val="61762689"/>
    <w:rsid w:val="61882712"/>
    <w:rsid w:val="619012C3"/>
    <w:rsid w:val="61B22332"/>
    <w:rsid w:val="61C76E4D"/>
    <w:rsid w:val="61CD7A11"/>
    <w:rsid w:val="61D36251"/>
    <w:rsid w:val="61D857D1"/>
    <w:rsid w:val="620157FD"/>
    <w:rsid w:val="62260123"/>
    <w:rsid w:val="622A1CB2"/>
    <w:rsid w:val="62580007"/>
    <w:rsid w:val="626A3210"/>
    <w:rsid w:val="62757692"/>
    <w:rsid w:val="627C018F"/>
    <w:rsid w:val="627E1E3D"/>
    <w:rsid w:val="629F4428"/>
    <w:rsid w:val="62C71E32"/>
    <w:rsid w:val="62D253D1"/>
    <w:rsid w:val="62EB5591"/>
    <w:rsid w:val="62F64584"/>
    <w:rsid w:val="63383798"/>
    <w:rsid w:val="63431BBC"/>
    <w:rsid w:val="634F3C07"/>
    <w:rsid w:val="634F5750"/>
    <w:rsid w:val="635521CE"/>
    <w:rsid w:val="637F4010"/>
    <w:rsid w:val="63840280"/>
    <w:rsid w:val="63844811"/>
    <w:rsid w:val="63AD4200"/>
    <w:rsid w:val="63C13EA1"/>
    <w:rsid w:val="63F42994"/>
    <w:rsid w:val="63FA4F3B"/>
    <w:rsid w:val="643A0290"/>
    <w:rsid w:val="64473D99"/>
    <w:rsid w:val="648A5B81"/>
    <w:rsid w:val="648E494C"/>
    <w:rsid w:val="64AD27F0"/>
    <w:rsid w:val="64E34A36"/>
    <w:rsid w:val="64F76509"/>
    <w:rsid w:val="64FC0544"/>
    <w:rsid w:val="65103CF5"/>
    <w:rsid w:val="651E1FAA"/>
    <w:rsid w:val="651F6ACF"/>
    <w:rsid w:val="65502A52"/>
    <w:rsid w:val="65763B20"/>
    <w:rsid w:val="65C321F8"/>
    <w:rsid w:val="65D533FE"/>
    <w:rsid w:val="65F552F7"/>
    <w:rsid w:val="66213B24"/>
    <w:rsid w:val="6629394C"/>
    <w:rsid w:val="664C03C7"/>
    <w:rsid w:val="66966EC4"/>
    <w:rsid w:val="66B15A05"/>
    <w:rsid w:val="66BE67BA"/>
    <w:rsid w:val="66F77D88"/>
    <w:rsid w:val="670A4AC1"/>
    <w:rsid w:val="67337133"/>
    <w:rsid w:val="674C7C96"/>
    <w:rsid w:val="675C35F1"/>
    <w:rsid w:val="677E0106"/>
    <w:rsid w:val="678228E5"/>
    <w:rsid w:val="6789130A"/>
    <w:rsid w:val="679138F8"/>
    <w:rsid w:val="67BE1622"/>
    <w:rsid w:val="682D69A6"/>
    <w:rsid w:val="683B4FEB"/>
    <w:rsid w:val="68845922"/>
    <w:rsid w:val="68A37A35"/>
    <w:rsid w:val="68AA25AD"/>
    <w:rsid w:val="68F912EF"/>
    <w:rsid w:val="69086D0F"/>
    <w:rsid w:val="694C7FF9"/>
    <w:rsid w:val="694D51EC"/>
    <w:rsid w:val="69791017"/>
    <w:rsid w:val="698F4BFA"/>
    <w:rsid w:val="69C04A58"/>
    <w:rsid w:val="69DE3CA1"/>
    <w:rsid w:val="6A36697D"/>
    <w:rsid w:val="6A445FDB"/>
    <w:rsid w:val="6A8E5AC6"/>
    <w:rsid w:val="6A9A3B41"/>
    <w:rsid w:val="6AC8046C"/>
    <w:rsid w:val="6AD04A71"/>
    <w:rsid w:val="6B0A5A9A"/>
    <w:rsid w:val="6B0B174D"/>
    <w:rsid w:val="6B191D7D"/>
    <w:rsid w:val="6B3E4E39"/>
    <w:rsid w:val="6B890CE0"/>
    <w:rsid w:val="6B9245E7"/>
    <w:rsid w:val="6BAB28A6"/>
    <w:rsid w:val="6BEB1978"/>
    <w:rsid w:val="6C2420A6"/>
    <w:rsid w:val="6C400CD6"/>
    <w:rsid w:val="6C615641"/>
    <w:rsid w:val="6C845C2E"/>
    <w:rsid w:val="6C8B3F0C"/>
    <w:rsid w:val="6C9A6408"/>
    <w:rsid w:val="6CA055A4"/>
    <w:rsid w:val="6CA05FC6"/>
    <w:rsid w:val="6CE150BE"/>
    <w:rsid w:val="6CEB3179"/>
    <w:rsid w:val="6D24040B"/>
    <w:rsid w:val="6D345EB6"/>
    <w:rsid w:val="6D3F0C45"/>
    <w:rsid w:val="6D4076DE"/>
    <w:rsid w:val="6D8363A4"/>
    <w:rsid w:val="6D93131B"/>
    <w:rsid w:val="6DA63460"/>
    <w:rsid w:val="6DA8670F"/>
    <w:rsid w:val="6DB24ADB"/>
    <w:rsid w:val="6DD64087"/>
    <w:rsid w:val="6E213E38"/>
    <w:rsid w:val="6E84191B"/>
    <w:rsid w:val="6E931227"/>
    <w:rsid w:val="6E9B4291"/>
    <w:rsid w:val="6EA04188"/>
    <w:rsid w:val="6EBE6996"/>
    <w:rsid w:val="6F0548DB"/>
    <w:rsid w:val="6F45045A"/>
    <w:rsid w:val="6F4D3D3D"/>
    <w:rsid w:val="6F577882"/>
    <w:rsid w:val="6F960CBE"/>
    <w:rsid w:val="6FBD67BA"/>
    <w:rsid w:val="6FC934C9"/>
    <w:rsid w:val="6FE054FD"/>
    <w:rsid w:val="700927B8"/>
    <w:rsid w:val="70287FB2"/>
    <w:rsid w:val="7029631C"/>
    <w:rsid w:val="703E3E20"/>
    <w:rsid w:val="70651BE4"/>
    <w:rsid w:val="70892217"/>
    <w:rsid w:val="708D564B"/>
    <w:rsid w:val="70990CCC"/>
    <w:rsid w:val="70A5129F"/>
    <w:rsid w:val="70BA708C"/>
    <w:rsid w:val="70CB28DD"/>
    <w:rsid w:val="70CC2BA5"/>
    <w:rsid w:val="70DF60B9"/>
    <w:rsid w:val="712C402C"/>
    <w:rsid w:val="71476921"/>
    <w:rsid w:val="714F5C49"/>
    <w:rsid w:val="715773BF"/>
    <w:rsid w:val="71736299"/>
    <w:rsid w:val="71D2489C"/>
    <w:rsid w:val="71D425EE"/>
    <w:rsid w:val="71F9155E"/>
    <w:rsid w:val="72044CED"/>
    <w:rsid w:val="72141661"/>
    <w:rsid w:val="72594EE2"/>
    <w:rsid w:val="7284293D"/>
    <w:rsid w:val="728A67B9"/>
    <w:rsid w:val="72941EEC"/>
    <w:rsid w:val="72946770"/>
    <w:rsid w:val="72AF1426"/>
    <w:rsid w:val="72AF591B"/>
    <w:rsid w:val="72BD3FD7"/>
    <w:rsid w:val="72CB1DE6"/>
    <w:rsid w:val="733A2C9B"/>
    <w:rsid w:val="736C2AA9"/>
    <w:rsid w:val="7380313A"/>
    <w:rsid w:val="73870DA9"/>
    <w:rsid w:val="73DE4B39"/>
    <w:rsid w:val="74047F3C"/>
    <w:rsid w:val="740C5B38"/>
    <w:rsid w:val="742722B2"/>
    <w:rsid w:val="74312EDF"/>
    <w:rsid w:val="744A3B69"/>
    <w:rsid w:val="74531FC3"/>
    <w:rsid w:val="749825AE"/>
    <w:rsid w:val="74C54326"/>
    <w:rsid w:val="750505DB"/>
    <w:rsid w:val="75055B68"/>
    <w:rsid w:val="752754B5"/>
    <w:rsid w:val="752C699C"/>
    <w:rsid w:val="752F5578"/>
    <w:rsid w:val="754F21C5"/>
    <w:rsid w:val="7573158C"/>
    <w:rsid w:val="75936842"/>
    <w:rsid w:val="75941E6B"/>
    <w:rsid w:val="75A10CF8"/>
    <w:rsid w:val="75CE5FAC"/>
    <w:rsid w:val="75E80C2C"/>
    <w:rsid w:val="760F126F"/>
    <w:rsid w:val="761B7777"/>
    <w:rsid w:val="7631620E"/>
    <w:rsid w:val="76444A85"/>
    <w:rsid w:val="764C656E"/>
    <w:rsid w:val="765400C5"/>
    <w:rsid w:val="76632FF2"/>
    <w:rsid w:val="76673B74"/>
    <w:rsid w:val="767140CB"/>
    <w:rsid w:val="767D17CB"/>
    <w:rsid w:val="769D2363"/>
    <w:rsid w:val="76AC7C30"/>
    <w:rsid w:val="76B22DAF"/>
    <w:rsid w:val="76C2249E"/>
    <w:rsid w:val="76DE75DD"/>
    <w:rsid w:val="76F86842"/>
    <w:rsid w:val="770C49C8"/>
    <w:rsid w:val="77410F54"/>
    <w:rsid w:val="77411E17"/>
    <w:rsid w:val="774E37E1"/>
    <w:rsid w:val="77536EDD"/>
    <w:rsid w:val="776376AA"/>
    <w:rsid w:val="77776A0B"/>
    <w:rsid w:val="777D5346"/>
    <w:rsid w:val="779E4B4D"/>
    <w:rsid w:val="77B11C1F"/>
    <w:rsid w:val="77B87B7A"/>
    <w:rsid w:val="77D2262E"/>
    <w:rsid w:val="77D247D3"/>
    <w:rsid w:val="77D52EAD"/>
    <w:rsid w:val="77FE287E"/>
    <w:rsid w:val="783A4B29"/>
    <w:rsid w:val="78785EC9"/>
    <w:rsid w:val="78824C9D"/>
    <w:rsid w:val="78870D9E"/>
    <w:rsid w:val="789F6074"/>
    <w:rsid w:val="78B66F67"/>
    <w:rsid w:val="78C02516"/>
    <w:rsid w:val="78DD33F3"/>
    <w:rsid w:val="78E2568F"/>
    <w:rsid w:val="78E66270"/>
    <w:rsid w:val="78EA684B"/>
    <w:rsid w:val="78FC2686"/>
    <w:rsid w:val="79010ACC"/>
    <w:rsid w:val="79063E89"/>
    <w:rsid w:val="7912155C"/>
    <w:rsid w:val="794878D0"/>
    <w:rsid w:val="796E2922"/>
    <w:rsid w:val="79734F17"/>
    <w:rsid w:val="797D2B6E"/>
    <w:rsid w:val="797E0641"/>
    <w:rsid w:val="79D61D9C"/>
    <w:rsid w:val="79DD5A92"/>
    <w:rsid w:val="79E449C9"/>
    <w:rsid w:val="79F00B89"/>
    <w:rsid w:val="79F01A6B"/>
    <w:rsid w:val="7A1A7CA6"/>
    <w:rsid w:val="7A33520C"/>
    <w:rsid w:val="7A41525F"/>
    <w:rsid w:val="7A58225A"/>
    <w:rsid w:val="7A770CE6"/>
    <w:rsid w:val="7A890570"/>
    <w:rsid w:val="7A8D511E"/>
    <w:rsid w:val="7A903902"/>
    <w:rsid w:val="7AA27D47"/>
    <w:rsid w:val="7AB2273A"/>
    <w:rsid w:val="7AB9388D"/>
    <w:rsid w:val="7AF4091E"/>
    <w:rsid w:val="7B0E0FF1"/>
    <w:rsid w:val="7B304D6E"/>
    <w:rsid w:val="7B353D13"/>
    <w:rsid w:val="7B3A6366"/>
    <w:rsid w:val="7B3B17C9"/>
    <w:rsid w:val="7B452211"/>
    <w:rsid w:val="7B4865A5"/>
    <w:rsid w:val="7B5159AE"/>
    <w:rsid w:val="7B693AC0"/>
    <w:rsid w:val="7B820613"/>
    <w:rsid w:val="7BB92FA1"/>
    <w:rsid w:val="7BD70E28"/>
    <w:rsid w:val="7C077D41"/>
    <w:rsid w:val="7C223649"/>
    <w:rsid w:val="7C343A91"/>
    <w:rsid w:val="7C4A0C30"/>
    <w:rsid w:val="7C5D396B"/>
    <w:rsid w:val="7C722FF3"/>
    <w:rsid w:val="7CB206EE"/>
    <w:rsid w:val="7CD769E1"/>
    <w:rsid w:val="7CE60E5D"/>
    <w:rsid w:val="7D082982"/>
    <w:rsid w:val="7D2852ED"/>
    <w:rsid w:val="7D2A65F3"/>
    <w:rsid w:val="7D4724B5"/>
    <w:rsid w:val="7D5A71B3"/>
    <w:rsid w:val="7DC265F6"/>
    <w:rsid w:val="7DE466E6"/>
    <w:rsid w:val="7DF05215"/>
    <w:rsid w:val="7E0728B1"/>
    <w:rsid w:val="7E0B0261"/>
    <w:rsid w:val="7E293728"/>
    <w:rsid w:val="7E2E6040"/>
    <w:rsid w:val="7E362558"/>
    <w:rsid w:val="7E490709"/>
    <w:rsid w:val="7E6136EC"/>
    <w:rsid w:val="7E716FEC"/>
    <w:rsid w:val="7E77746F"/>
    <w:rsid w:val="7E890E55"/>
    <w:rsid w:val="7EB120F9"/>
    <w:rsid w:val="7ECD6C08"/>
    <w:rsid w:val="7F2126C7"/>
    <w:rsid w:val="7F285C72"/>
    <w:rsid w:val="7F2D37A2"/>
    <w:rsid w:val="7F4908AB"/>
    <w:rsid w:val="7F4A6BE0"/>
    <w:rsid w:val="7F4C6C95"/>
    <w:rsid w:val="7F4F3FD7"/>
    <w:rsid w:val="7F547B09"/>
    <w:rsid w:val="7F576185"/>
    <w:rsid w:val="7F7D51C1"/>
    <w:rsid w:val="7F7E1A6A"/>
    <w:rsid w:val="7F9D342B"/>
    <w:rsid w:val="7FDE361F"/>
    <w:rsid w:val="7FF25EE9"/>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0" w:semiHidden="0" w:name="Emphasis"/>
    <w:lsdException w:qFormat="1" w:uiPriority="99" w:semiHidden="0"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19">
    <w:name w:val="Default Paragraph Font"/>
    <w:semiHidden/>
    <w:unhideWhenUsed/>
    <w:qFormat/>
    <w:uiPriority w:val="1"/>
  </w:style>
  <w:style w:type="table" w:default="1" w:styleId="17">
    <w:name w:val="Normal Table"/>
    <w:semiHidden/>
    <w:unhideWhenUsed/>
    <w:qFormat/>
    <w:uiPriority w:val="99"/>
    <w:tblPr>
      <w:tblCellMar>
        <w:top w:w="0" w:type="dxa"/>
        <w:left w:w="108" w:type="dxa"/>
        <w:bottom w:w="0" w:type="dxa"/>
        <w:right w:w="108" w:type="dxa"/>
      </w:tblCellMar>
    </w:tblPr>
  </w:style>
  <w:style w:type="paragraph" w:styleId="2">
    <w:name w:val="toc 7"/>
    <w:basedOn w:val="1"/>
    <w:next w:val="1"/>
    <w:unhideWhenUsed/>
    <w:qFormat/>
    <w:uiPriority w:val="39"/>
    <w:pPr>
      <w:ind w:left="2520" w:leftChars="1200"/>
    </w:pPr>
  </w:style>
  <w:style w:type="paragraph" w:styleId="3">
    <w:name w:val="Document Map"/>
    <w:basedOn w:val="1"/>
    <w:link w:val="23"/>
    <w:unhideWhenUsed/>
    <w:qFormat/>
    <w:uiPriority w:val="99"/>
    <w:rPr>
      <w:rFonts w:ascii="宋体" w:eastAsia="宋体"/>
      <w:sz w:val="18"/>
      <w:szCs w:val="18"/>
    </w:rPr>
  </w:style>
  <w:style w:type="paragraph" w:styleId="4">
    <w:name w:val="toc 5"/>
    <w:basedOn w:val="1"/>
    <w:next w:val="1"/>
    <w:unhideWhenUsed/>
    <w:qFormat/>
    <w:uiPriority w:val="39"/>
    <w:pPr>
      <w:ind w:left="1680" w:leftChars="800"/>
    </w:pPr>
  </w:style>
  <w:style w:type="paragraph" w:styleId="5">
    <w:name w:val="toc 3"/>
    <w:basedOn w:val="1"/>
    <w:next w:val="1"/>
    <w:unhideWhenUsed/>
    <w:qFormat/>
    <w:uiPriority w:val="39"/>
    <w:pPr>
      <w:ind w:left="840" w:leftChars="400"/>
    </w:pPr>
  </w:style>
  <w:style w:type="paragraph" w:styleId="6">
    <w:name w:val="toc 8"/>
    <w:basedOn w:val="1"/>
    <w:next w:val="1"/>
    <w:unhideWhenUsed/>
    <w:qFormat/>
    <w:uiPriority w:val="39"/>
    <w:pPr>
      <w:ind w:left="2940" w:leftChars="1400"/>
    </w:pPr>
  </w:style>
  <w:style w:type="paragraph" w:styleId="7">
    <w:name w:val="Date"/>
    <w:basedOn w:val="1"/>
    <w:next w:val="1"/>
    <w:link w:val="24"/>
    <w:unhideWhenUsed/>
    <w:qFormat/>
    <w:uiPriority w:val="99"/>
    <w:pPr>
      <w:ind w:left="100" w:leftChars="2500"/>
    </w:pPr>
  </w:style>
  <w:style w:type="paragraph" w:styleId="8">
    <w:name w:val="Balloon Text"/>
    <w:basedOn w:val="1"/>
    <w:link w:val="25"/>
    <w:unhideWhenUsed/>
    <w:qFormat/>
    <w:uiPriority w:val="99"/>
    <w:rPr>
      <w:sz w:val="18"/>
      <w:szCs w:val="18"/>
    </w:rPr>
  </w:style>
  <w:style w:type="paragraph" w:styleId="9">
    <w:name w:val="footer"/>
    <w:basedOn w:val="1"/>
    <w:link w:val="26"/>
    <w:unhideWhenUsed/>
    <w:qFormat/>
    <w:uiPriority w:val="99"/>
    <w:pPr>
      <w:tabs>
        <w:tab w:val="center" w:pos="4153"/>
        <w:tab w:val="right" w:pos="8306"/>
      </w:tabs>
      <w:snapToGrid w:val="0"/>
      <w:jc w:val="left"/>
    </w:pPr>
    <w:rPr>
      <w:sz w:val="18"/>
      <w:szCs w:val="18"/>
    </w:rPr>
  </w:style>
  <w:style w:type="paragraph" w:styleId="10">
    <w:name w:val="header"/>
    <w:basedOn w:val="1"/>
    <w:link w:val="27"/>
    <w:unhideWhenUsed/>
    <w:qFormat/>
    <w:uiPriority w:val="99"/>
    <w:pPr>
      <w:pBdr>
        <w:bottom w:val="single" w:color="auto" w:sz="6" w:space="1"/>
      </w:pBdr>
      <w:tabs>
        <w:tab w:val="center" w:pos="4153"/>
        <w:tab w:val="right" w:pos="8306"/>
      </w:tabs>
      <w:snapToGrid w:val="0"/>
      <w:jc w:val="center"/>
    </w:pPr>
    <w:rPr>
      <w:sz w:val="18"/>
      <w:szCs w:val="18"/>
    </w:rPr>
  </w:style>
  <w:style w:type="paragraph" w:styleId="11">
    <w:name w:val="toc 1"/>
    <w:basedOn w:val="1"/>
    <w:next w:val="1"/>
    <w:unhideWhenUsed/>
    <w:qFormat/>
    <w:uiPriority w:val="39"/>
    <w:pPr>
      <w:tabs>
        <w:tab w:val="left" w:pos="1050"/>
        <w:tab w:val="right" w:leader="dot" w:pos="8296"/>
      </w:tabs>
      <w:jc w:val="center"/>
    </w:pPr>
    <w:rPr>
      <w:rFonts w:ascii="Times New Roman" w:hAnsi="Times New Roman" w:eastAsia="黑体" w:cs="Times New Roman"/>
      <w:sz w:val="28"/>
      <w:szCs w:val="28"/>
    </w:rPr>
  </w:style>
  <w:style w:type="paragraph" w:styleId="12">
    <w:name w:val="toc 4"/>
    <w:basedOn w:val="1"/>
    <w:next w:val="1"/>
    <w:unhideWhenUsed/>
    <w:qFormat/>
    <w:uiPriority w:val="39"/>
    <w:pPr>
      <w:ind w:left="1260" w:leftChars="600"/>
    </w:pPr>
  </w:style>
  <w:style w:type="paragraph" w:styleId="13">
    <w:name w:val="toc 6"/>
    <w:basedOn w:val="1"/>
    <w:next w:val="1"/>
    <w:unhideWhenUsed/>
    <w:qFormat/>
    <w:uiPriority w:val="39"/>
    <w:pPr>
      <w:ind w:left="2100" w:leftChars="1000"/>
    </w:pPr>
  </w:style>
  <w:style w:type="paragraph" w:styleId="14">
    <w:name w:val="toc 2"/>
    <w:basedOn w:val="1"/>
    <w:next w:val="1"/>
    <w:unhideWhenUsed/>
    <w:qFormat/>
    <w:uiPriority w:val="39"/>
    <w:pPr>
      <w:ind w:left="420" w:leftChars="200"/>
    </w:pPr>
  </w:style>
  <w:style w:type="paragraph" w:styleId="15">
    <w:name w:val="toc 9"/>
    <w:basedOn w:val="1"/>
    <w:next w:val="1"/>
    <w:unhideWhenUsed/>
    <w:qFormat/>
    <w:uiPriority w:val="39"/>
    <w:pPr>
      <w:ind w:left="3360" w:leftChars="1600"/>
    </w:pPr>
  </w:style>
  <w:style w:type="paragraph" w:styleId="16">
    <w:name w:val="Normal (Web)"/>
    <w:basedOn w:val="1"/>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8">
    <w:name w:val="Table Grid"/>
    <w:basedOn w:val="17"/>
    <w:qFormat/>
    <w:uiPriority w:val="59"/>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character" w:styleId="20">
    <w:name w:val="Strong"/>
    <w:basedOn w:val="19"/>
    <w:qFormat/>
    <w:uiPriority w:val="22"/>
    <w:rPr>
      <w:b/>
      <w:bCs/>
    </w:rPr>
  </w:style>
  <w:style w:type="character" w:styleId="21">
    <w:name w:val="Emphasis"/>
    <w:basedOn w:val="19"/>
    <w:qFormat/>
    <w:uiPriority w:val="0"/>
    <w:rPr>
      <w:i/>
    </w:rPr>
  </w:style>
  <w:style w:type="character" w:styleId="22">
    <w:name w:val="Hyperlink"/>
    <w:basedOn w:val="19"/>
    <w:unhideWhenUsed/>
    <w:qFormat/>
    <w:uiPriority w:val="99"/>
    <w:rPr>
      <w:color w:val="0000FF" w:themeColor="hyperlink"/>
      <w:u w:val="single"/>
    </w:rPr>
  </w:style>
  <w:style w:type="character" w:customStyle="1" w:styleId="23">
    <w:name w:val="文档结构图 Char"/>
    <w:basedOn w:val="19"/>
    <w:link w:val="3"/>
    <w:qFormat/>
    <w:uiPriority w:val="99"/>
    <w:rPr>
      <w:rFonts w:ascii="宋体" w:eastAsia="宋体"/>
      <w:sz w:val="18"/>
      <w:szCs w:val="18"/>
    </w:rPr>
  </w:style>
  <w:style w:type="character" w:customStyle="1" w:styleId="24">
    <w:name w:val="日期 Char"/>
    <w:basedOn w:val="19"/>
    <w:link w:val="7"/>
    <w:qFormat/>
    <w:uiPriority w:val="99"/>
  </w:style>
  <w:style w:type="character" w:customStyle="1" w:styleId="25">
    <w:name w:val="批注框文本 Char"/>
    <w:basedOn w:val="19"/>
    <w:link w:val="8"/>
    <w:qFormat/>
    <w:uiPriority w:val="99"/>
    <w:rPr>
      <w:sz w:val="18"/>
      <w:szCs w:val="18"/>
    </w:rPr>
  </w:style>
  <w:style w:type="character" w:customStyle="1" w:styleId="26">
    <w:name w:val="页脚 Char"/>
    <w:basedOn w:val="19"/>
    <w:link w:val="9"/>
    <w:qFormat/>
    <w:uiPriority w:val="99"/>
    <w:rPr>
      <w:sz w:val="18"/>
      <w:szCs w:val="18"/>
    </w:rPr>
  </w:style>
  <w:style w:type="character" w:customStyle="1" w:styleId="27">
    <w:name w:val="页眉 Char"/>
    <w:basedOn w:val="19"/>
    <w:link w:val="10"/>
    <w:qFormat/>
    <w:uiPriority w:val="99"/>
    <w:rPr>
      <w:sz w:val="18"/>
      <w:szCs w:val="18"/>
    </w:rPr>
  </w:style>
  <w:style w:type="paragraph" w:customStyle="1" w:styleId="28">
    <w:name w:val="列出段落1"/>
    <w:basedOn w:val="1"/>
    <w:qFormat/>
    <w:uiPriority w:val="34"/>
    <w:pPr>
      <w:ind w:firstLine="420" w:firstLineChars="200"/>
    </w:pPr>
  </w:style>
  <w:style w:type="paragraph" w:customStyle="1" w:styleId="29">
    <w:name w:val="列出段落2"/>
    <w:basedOn w:val="1"/>
    <w:unhideWhenUsed/>
    <w:qFormat/>
    <w:uiPriority w:val="99"/>
    <w:pPr>
      <w:ind w:firstLine="420" w:firstLineChars="200"/>
    </w:pPr>
  </w:style>
  <w:style w:type="paragraph" w:customStyle="1" w:styleId="30">
    <w:name w:val="列出段落3"/>
    <w:basedOn w:val="1"/>
    <w:unhideWhenUsed/>
    <w:qFormat/>
    <w:uiPriority w:val="99"/>
    <w:pPr>
      <w:ind w:firstLine="420" w:firstLineChars="200"/>
    </w:pPr>
  </w:style>
  <w:style w:type="paragraph" w:styleId="31">
    <w:name w:val="List Paragraph"/>
    <w:basedOn w:val="1"/>
    <w:unhideWhenUsed/>
    <w:qFormat/>
    <w:uiPriority w:val="99"/>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5" Type="http://schemas.openxmlformats.org/officeDocument/2006/relationships/fontTable" Target="fontTable.xml"/><Relationship Id="rId34" Type="http://schemas.openxmlformats.org/officeDocument/2006/relationships/numbering" Target="numbering.xml"/><Relationship Id="rId33" Type="http://schemas.openxmlformats.org/officeDocument/2006/relationships/customXml" Target="../customXml/item1.xml"/><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footer" Target="footer1.xml"/><Relationship Id="rId29" Type="http://schemas.openxmlformats.org/officeDocument/2006/relationships/image" Target="media/image24.pn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jpeg"/><Relationship Id="rId23" Type="http://schemas.openxmlformats.org/officeDocument/2006/relationships/image" Target="media/image18.jpeg"/><Relationship Id="rId22" Type="http://schemas.openxmlformats.org/officeDocument/2006/relationships/image" Target="media/image17.png"/><Relationship Id="rId21" Type="http://schemas.openxmlformats.org/officeDocument/2006/relationships/image" Target="media/image16.jpe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xin</Company>
  <Pages>146</Pages>
  <Words>12782</Words>
  <Characters>72859</Characters>
  <Lines>607</Lines>
  <Paragraphs>170</Paragraphs>
  <TotalTime>27</TotalTime>
  <ScaleCrop>false</ScaleCrop>
  <LinksUpToDate>false</LinksUpToDate>
  <CharactersWithSpaces>85471</CharactersWithSpaces>
  <Application>WPS Office_11.8.2.10953_F1E327BC-269C-435d-A152-05C5408002CA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2021-03-05T16:47:00Z</dcterms:created>
  <dc:creator>user</dc:creator>
  <cp:lastModifiedBy>kylin</cp:lastModifiedBy>
  <cp:lastPrinted>2019-11-04T10:07:00Z</cp:lastPrinted>
  <dcterms:modified xsi:type="dcterms:W3CDTF">2023-08-03T09:55:05Z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2052-11.8.2.10953</vt:lpwstr>
  </property>
</Properties>
</file>