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南昌市公共场所禁止吸烟暂行规定</w:t>
      </w:r>
    </w:p>
    <w:p>
      <w:pPr>
        <w:pStyle w:val="28"/>
      </w:pPr>
    </w:p>
    <w:p>
      <w:pPr>
        <w:pStyle w:val="31"/>
      </w:pPr>
      <w:r>
        <w:rPr>
          <w:rFonts w:hint="eastAsia"/>
        </w:rPr>
        <w:t>（1995年8月29日市人民政府令第31号发布，自1995年10月1日起施行</w:t>
      </w:r>
      <w:r>
        <w:rPr>
          <w:rFonts w:hint="eastAsia" w:ascii="仿宋_GB2312" w:eastAsia="仿宋_GB2312"/>
          <w:color w:val="333333"/>
          <w:shd w:val="clear" w:color="auto" w:fill="FFFFFF"/>
        </w:rPr>
        <w:t>　</w:t>
      </w:r>
      <w:r>
        <w:rPr>
          <w:rFonts w:hint="eastAsia"/>
        </w:rPr>
        <w:t>根据1997年12月10日市人民政府令第57号修正）</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为了控制吸烟的危害，保障公民健康，保护环境，根据国家有关规定，结合本市实际，制定本规定。</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市卫生局是本市行</w:t>
      </w:r>
      <w:bookmarkStart w:id="0" w:name="_GoBack"/>
      <w:bookmarkEnd w:id="0"/>
      <w:r>
        <w:rPr>
          <w:rFonts w:hint="eastAsia" w:ascii="仿宋_GB2312" w:hAnsi="仿宋_GB2312" w:eastAsia="仿宋_GB2312" w:cs="仿宋_GB2312"/>
          <w:color w:val="333333"/>
          <w:sz w:val="32"/>
          <w:szCs w:val="32"/>
          <w:shd w:val="clear" w:color="auto" w:fill="FFFFFF"/>
        </w:rPr>
        <w:t>政区域内公共场所禁止吸烟工作的主管部门。</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各县（区）卫生局负责本行政区域内公共场所禁止吸烟工作的监督和管理。</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民航、铁路等部门的卫生防疫机构对管辖范围内禁止吸烟工作实施监督和管理。</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在本市行政区域内下列公共场所禁止吸烟：</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影剧院和音乐厅的观众厅、录像厅（室）、游艺厅（室）、歌（舞）厅、卡拉ＯＫ厅及音乐茶座（室）；</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室内体育馆（场）的观众厅和比赛厅；</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图书馆的阅览室，书店，博物院、美术馆和展览馆的展示厅；</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２００平方米以上的商店（场）的经营场所；</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公共交通工具内及其等候室；</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医疗机构的侯诊室、诊疗室、病房；</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（七）学校的教室、实验室等室内教育活动场所，托幼机构的幼儿活动场所；</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（八）根据实际需要，市卫生局确定的其他公共场所。</w:t>
      </w:r>
    </w:p>
    <w:p>
      <w:pPr>
        <w:pStyle w:val="28"/>
        <w:keepNext w:val="0"/>
        <w:keepLines w:val="0"/>
        <w:pageBreakBefore w:val="0"/>
        <w:widowControl w:val="0"/>
        <w:kinsoku/>
        <w:wordWrap/>
        <w:overflowPunct/>
        <w:topLinePunct w:val="0"/>
        <w:autoSpaceDE/>
        <w:bidi w:val="0"/>
        <w:adjustRightInd/>
        <w:snapToGrid/>
        <w:spacing w:line="760" w:lineRule="exact"/>
        <w:textAlignment w:val="auto"/>
      </w:pPr>
      <w:r>
        <w:rPr>
          <w:rFonts w:hint="eastAsia" w:eastAsia="黑体"/>
          <w:color w:val="333333"/>
          <w:kern w:val="2"/>
          <w:szCs w:val="32"/>
          <w:shd w:val="clear" w:color="auto" w:fill="FFFFFF"/>
        </w:rPr>
        <w:t>第四条</w:t>
      </w:r>
      <w:r>
        <w:rPr>
          <w:rFonts w:hint="eastAsia"/>
        </w:rPr>
        <w:t>　禁止吸烟的公共场所的所在单位可以设置吸烟室。</w:t>
      </w:r>
    </w:p>
    <w:p>
      <w:pPr>
        <w:pStyle w:val="28"/>
        <w:keepNext w:val="0"/>
        <w:keepLines w:val="0"/>
        <w:pageBreakBefore w:val="0"/>
        <w:widowControl w:val="0"/>
        <w:kinsoku/>
        <w:wordWrap/>
        <w:overflowPunct/>
        <w:topLinePunct w:val="0"/>
        <w:autoSpaceDE/>
        <w:bidi w:val="0"/>
        <w:adjustRightInd/>
        <w:snapToGrid/>
        <w:spacing w:line="760" w:lineRule="exact"/>
        <w:textAlignment w:val="auto"/>
      </w:pPr>
      <w:r>
        <w:rPr>
          <w:rFonts w:hint="eastAsia" w:eastAsia="黑体"/>
          <w:color w:val="333333"/>
          <w:kern w:val="2"/>
          <w:szCs w:val="32"/>
          <w:shd w:val="clear" w:color="auto" w:fill="FFFFFF"/>
        </w:rPr>
        <w:t>第五条</w:t>
      </w:r>
      <w:r>
        <w:rPr>
          <w:rFonts w:hint="eastAsia"/>
        </w:rPr>
        <w:t>　卫生、文化、教育、环境保护等部门及新闻单位应当积极开展吸烟有害健康、公共场所禁止吸烟的社会宣传。</w:t>
      </w:r>
    </w:p>
    <w:p>
      <w:pPr>
        <w:pStyle w:val="28"/>
        <w:keepNext w:val="0"/>
        <w:keepLines w:val="0"/>
        <w:pageBreakBefore w:val="0"/>
        <w:widowControl w:val="0"/>
        <w:kinsoku/>
        <w:wordWrap/>
        <w:overflowPunct/>
        <w:topLinePunct w:val="0"/>
        <w:autoSpaceDE/>
        <w:bidi w:val="0"/>
        <w:adjustRightInd/>
        <w:snapToGrid/>
        <w:spacing w:line="760" w:lineRule="exact"/>
        <w:textAlignment w:val="auto"/>
      </w:pPr>
      <w:r>
        <w:rPr>
          <w:rFonts w:hint="eastAsia" w:eastAsia="黑体"/>
          <w:color w:val="333333"/>
          <w:kern w:val="2"/>
          <w:szCs w:val="32"/>
          <w:shd w:val="clear" w:color="auto" w:fill="FFFFFF"/>
        </w:rPr>
        <w:t>第六条</w:t>
      </w:r>
      <w:r>
        <w:rPr>
          <w:rFonts w:hint="eastAsia"/>
        </w:rPr>
        <w:t>　禁止吸烟的公共场所的所在单位应当履行下列职责：</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（一）在禁止吸烟的公共场所内设置醒目的禁止吸烟标志；</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（二）制定本单位公共场所禁止吸烟的制度；</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（三）对在禁止吸烟的公共场所内的吸烟者予以劝阻。</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在禁止吸烟的公共场所内的被动吸烟者享有下列权利：</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（一）要求吸烟者停止吸烟；</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（二）要求禁止吸烟的公共场所的所在单位履行本规定</w:t>
      </w:r>
      <w:r>
        <w:rPr>
          <w:rStyle w:val="30"/>
          <w:rFonts w:hint="eastAsia"/>
        </w:rPr>
        <w:t>第六条规定</w:t>
      </w:r>
      <w:r>
        <w:rPr>
          <w:rFonts w:hint="eastAsia" w:ascii="仿宋_GB2312" w:hAnsi="仿宋_GB2312" w:eastAsia="仿宋_GB2312" w:cs="仿宋_GB2312"/>
          <w:color w:val="333333"/>
          <w:sz w:val="32"/>
          <w:szCs w:val="32"/>
          <w:shd w:val="clear" w:color="auto" w:fill="FFFFFF"/>
        </w:rPr>
        <w:t>的职责；</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（三）向市或者县（区）卫生局举报违反本规定的行为。</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禁止吸烟的公共场所的所在单位违反本规定，有下列行为之一的，由市或者县（区）卫生局给予警告，并可处以200元至500元罚款：</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（一）未在禁止吸烟的公共场所内设置醒目的禁止吸烟标志；</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（二）对在禁止吸烟的公共场所内的吸烟者不予劝阻。</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对拒绝、阻碍卫生管理人员依法执行职务的，由公安机关依照《中华人民共和国</w:t>
      </w:r>
      <w:r>
        <w:rPr>
          <w:rFonts w:hint="eastAsia" w:ascii="仿宋_GB2312" w:hAnsi="仿宋_GB2312" w:eastAsia="仿宋_GB2312" w:cs="仿宋_GB2312"/>
          <w:color w:val="333333"/>
          <w:sz w:val="32"/>
          <w:szCs w:val="32"/>
          <w:shd w:val="clear" w:color="auto" w:fill="FFFFFF"/>
          <w:lang w:val="en-US" w:eastAsia="zh-CN"/>
        </w:rPr>
        <w:t>治安</w:t>
      </w:r>
      <w:r>
        <w:rPr>
          <w:rFonts w:hint="eastAsia" w:ascii="仿宋_GB2312" w:hAnsi="仿宋_GB2312" w:eastAsia="仿宋_GB2312" w:cs="仿宋_GB2312"/>
          <w:color w:val="333333"/>
          <w:sz w:val="32"/>
          <w:szCs w:val="32"/>
          <w:shd w:val="clear" w:color="auto" w:fill="FFFFFF"/>
        </w:rPr>
        <w:t>管理处罚条例》处罚；构成犯罪的，依法追究刑事责任。</w:t>
      </w:r>
    </w:p>
    <w:p>
      <w:pPr>
        <w:pStyle w:val="28"/>
        <w:keepNext w:val="0"/>
        <w:keepLines w:val="0"/>
        <w:pageBreakBefore w:val="0"/>
        <w:widowControl w:val="0"/>
        <w:kinsoku/>
        <w:wordWrap/>
        <w:overflowPunct/>
        <w:topLinePunct w:val="0"/>
        <w:autoSpaceDE/>
        <w:bidi w:val="0"/>
        <w:adjustRightInd/>
        <w:snapToGrid/>
        <w:spacing w:line="760" w:lineRule="exact"/>
        <w:textAlignment w:val="auto"/>
        <w:rPr>
          <w:shd w:val="clear" w:color="auto" w:fill="FFFFFF"/>
        </w:rPr>
      </w:pPr>
      <w:r>
        <w:rPr>
          <w:rFonts w:hint="eastAsia" w:eastAsia="黑体"/>
          <w:color w:val="333333"/>
          <w:kern w:val="2"/>
          <w:szCs w:val="32"/>
          <w:shd w:val="clear" w:color="auto" w:fill="FFFFFF"/>
        </w:rPr>
        <w:t>第十条</w:t>
      </w:r>
      <w:r>
        <w:rPr>
          <w:rFonts w:hint="eastAsia"/>
          <w:shd w:val="clear" w:color="auto" w:fill="FFFFFF"/>
        </w:rPr>
        <w:t>　当事人对</w:t>
      </w:r>
      <w:r>
        <w:fldChar w:fldCharType="begin"/>
      </w:r>
      <w:r>
        <w:instrText xml:space="preserve"> HYPERLINK "http://www.66law.cn/special/xingzhengchufa/" </w:instrText>
      </w:r>
      <w:r>
        <w:fldChar w:fldCharType="separate"/>
      </w:r>
      <w:r>
        <w:rPr>
          <w:rFonts w:hint="eastAsia"/>
          <w:color w:val="000000"/>
          <w:shd w:val="clear" w:color="auto" w:fill="FFFFFF"/>
        </w:rPr>
        <w:t>行政处罚</w:t>
      </w:r>
      <w:r>
        <w:rPr>
          <w:rFonts w:hint="eastAsia"/>
          <w:color w:val="000000"/>
          <w:shd w:val="clear" w:color="auto" w:fill="FFFFFF"/>
        </w:rPr>
        <w:fldChar w:fldCharType="end"/>
      </w:r>
      <w:r>
        <w:rPr>
          <w:rFonts w:hint="eastAsia"/>
          <w:shd w:val="clear" w:color="auto" w:fill="FFFFFF"/>
        </w:rPr>
        <w:t>决定不服，可以申请复议或者提起诉讼。逾期不申请复议、不提起诉讼、又不履行处罚决定的，作出处罚决定的部门可以申请人民法院强制执行。</w:t>
      </w:r>
    </w:p>
    <w:p>
      <w:pPr>
        <w:pStyle w:val="28"/>
        <w:keepNext w:val="0"/>
        <w:keepLines w:val="0"/>
        <w:pageBreakBefore w:val="0"/>
        <w:widowControl w:val="0"/>
        <w:kinsoku/>
        <w:wordWrap/>
        <w:overflowPunct/>
        <w:topLinePunct w:val="0"/>
        <w:autoSpaceDE/>
        <w:bidi w:val="0"/>
        <w:adjustRightInd/>
        <w:snapToGrid/>
        <w:spacing w:line="760" w:lineRule="exact"/>
        <w:textAlignment w:val="auto"/>
        <w:rPr>
          <w:shd w:val="clear" w:color="auto" w:fill="FFFFFF"/>
        </w:rPr>
      </w:pPr>
      <w:r>
        <w:rPr>
          <w:rFonts w:hint="eastAsia" w:eastAsia="黑体"/>
          <w:color w:val="333333"/>
          <w:kern w:val="2"/>
          <w:szCs w:val="32"/>
          <w:shd w:val="clear" w:color="auto" w:fill="FFFFFF"/>
        </w:rPr>
        <w:t>第十一条</w:t>
      </w:r>
      <w:r>
        <w:rPr>
          <w:rFonts w:hint="eastAsia"/>
          <w:shd w:val="clear" w:color="auto" w:fill="FFFFFF"/>
        </w:rPr>
        <w:t>　卫生管理人员应当秉公执法，对徇私舞弊、滥用职权、索贿</w:t>
      </w:r>
      <w:r>
        <w:fldChar w:fldCharType="begin"/>
      </w:r>
      <w:r>
        <w:instrText xml:space="preserve"> HYPERLINK "http://www.66law.cn/special/shz/" </w:instrText>
      </w:r>
      <w:r>
        <w:fldChar w:fldCharType="separate"/>
      </w:r>
      <w:r>
        <w:rPr>
          <w:rFonts w:hint="eastAsia"/>
          <w:color w:val="000000"/>
          <w:shd w:val="clear" w:color="auto" w:fill="FFFFFF"/>
        </w:rPr>
        <w:t>受贿</w:t>
      </w:r>
      <w:r>
        <w:rPr>
          <w:rFonts w:hint="eastAsia"/>
          <w:color w:val="000000"/>
          <w:shd w:val="clear" w:color="auto" w:fill="FFFFFF"/>
        </w:rPr>
        <w:fldChar w:fldCharType="end"/>
      </w:r>
      <w:r>
        <w:rPr>
          <w:rFonts w:hint="eastAsia"/>
          <w:shd w:val="clear" w:color="auto" w:fill="FFFFFF"/>
        </w:rPr>
        <w:t>的，由所在单位或者上级机关给予行政处分；构成犯罪的，依法追究刑事责任。</w:t>
      </w:r>
    </w:p>
    <w:p>
      <w:pPr>
        <w:pStyle w:val="28"/>
        <w:keepNext w:val="0"/>
        <w:keepLines w:val="0"/>
        <w:pageBreakBefore w:val="0"/>
        <w:widowControl w:val="0"/>
        <w:kinsoku/>
        <w:wordWrap/>
        <w:overflowPunct/>
        <w:topLinePunct w:val="0"/>
        <w:autoSpaceDE/>
        <w:bidi w:val="0"/>
        <w:adjustRightInd/>
        <w:snapToGrid/>
        <w:spacing w:line="760" w:lineRule="exact"/>
        <w:textAlignment w:val="auto"/>
        <w:rPr>
          <w:shd w:val="clear" w:color="auto" w:fill="FFFFFF"/>
        </w:rPr>
      </w:pPr>
      <w:r>
        <w:rPr>
          <w:rFonts w:hint="eastAsia" w:eastAsia="黑体"/>
          <w:color w:val="333333"/>
          <w:kern w:val="2"/>
          <w:szCs w:val="32"/>
          <w:shd w:val="clear" w:color="auto" w:fill="FFFFFF"/>
        </w:rPr>
        <w:t>第十二条</w:t>
      </w:r>
      <w:r>
        <w:rPr>
          <w:rFonts w:hint="eastAsia"/>
          <w:shd w:val="clear" w:color="auto" w:fill="FFFFFF"/>
        </w:rPr>
        <w:t>　国家机关、企事业单位、社会团体以及其他组织可以将其内部的会议室、图书馆、车间、非营业性娱乐室等场所设定为禁止吸烟场所，并做好监督和管理工作。</w:t>
      </w:r>
    </w:p>
    <w:p>
      <w:pPr>
        <w:pStyle w:val="28"/>
        <w:keepNext w:val="0"/>
        <w:keepLines w:val="0"/>
        <w:pageBreakBefore w:val="0"/>
        <w:widowControl w:val="0"/>
        <w:kinsoku/>
        <w:wordWrap/>
        <w:overflowPunct/>
        <w:topLinePunct w:val="0"/>
        <w:autoSpaceDE/>
        <w:bidi w:val="0"/>
        <w:adjustRightInd/>
        <w:snapToGrid/>
        <w:spacing w:line="760" w:lineRule="exact"/>
        <w:textAlignment w:val="auto"/>
        <w:rPr>
          <w:shd w:val="clear" w:color="auto" w:fill="FFFFFF"/>
        </w:rPr>
      </w:pPr>
      <w:r>
        <w:rPr>
          <w:rFonts w:hint="eastAsia" w:eastAsia="黑体"/>
          <w:color w:val="333333"/>
          <w:kern w:val="2"/>
          <w:szCs w:val="32"/>
          <w:shd w:val="clear" w:color="auto" w:fill="FFFFFF"/>
        </w:rPr>
        <w:t>第十三条</w:t>
      </w:r>
      <w:r>
        <w:rPr>
          <w:rFonts w:hint="eastAsia"/>
          <w:shd w:val="clear" w:color="auto" w:fill="FFFFFF"/>
        </w:rPr>
        <w:t>　本规定具体应用中的问题，由卫生局负责解释。</w:t>
      </w:r>
    </w:p>
    <w:p>
      <w:pPr>
        <w:pStyle w:val="28"/>
        <w:keepNext w:val="0"/>
        <w:keepLines w:val="0"/>
        <w:pageBreakBefore w:val="0"/>
        <w:widowControl w:val="0"/>
        <w:kinsoku/>
        <w:wordWrap/>
        <w:overflowPunct/>
        <w:topLinePunct w:val="0"/>
        <w:autoSpaceDE/>
        <w:bidi w:val="0"/>
        <w:adjustRightInd/>
        <w:snapToGrid/>
        <w:spacing w:line="760" w:lineRule="exact"/>
        <w:textAlignment w:val="auto"/>
        <w:rPr>
          <w:shd w:val="clear" w:color="auto" w:fill="FFFFFF"/>
        </w:rPr>
      </w:pPr>
      <w:r>
        <w:rPr>
          <w:rFonts w:hint="eastAsia" w:eastAsia="黑体"/>
          <w:color w:val="333333"/>
          <w:kern w:val="2"/>
          <w:szCs w:val="32"/>
          <w:shd w:val="clear" w:color="auto" w:fill="FFFFFF"/>
        </w:rPr>
        <w:t>第十四条</w:t>
      </w:r>
      <w:r>
        <w:rPr>
          <w:rFonts w:hint="eastAsia"/>
          <w:shd w:val="clear" w:color="auto" w:fill="FFFFFF"/>
        </w:rPr>
        <w:t>　本规定自</w:t>
      </w:r>
      <w:r>
        <w:rPr>
          <w:shd w:val="clear" w:color="auto" w:fill="FFFFFF"/>
        </w:rPr>
        <w:t>1995年10月1</w:t>
      </w:r>
      <w:r>
        <w:rPr>
          <w:rFonts w:hint="eastAsia"/>
          <w:shd w:val="clear" w:color="auto" w:fill="FFFFFF"/>
        </w:rPr>
        <w:t>日起施行。</w:t>
      </w:r>
    </w:p>
    <w:p>
      <w:pPr>
        <w:spacing w:line="560" w:lineRule="exact"/>
        <w:ind w:firstLine="640" w:firstLineChars="200"/>
        <w:rPr>
          <w:rFonts w:ascii="仿宋_GB2312" w:hAnsi="仿宋_GB2312" w:eastAsia="仿宋_GB2312" w:cs="仿宋_GB2312"/>
          <w:sz w:val="32"/>
          <w:szCs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29261"/>
      <w:docPartObj>
        <w:docPartGallery w:val="autotext"/>
      </w:docPartObj>
    </w:sdtPr>
    <w:sdtEndPr>
      <w:rPr>
        <w:rFonts w:ascii="宋体"/>
        <w:sz w:val="28"/>
        <w:szCs w:val="28"/>
      </w:rPr>
    </w:sdtEndPr>
    <w:sdtContent>
      <w:p>
        <w:pPr>
          <w:pStyle w:val="7"/>
          <w:ind w:right="210" w:rightChars="100"/>
          <w:jc w:val="right"/>
          <w:rPr>
            <w:rFonts w:hint="eastAsia"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6260103"/>
      <w:docPartObj>
        <w:docPartGallery w:val="autotext"/>
      </w:docPartObj>
    </w:sdtPr>
    <w:sdtEndPr>
      <w:rPr>
        <w:rFonts w:ascii="宋体"/>
        <w:sz w:val="28"/>
        <w:szCs w:val="28"/>
      </w:rPr>
    </w:sdtEndPr>
    <w:sdtContent>
      <w:p>
        <w:pPr>
          <w:pStyle w:val="7"/>
          <w:ind w:left="210" w:leftChars="100"/>
          <w:rPr>
            <w:rFonts w:hint="eastAsia"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C83040"/>
    <w:multiLevelType w:val="singleLevel"/>
    <w:tmpl w:val="67C8304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hNzk0ZmEwMGRmOWY4YjM0YzgzM2VmMjFlMzhjYTMifQ=="/>
  </w:docVars>
  <w:rsids>
    <w:rsidRoot w:val="00172A27"/>
    <w:rsid w:val="00031A18"/>
    <w:rsid w:val="00037ED2"/>
    <w:rsid w:val="00077518"/>
    <w:rsid w:val="00172A27"/>
    <w:rsid w:val="001C0736"/>
    <w:rsid w:val="001C4216"/>
    <w:rsid w:val="0031592D"/>
    <w:rsid w:val="003436E8"/>
    <w:rsid w:val="003A606F"/>
    <w:rsid w:val="003C3E2A"/>
    <w:rsid w:val="00425858"/>
    <w:rsid w:val="004568CE"/>
    <w:rsid w:val="00464B16"/>
    <w:rsid w:val="0059091C"/>
    <w:rsid w:val="00604849"/>
    <w:rsid w:val="00653FB4"/>
    <w:rsid w:val="00664CF5"/>
    <w:rsid w:val="00677025"/>
    <w:rsid w:val="006F5B89"/>
    <w:rsid w:val="00737FC6"/>
    <w:rsid w:val="00781113"/>
    <w:rsid w:val="007C6CDA"/>
    <w:rsid w:val="00870A35"/>
    <w:rsid w:val="008741EA"/>
    <w:rsid w:val="008B4A8A"/>
    <w:rsid w:val="009018F0"/>
    <w:rsid w:val="00912764"/>
    <w:rsid w:val="00931B7B"/>
    <w:rsid w:val="00957629"/>
    <w:rsid w:val="0097073F"/>
    <w:rsid w:val="00A2752E"/>
    <w:rsid w:val="00A50E9A"/>
    <w:rsid w:val="00A5799A"/>
    <w:rsid w:val="00B74A8A"/>
    <w:rsid w:val="00BA2A91"/>
    <w:rsid w:val="00CB7C2F"/>
    <w:rsid w:val="00CE3ABF"/>
    <w:rsid w:val="00D046D0"/>
    <w:rsid w:val="00D56EC6"/>
    <w:rsid w:val="00D65355"/>
    <w:rsid w:val="00DA1CDC"/>
    <w:rsid w:val="00DA1FF0"/>
    <w:rsid w:val="00DC08C0"/>
    <w:rsid w:val="00DC5E9D"/>
    <w:rsid w:val="00E8449F"/>
    <w:rsid w:val="00FD6D0C"/>
    <w:rsid w:val="3A2C3E7C"/>
    <w:rsid w:val="3FF47315"/>
    <w:rsid w:val="DCFBC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1132</Words>
  <Characters>1155</Characters>
  <Lines>9</Lines>
  <Paragraphs>2</Paragraphs>
  <TotalTime>1</TotalTime>
  <ScaleCrop>false</ScaleCrop>
  <LinksUpToDate>false</LinksUpToDate>
  <CharactersWithSpaces>1170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2018-09-27T08:46:00Z</dcterms:created>
  <dc:creator>fzb</dc:creator>
  <cp:lastModifiedBy>kylin</cp:lastModifiedBy>
  <dcterms:modified xsi:type="dcterms:W3CDTF">2023-09-01T11:59:32Z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6D0B58CF2F1F4D82A589159AD9492858_12</vt:lpwstr>
  </property>
</Properties>
</file>