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ind w:firstLine="0" w:firstLineChars="0"/>
        <w:jc w:val="center"/>
        <w:rPr>
          <w:rFonts w:ascii="宋体" w:hAnsi="宋体" w:eastAsia="宋体" w:cs="方正小标宋简体"/>
          <w:b/>
          <w:bCs/>
          <w:spacing w:val="20"/>
          <w:sz w:val="44"/>
          <w:szCs w:val="44"/>
        </w:rPr>
      </w:pPr>
      <w:r>
        <w:rPr>
          <w:rFonts w:hint="eastAsia" w:ascii="宋体" w:hAnsi="宋体" w:eastAsia="宋体" w:cs="方正小标宋简体"/>
          <w:b/>
          <w:bCs/>
          <w:spacing w:val="20"/>
          <w:sz w:val="44"/>
          <w:szCs w:val="44"/>
        </w:rPr>
        <w:t>南昌市国民经济和社会发展第十四个</w:t>
      </w:r>
    </w:p>
    <w:p>
      <w:pPr>
        <w:spacing w:line="640" w:lineRule="exact"/>
        <w:ind w:firstLine="0" w:firstLineChars="0"/>
        <w:jc w:val="center"/>
        <w:rPr>
          <w:rFonts w:ascii="宋体" w:hAnsi="宋体" w:eastAsia="宋体" w:cs="黑体"/>
          <w:b/>
          <w:bCs/>
          <w:color w:val="000000" w:themeColor="text1"/>
          <w:sz w:val="44"/>
          <w:szCs w:val="44"/>
        </w:rPr>
      </w:pPr>
      <w:r>
        <w:rPr>
          <w:rFonts w:hint="eastAsia" w:ascii="宋体" w:hAnsi="宋体" w:eastAsia="宋体" w:cs="方正小标宋简体"/>
          <w:b/>
          <w:bCs/>
          <w:sz w:val="44"/>
          <w:szCs w:val="44"/>
        </w:rPr>
        <w:t>五年规划和二〇三五年远景目标纲要</w:t>
      </w:r>
    </w:p>
    <w:p>
      <w:pPr>
        <w:pStyle w:val="59"/>
        <w:widowControl w:val="0"/>
        <w:spacing w:line="580" w:lineRule="exact"/>
        <w:ind w:firstLine="0" w:firstLineChars="0"/>
        <w:jc w:val="center"/>
        <w:rPr>
          <w:rFonts w:ascii="黑体" w:hAnsi="黑体" w:eastAsia="黑体" w:cs="黑体"/>
          <w:bCs/>
          <w:color w:val="000000" w:themeColor="text1"/>
        </w:rPr>
      </w:pPr>
    </w:p>
    <w:p>
      <w:pPr>
        <w:pStyle w:val="59"/>
        <w:widowControl w:val="0"/>
        <w:spacing w:line="580" w:lineRule="exact"/>
        <w:ind w:firstLine="0" w:firstLineChars="0"/>
        <w:jc w:val="center"/>
        <w:rPr>
          <w:rFonts w:ascii="方正小标宋简体" w:hAnsi="方正小标宋简体" w:eastAsia="方正小标宋简体" w:cs="方正小标宋简体"/>
          <w:bCs/>
          <w:color w:val="000000" w:themeColor="text1"/>
          <w:sz w:val="44"/>
          <w:szCs w:val="44"/>
        </w:rPr>
      </w:pPr>
      <w:r>
        <w:rPr>
          <w:rFonts w:hint="eastAsia" w:ascii="方正小标宋简体" w:hAnsi="方正小标宋简体" w:eastAsia="方正小标宋简体" w:cs="方正小标宋简体"/>
          <w:bCs/>
          <w:color w:val="000000" w:themeColor="text1"/>
          <w:sz w:val="44"/>
          <w:szCs w:val="44"/>
        </w:rPr>
        <w:t>目    录</w:t>
      </w:r>
    </w:p>
    <w:p>
      <w:pPr>
        <w:pStyle w:val="59"/>
        <w:widowControl w:val="0"/>
        <w:spacing w:line="580" w:lineRule="exact"/>
        <w:ind w:firstLine="0" w:firstLineChars="0"/>
        <w:jc w:val="center"/>
        <w:rPr>
          <w:rFonts w:ascii="黑体" w:hAnsi="黑体" w:eastAsia="黑体" w:cs="黑体"/>
          <w:bCs/>
          <w:color w:val="000000" w:themeColor="text1"/>
        </w:rPr>
      </w:pPr>
    </w:p>
    <w:p>
      <w:pPr>
        <w:pStyle w:val="21"/>
        <w:tabs>
          <w:tab w:val="right" w:leader="dot" w:pos="9062"/>
        </w:tabs>
        <w:rPr>
          <w:rFonts w:asciiTheme="minorHAnsi" w:hAnsiTheme="minorHAnsi" w:eastAsiaTheme="minorEastAsia" w:cstheme="minorBidi"/>
          <w:b w:val="0"/>
          <w:bCs w:val="0"/>
          <w:caps w:val="0"/>
          <w:sz w:val="21"/>
          <w:szCs w:val="22"/>
        </w:rPr>
      </w:pPr>
      <w:r>
        <w:rPr>
          <w:b w:val="0"/>
          <w:color w:val="000000" w:themeColor="text1"/>
          <w:sz w:val="24"/>
        </w:rPr>
        <w:fldChar w:fldCharType="begin"/>
      </w:r>
      <w:r>
        <w:rPr>
          <w:b w:val="0"/>
          <w:color w:val="000000" w:themeColor="text1"/>
          <w:sz w:val="24"/>
        </w:rPr>
        <w:instrText xml:space="preserve"> TOC \o "1-3" \h \z \u </w:instrText>
      </w:r>
      <w:r>
        <w:rPr>
          <w:b w:val="0"/>
          <w:color w:val="000000" w:themeColor="text1"/>
          <w:sz w:val="24"/>
        </w:rPr>
        <w:fldChar w:fldCharType="separate"/>
      </w:r>
      <w:r>
        <w:fldChar w:fldCharType="begin"/>
      </w:r>
      <w:r>
        <w:instrText xml:space="preserve"> HYPERLINK \l "_Toc64542085" </w:instrText>
      </w:r>
      <w:r>
        <w:fldChar w:fldCharType="separate"/>
      </w:r>
      <w:r>
        <w:rPr>
          <w:rStyle w:val="36"/>
          <w:rFonts w:hint="eastAsia" w:ascii="方正小标宋简体" w:hAnsi="方正小标宋简体" w:eastAsia="方正小标宋简体" w:cs="方正小标宋简体"/>
          <w:b w:val="0"/>
        </w:rPr>
        <w:t>前</w:t>
      </w:r>
      <w:r>
        <w:rPr>
          <w:rStyle w:val="36"/>
          <w:rFonts w:ascii="方正小标宋简体" w:hAnsi="方正小标宋简体" w:eastAsia="方正小标宋简体" w:cs="方正小标宋简体"/>
          <w:b w:val="0"/>
        </w:rPr>
        <w:t xml:space="preserve">    </w:t>
      </w:r>
      <w:r>
        <w:rPr>
          <w:rStyle w:val="36"/>
          <w:rFonts w:hint="eastAsia" w:ascii="方正小标宋简体" w:hAnsi="方正小标宋简体" w:eastAsia="方正小标宋简体" w:cs="方正小标宋简体"/>
          <w:b w:val="0"/>
          <w:u w:val="none"/>
        </w:rPr>
        <w:t>言</w:t>
      </w:r>
      <w:r>
        <w:rPr>
          <w:b w:val="0"/>
        </w:rPr>
        <w:tab/>
      </w:r>
      <w:r>
        <w:rPr>
          <w:rFonts w:ascii="仿宋_GB2312" w:hAnsi="仿宋_GB2312" w:eastAsia="仿宋_GB2312" w:cs="仿宋_GB2312"/>
          <w:b w:val="0"/>
          <w:bCs w:val="0"/>
          <w:caps w:val="0"/>
        </w:rPr>
        <w:fldChar w:fldCharType="begin"/>
      </w:r>
      <w:r>
        <w:rPr>
          <w:rFonts w:ascii="仿宋_GB2312" w:hAnsi="仿宋_GB2312" w:eastAsia="仿宋_GB2312" w:cs="仿宋_GB2312"/>
          <w:b w:val="0"/>
          <w:bCs w:val="0"/>
          <w:caps w:val="0"/>
        </w:rPr>
        <w:instrText xml:space="preserve"> PAGEREF _Toc64542085 \h </w:instrText>
      </w:r>
      <w:r>
        <w:rPr>
          <w:rFonts w:ascii="仿宋_GB2312" w:hAnsi="仿宋_GB2312" w:eastAsia="仿宋_GB2312" w:cs="仿宋_GB2312"/>
          <w:b w:val="0"/>
          <w:bCs w:val="0"/>
          <w:caps w:val="0"/>
        </w:rPr>
        <w:fldChar w:fldCharType="separate"/>
      </w:r>
      <w:r>
        <w:rPr>
          <w:rFonts w:ascii="仿宋_GB2312" w:hAnsi="仿宋_GB2312" w:eastAsia="仿宋_GB2312" w:cs="仿宋_GB2312"/>
          <w:b w:val="0"/>
          <w:bCs w:val="0"/>
          <w:caps w:val="0"/>
        </w:rPr>
        <w:t>1</w:t>
      </w:r>
      <w:r>
        <w:rPr>
          <w:rFonts w:ascii="仿宋_GB2312" w:hAnsi="仿宋_GB2312" w:eastAsia="仿宋_GB2312" w:cs="仿宋_GB2312"/>
          <w:b w:val="0"/>
          <w:bCs w:val="0"/>
          <w:caps w:val="0"/>
        </w:rPr>
        <w:fldChar w:fldCharType="end"/>
      </w:r>
      <w:r>
        <w:rPr>
          <w:rFonts w:ascii="仿宋_GB2312" w:hAnsi="仿宋_GB2312" w:eastAsia="仿宋_GB2312" w:cs="仿宋_GB2312"/>
          <w:b w:val="0"/>
          <w:bCs w:val="0"/>
          <w:caps w:val="0"/>
        </w:rPr>
        <w:fldChar w:fldCharType="end"/>
      </w:r>
    </w:p>
    <w:p>
      <w:pPr>
        <w:pStyle w:val="21"/>
        <w:tabs>
          <w:tab w:val="right" w:leader="dot" w:pos="9062"/>
        </w:tabs>
        <w:rPr>
          <w:rFonts w:asciiTheme="minorHAnsi" w:hAnsiTheme="minorHAnsi" w:eastAsiaTheme="minorEastAsia" w:cstheme="minorBidi"/>
          <w:b w:val="0"/>
          <w:bCs w:val="0"/>
          <w:caps w:val="0"/>
          <w:sz w:val="21"/>
          <w:szCs w:val="22"/>
        </w:rPr>
      </w:pPr>
      <w:r>
        <w:fldChar w:fldCharType="begin"/>
      </w:r>
      <w:r>
        <w:instrText xml:space="preserve"> HYPERLINK \l "_Toc64542086" </w:instrText>
      </w:r>
      <w:r>
        <w:fldChar w:fldCharType="separate"/>
      </w:r>
      <w:r>
        <w:rPr>
          <w:rStyle w:val="36"/>
          <w:rFonts w:hint="eastAsia"/>
          <w:b w:val="0"/>
        </w:rPr>
        <w:t>第一篇</w:t>
      </w:r>
      <w:r>
        <w:rPr>
          <w:rStyle w:val="36"/>
          <w:b w:val="0"/>
        </w:rPr>
        <w:t xml:space="preserve">  </w:t>
      </w:r>
      <w:r>
        <w:rPr>
          <w:rStyle w:val="36"/>
          <w:rFonts w:hint="eastAsia"/>
          <w:b w:val="0"/>
        </w:rPr>
        <w:t>开启全面建设社会主义现代化新征程</w:t>
      </w:r>
      <w:r>
        <w:rPr>
          <w:b w:val="0"/>
        </w:rPr>
        <w:tab/>
      </w:r>
      <w:r>
        <w:rPr>
          <w:rFonts w:ascii="仿宋_GB2312" w:hAnsi="仿宋_GB2312" w:eastAsia="仿宋_GB2312" w:cs="仿宋_GB2312"/>
          <w:b w:val="0"/>
          <w:bCs w:val="0"/>
          <w:caps w:val="0"/>
        </w:rPr>
        <w:fldChar w:fldCharType="begin"/>
      </w:r>
      <w:r>
        <w:rPr>
          <w:rFonts w:ascii="仿宋_GB2312" w:hAnsi="仿宋_GB2312" w:eastAsia="仿宋_GB2312" w:cs="仿宋_GB2312"/>
          <w:b w:val="0"/>
          <w:bCs w:val="0"/>
          <w:caps w:val="0"/>
        </w:rPr>
        <w:instrText xml:space="preserve"> PAGEREF _Toc64542086 \h </w:instrText>
      </w:r>
      <w:r>
        <w:rPr>
          <w:rFonts w:ascii="仿宋_GB2312" w:hAnsi="仿宋_GB2312" w:eastAsia="仿宋_GB2312" w:cs="仿宋_GB2312"/>
          <w:b w:val="0"/>
          <w:bCs w:val="0"/>
          <w:caps w:val="0"/>
        </w:rPr>
        <w:fldChar w:fldCharType="separate"/>
      </w:r>
      <w:r>
        <w:rPr>
          <w:rFonts w:ascii="仿宋_GB2312" w:hAnsi="仿宋_GB2312" w:eastAsia="仿宋_GB2312" w:cs="仿宋_GB2312"/>
          <w:b w:val="0"/>
          <w:bCs w:val="0"/>
          <w:caps w:val="0"/>
        </w:rPr>
        <w:t>1</w:t>
      </w:r>
      <w:r>
        <w:rPr>
          <w:rFonts w:ascii="仿宋_GB2312" w:hAnsi="仿宋_GB2312" w:eastAsia="仿宋_GB2312" w:cs="仿宋_GB2312"/>
          <w:b w:val="0"/>
          <w:bCs w:val="0"/>
          <w:caps w:val="0"/>
        </w:rPr>
        <w:fldChar w:fldCharType="end"/>
      </w:r>
      <w:r>
        <w:rPr>
          <w:rFonts w:ascii="仿宋_GB2312" w:hAnsi="仿宋_GB2312" w:eastAsia="仿宋_GB2312" w:cs="仿宋_GB2312"/>
          <w:b w:val="0"/>
          <w:bCs w:val="0"/>
          <w:caps w:val="0"/>
        </w:rP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"_Toc64542087" </w:instrText>
      </w:r>
      <w:r>
        <w:fldChar w:fldCharType="separate"/>
      </w:r>
      <w:r>
        <w:rPr>
          <w:rStyle w:val="36"/>
          <w:rFonts w:hint="eastAsia"/>
          <w:b w:val="0"/>
        </w:rPr>
        <w:t>第一章</w:t>
      </w:r>
      <w:r>
        <w:rPr>
          <w:rStyle w:val="36"/>
          <w:b w:val="0"/>
        </w:rPr>
        <w:t xml:space="preserve">  </w:t>
      </w:r>
      <w:r>
        <w:rPr>
          <w:rStyle w:val="36"/>
          <w:rFonts w:hint="eastAsia"/>
          <w:b w:val="0"/>
        </w:rPr>
        <w:t>发展基础</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_Toc64542087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"_Toc64542088" </w:instrText>
      </w:r>
      <w:r>
        <w:fldChar w:fldCharType="separate"/>
      </w:r>
      <w:r>
        <w:rPr>
          <w:rStyle w:val="36"/>
          <w:rFonts w:hint="eastAsia"/>
          <w:b w:val="0"/>
        </w:rPr>
        <w:t>第二章</w:t>
      </w:r>
      <w:r>
        <w:rPr>
          <w:rStyle w:val="36"/>
          <w:b w:val="0"/>
        </w:rPr>
        <w:t xml:space="preserve">  </w:t>
      </w:r>
      <w:r>
        <w:rPr>
          <w:rStyle w:val="36"/>
          <w:rFonts w:hint="eastAsia"/>
          <w:b w:val="0"/>
        </w:rPr>
        <w:t>发展环境</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_Toc64542088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9</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"_Toc64542089" </w:instrText>
      </w:r>
      <w:r>
        <w:fldChar w:fldCharType="separate"/>
      </w:r>
      <w:r>
        <w:rPr>
          <w:rStyle w:val="36"/>
          <w:rFonts w:hint="eastAsia"/>
          <w:b w:val="0"/>
        </w:rPr>
        <w:t>第三章</w:t>
      </w:r>
      <w:r>
        <w:rPr>
          <w:rStyle w:val="36"/>
          <w:b w:val="0"/>
        </w:rPr>
        <w:t xml:space="preserve">  </w:t>
      </w:r>
      <w:r>
        <w:rPr>
          <w:rStyle w:val="36"/>
          <w:rFonts w:hint="eastAsia"/>
          <w:b w:val="0"/>
        </w:rPr>
        <w:t>远景目标</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_Toc64542089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12</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"_Toc64542090" </w:instrText>
      </w:r>
      <w:r>
        <w:fldChar w:fldCharType="separate"/>
      </w:r>
      <w:r>
        <w:rPr>
          <w:rStyle w:val="36"/>
          <w:rFonts w:hint="eastAsia"/>
          <w:b w:val="0"/>
        </w:rPr>
        <w:t>第四章</w:t>
      </w:r>
      <w:r>
        <w:rPr>
          <w:rStyle w:val="36"/>
          <w:b w:val="0"/>
        </w:rPr>
        <w:t xml:space="preserve">  </w:t>
      </w:r>
      <w:r>
        <w:rPr>
          <w:rStyle w:val="36"/>
          <w:rFonts w:hint="eastAsia"/>
          <w:b w:val="0"/>
        </w:rPr>
        <w:t>总体要求</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_Toc64542090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13</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"_Toc64542091"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指导思想</w:t>
      </w:r>
      <w:r>
        <w:tab/>
      </w:r>
      <w:r>
        <w:fldChar w:fldCharType="begin"/>
      </w:r>
      <w:r>
        <w:instrText xml:space="preserve"> PAGEREF _Toc64542091 \h </w:instrText>
      </w:r>
      <w:r>
        <w:fldChar w:fldCharType="separate"/>
      </w:r>
      <w:r>
        <w:t>13</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"_Toc64542092"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基本原则</w:t>
      </w:r>
      <w:r>
        <w:tab/>
      </w:r>
      <w:r>
        <w:fldChar w:fldCharType="begin"/>
      </w:r>
      <w:r>
        <w:instrText xml:space="preserve"> PAGEREF _Toc64542092 \h </w:instrText>
      </w:r>
      <w:r>
        <w:fldChar w:fldCharType="separate"/>
      </w:r>
      <w:r>
        <w:t>14</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"_Toc64542093"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发展定位</w:t>
      </w:r>
      <w:r>
        <w:tab/>
      </w:r>
      <w:r>
        <w:fldChar w:fldCharType="begin"/>
      </w:r>
      <w:r>
        <w:instrText xml:space="preserve"> PAGEREF _Toc64542093 \h </w:instrText>
      </w:r>
      <w:r>
        <w:fldChar w:fldCharType="separate"/>
      </w:r>
      <w:r>
        <w:t>15</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"_Toc64542094" </w:instrText>
      </w:r>
      <w:r>
        <w:fldChar w:fldCharType="separate"/>
      </w:r>
      <w:r>
        <w:rPr>
          <w:rStyle w:val="36"/>
          <w:rFonts w:hint="eastAsia" w:ascii="楷体_GB2312" w:eastAsia="楷体_GB2312"/>
        </w:rPr>
        <w:t>第四节</w:t>
      </w:r>
      <w:r>
        <w:rPr>
          <w:rStyle w:val="36"/>
          <w:rFonts w:ascii="楷体_GB2312" w:eastAsia="楷体_GB2312"/>
        </w:rPr>
        <w:t xml:space="preserve">  </w:t>
      </w:r>
      <w:r>
        <w:rPr>
          <w:rStyle w:val="36"/>
          <w:rFonts w:hint="eastAsia" w:ascii="楷体_GB2312" w:eastAsia="楷体_GB2312"/>
        </w:rPr>
        <w:t>主要目标</w:t>
      </w:r>
      <w:r>
        <w:tab/>
      </w:r>
      <w:r>
        <w:fldChar w:fldCharType="begin"/>
      </w:r>
      <w:r>
        <w:instrText xml:space="preserve"> PAGEREF _Toc64542094 \h </w:instrText>
      </w:r>
      <w:r>
        <w:fldChar w:fldCharType="separate"/>
      </w:r>
      <w:r>
        <w:t>17</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"_Toc64542095" </w:instrText>
      </w:r>
      <w:r>
        <w:fldChar w:fldCharType="separate"/>
      </w:r>
      <w:r>
        <w:rPr>
          <w:rStyle w:val="36"/>
          <w:rFonts w:hint="eastAsia"/>
          <w:b w:val="0"/>
        </w:rPr>
        <w:t>第五章</w:t>
      </w:r>
      <w:r>
        <w:rPr>
          <w:rStyle w:val="36"/>
          <w:b w:val="0"/>
        </w:rPr>
        <w:t xml:space="preserve">  </w:t>
      </w:r>
      <w:r>
        <w:rPr>
          <w:rStyle w:val="36"/>
          <w:rFonts w:hint="eastAsia"/>
          <w:b w:val="0"/>
        </w:rPr>
        <w:t>战略布局</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_Toc64542095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21</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"_Toc64542096"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产业布局</w:t>
      </w:r>
      <w:r>
        <w:tab/>
      </w:r>
      <w:r>
        <w:fldChar w:fldCharType="begin"/>
      </w:r>
      <w:r>
        <w:instrText xml:space="preserve"> PAGEREF _Toc64542096 \h </w:instrText>
      </w:r>
      <w:r>
        <w:fldChar w:fldCharType="separate"/>
      </w:r>
      <w:r>
        <w:t>21</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"_Toc64542097"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空间布局</w:t>
      </w:r>
      <w:r>
        <w:tab/>
      </w:r>
      <w:r>
        <w:fldChar w:fldCharType="begin"/>
      </w:r>
      <w:r>
        <w:instrText xml:space="preserve"> PAGEREF _Toc64542097 \h </w:instrText>
      </w:r>
      <w:r>
        <w:fldChar w:fldCharType="separate"/>
      </w:r>
      <w:r>
        <w:t>22</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"_Toc64542098"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生态布局</w:t>
      </w:r>
      <w:r>
        <w:tab/>
      </w:r>
      <w:r>
        <w:fldChar w:fldCharType="begin"/>
      </w:r>
      <w:r>
        <w:instrText xml:space="preserve"> PAGEREF _Toc64542098 \h </w:instrText>
      </w:r>
      <w:r>
        <w:fldChar w:fldCharType="separate"/>
      </w:r>
      <w:r>
        <w:t>23</w:t>
      </w:r>
      <w:r>
        <w:fldChar w:fldCharType="end"/>
      </w:r>
      <w:r>
        <w:fldChar w:fldCharType="end"/>
      </w:r>
    </w:p>
    <w:p>
      <w:pPr>
        <w:pStyle w:val="21"/>
        <w:tabs>
          <w:tab w:val="right" w:leader="dot" w:pos="9062"/>
        </w:tabs>
        <w:rPr>
          <w:rFonts w:asciiTheme="minorHAnsi" w:hAnsiTheme="minorHAnsi" w:eastAsiaTheme="minorEastAsia" w:cstheme="minorBidi"/>
          <w:b w:val="0"/>
          <w:bCs w:val="0"/>
          <w:caps w:val="0"/>
          <w:sz w:val="21"/>
          <w:szCs w:val="22"/>
        </w:rPr>
      </w:pPr>
      <w:r>
        <w:fldChar w:fldCharType="begin"/>
      </w:r>
      <w:r>
        <w:instrText xml:space="preserve"> HYPERLINK \l "_Toc64542099" </w:instrText>
      </w:r>
      <w:r>
        <w:fldChar w:fldCharType="separate"/>
      </w:r>
      <w:r>
        <w:rPr>
          <w:rStyle w:val="36"/>
          <w:rFonts w:hint="eastAsia"/>
          <w:b w:val="0"/>
        </w:rPr>
        <w:t>第二篇</w:t>
      </w:r>
      <w:r>
        <w:rPr>
          <w:rStyle w:val="36"/>
          <w:b w:val="0"/>
        </w:rPr>
        <w:t xml:space="preserve">  </w:t>
      </w:r>
      <w:r>
        <w:rPr>
          <w:rStyle w:val="36"/>
          <w:rFonts w:hint="eastAsia"/>
          <w:b w:val="0"/>
        </w:rPr>
        <w:t>加快建设区域创新高地</w:t>
      </w:r>
      <w:r>
        <w:rPr>
          <w:b w:val="0"/>
        </w:rPr>
        <w:tab/>
      </w:r>
      <w:r>
        <w:rPr>
          <w:rFonts w:ascii="仿宋_GB2312" w:hAnsi="仿宋_GB2312" w:eastAsia="仿宋_GB2312" w:cs="仿宋_GB2312"/>
          <w:b w:val="0"/>
          <w:bCs w:val="0"/>
          <w:caps w:val="0"/>
        </w:rPr>
        <w:fldChar w:fldCharType="begin"/>
      </w:r>
      <w:r>
        <w:rPr>
          <w:rFonts w:ascii="仿宋_GB2312" w:hAnsi="仿宋_GB2312" w:eastAsia="仿宋_GB2312" w:cs="仿宋_GB2312"/>
          <w:b w:val="0"/>
          <w:bCs w:val="0"/>
          <w:caps w:val="0"/>
        </w:rPr>
        <w:instrText xml:space="preserve"> PAGEREF _Toc64542099 \h </w:instrText>
      </w:r>
      <w:r>
        <w:rPr>
          <w:rFonts w:ascii="仿宋_GB2312" w:hAnsi="仿宋_GB2312" w:eastAsia="仿宋_GB2312" w:cs="仿宋_GB2312"/>
          <w:b w:val="0"/>
          <w:bCs w:val="0"/>
          <w:caps w:val="0"/>
        </w:rPr>
        <w:fldChar w:fldCharType="separate"/>
      </w:r>
      <w:r>
        <w:rPr>
          <w:rFonts w:ascii="仿宋_GB2312" w:hAnsi="仿宋_GB2312" w:eastAsia="仿宋_GB2312" w:cs="仿宋_GB2312"/>
          <w:b w:val="0"/>
          <w:bCs w:val="0"/>
          <w:caps w:val="0"/>
        </w:rPr>
        <w:t>24</w:t>
      </w:r>
      <w:r>
        <w:rPr>
          <w:rFonts w:ascii="仿宋_GB2312" w:hAnsi="仿宋_GB2312" w:eastAsia="仿宋_GB2312" w:cs="仿宋_GB2312"/>
          <w:b w:val="0"/>
          <w:bCs w:val="0"/>
          <w:caps w:val="0"/>
        </w:rPr>
        <w:fldChar w:fldCharType="end"/>
      </w:r>
      <w:r>
        <w:rPr>
          <w:rFonts w:ascii="仿宋_GB2312" w:hAnsi="仿宋_GB2312" w:eastAsia="仿宋_GB2312" w:cs="仿宋_GB2312"/>
          <w:b w:val="0"/>
          <w:bCs w:val="0"/>
          <w:caps w:val="0"/>
        </w:rP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"_Toc64542100" </w:instrText>
      </w:r>
      <w:r>
        <w:fldChar w:fldCharType="separate"/>
      </w:r>
      <w:r>
        <w:rPr>
          <w:rStyle w:val="36"/>
          <w:rFonts w:hint="eastAsia"/>
          <w:b w:val="0"/>
        </w:rPr>
        <w:t>第六章</w:t>
      </w:r>
      <w:r>
        <w:rPr>
          <w:rStyle w:val="36"/>
          <w:b w:val="0"/>
        </w:rPr>
        <w:t xml:space="preserve">  </w:t>
      </w:r>
      <w:r>
        <w:rPr>
          <w:rStyle w:val="36"/>
          <w:rFonts w:hint="eastAsia"/>
          <w:b w:val="0"/>
        </w:rPr>
        <w:t>坚持人才优先发展</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_Toc64542100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24</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"_Toc64542101"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建设高端人才集聚区</w:t>
      </w:r>
      <w:r>
        <w:tab/>
      </w:r>
      <w:r>
        <w:fldChar w:fldCharType="begin"/>
      </w:r>
      <w:r>
        <w:instrText xml:space="preserve"> PAGEREF _Toc64542101 \h </w:instrText>
      </w:r>
      <w:r>
        <w:fldChar w:fldCharType="separate"/>
      </w:r>
      <w:r>
        <w:t>24</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"_Toc64542102"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壮大企业家和技能人才队伍</w:t>
      </w:r>
      <w:r>
        <w:tab/>
      </w:r>
      <w:r>
        <w:fldChar w:fldCharType="begin"/>
      </w:r>
      <w:r>
        <w:instrText xml:space="preserve"> PAGEREF _Toc64542102 \h </w:instrText>
      </w:r>
      <w:r>
        <w:fldChar w:fldCharType="separate"/>
      </w:r>
      <w:r>
        <w:t>25</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"_Toc64542103" </w:instrText>
      </w:r>
      <w:r>
        <w:fldChar w:fldCharType="separate"/>
      </w:r>
      <w:r>
        <w:rPr>
          <w:rStyle w:val="36"/>
          <w:rFonts w:hint="eastAsia" w:ascii="楷体_GB2312" w:eastAsia="楷体_GB2312"/>
        </w:rPr>
        <w:t>第三节  打造成就人才的生态体系</w:t>
      </w:r>
      <w:r>
        <w:tab/>
      </w:r>
      <w:r>
        <w:fldChar w:fldCharType="begin"/>
      </w:r>
      <w:r>
        <w:instrText xml:space="preserve"> PAGEREF _Toc64542103 \h </w:instrText>
      </w:r>
      <w:r>
        <w:fldChar w:fldCharType="separate"/>
      </w:r>
      <w:r>
        <w:t>25</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"_Toc64542104" </w:instrText>
      </w:r>
      <w:r>
        <w:fldChar w:fldCharType="separate"/>
      </w:r>
      <w:r>
        <w:rPr>
          <w:rStyle w:val="36"/>
          <w:rFonts w:hint="eastAsia"/>
          <w:b w:val="0"/>
        </w:rPr>
        <w:t>第七章</w:t>
      </w:r>
      <w:r>
        <w:rPr>
          <w:rStyle w:val="36"/>
          <w:b w:val="0"/>
        </w:rPr>
        <w:t xml:space="preserve">  </w:t>
      </w:r>
      <w:r>
        <w:rPr>
          <w:rStyle w:val="36"/>
          <w:rFonts w:hint="eastAsia"/>
          <w:b w:val="0"/>
        </w:rPr>
        <w:t>提升创新发展能级</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_Toc64542104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27</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"_Toc64542105"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打造赣江两岸科创大走廊</w:t>
      </w:r>
      <w:r>
        <w:tab/>
      </w:r>
      <w:r>
        <w:fldChar w:fldCharType="begin"/>
      </w:r>
      <w:r>
        <w:instrText xml:space="preserve"> PAGEREF _Toc64542105 \h </w:instrText>
      </w:r>
      <w:r>
        <w:fldChar w:fldCharType="separate"/>
      </w:r>
      <w:r>
        <w:t>27</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"_Toc64542106"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培育发展高能级创新平台</w:t>
      </w:r>
      <w:r>
        <w:tab/>
      </w:r>
      <w:r>
        <w:fldChar w:fldCharType="begin"/>
      </w:r>
      <w:r>
        <w:instrText xml:space="preserve"> PAGEREF _Toc64542106 \h </w:instrText>
      </w:r>
      <w:r>
        <w:fldChar w:fldCharType="separate"/>
      </w:r>
      <w:r>
        <w:t>28</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"_Toc64542107"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强化国家科技战略力量</w:t>
      </w:r>
      <w:r>
        <w:tab/>
      </w:r>
      <w:r>
        <w:fldChar w:fldCharType="begin"/>
      </w:r>
      <w:r>
        <w:instrText xml:space="preserve"> PAGEREF _Toc64542107 \h </w:instrText>
      </w:r>
      <w:r>
        <w:fldChar w:fldCharType="separate"/>
      </w:r>
      <w:r>
        <w:t>29</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"_Toc64542108" </w:instrText>
      </w:r>
      <w:r>
        <w:fldChar w:fldCharType="separate"/>
      </w:r>
      <w:r>
        <w:rPr>
          <w:rStyle w:val="36"/>
          <w:rFonts w:hint="eastAsia" w:ascii="楷体_GB2312" w:eastAsia="楷体_GB2312"/>
        </w:rPr>
        <w:t>第四节</w:t>
      </w:r>
      <w:r>
        <w:rPr>
          <w:rStyle w:val="36"/>
          <w:rFonts w:ascii="楷体_GB2312" w:eastAsia="楷体_GB2312"/>
        </w:rPr>
        <w:t xml:space="preserve">  </w:t>
      </w:r>
      <w:r>
        <w:rPr>
          <w:rStyle w:val="36"/>
          <w:rFonts w:hint="eastAsia" w:ascii="楷体_GB2312" w:eastAsia="楷体_GB2312"/>
        </w:rPr>
        <w:t>推进高层次创新开放合作</w:t>
      </w:r>
      <w:r>
        <w:tab/>
      </w:r>
      <w:r>
        <w:fldChar w:fldCharType="begin"/>
      </w:r>
      <w:r>
        <w:instrText xml:space="preserve"> PAGEREF _Toc64542108 \h </w:instrText>
      </w:r>
      <w:r>
        <w:fldChar w:fldCharType="separate"/>
      </w:r>
      <w:r>
        <w:t>30</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"_Toc64542109" </w:instrText>
      </w:r>
      <w:r>
        <w:fldChar w:fldCharType="separate"/>
      </w:r>
      <w:r>
        <w:rPr>
          <w:rStyle w:val="36"/>
          <w:rFonts w:hint="eastAsia"/>
          <w:b w:val="0"/>
        </w:rPr>
        <w:t>第八章</w:t>
      </w:r>
      <w:r>
        <w:rPr>
          <w:rStyle w:val="36"/>
          <w:b w:val="0"/>
        </w:rPr>
        <w:t xml:space="preserve">  </w:t>
      </w:r>
      <w:r>
        <w:rPr>
          <w:rStyle w:val="36"/>
          <w:rFonts w:hint="eastAsia"/>
          <w:b w:val="0"/>
        </w:rPr>
        <w:t>构建以企业为主体的技术创新体系</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_Toc64542109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30</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"_Toc64542110"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全力夯实企业创新主体地位</w:t>
      </w:r>
      <w:r>
        <w:tab/>
      </w:r>
      <w:r>
        <w:fldChar w:fldCharType="begin"/>
      </w:r>
      <w:r>
        <w:instrText xml:space="preserve"> PAGEREF _Toc64542110 \h </w:instrText>
      </w:r>
      <w:r>
        <w:fldChar w:fldCharType="separate"/>
      </w:r>
      <w:r>
        <w:t>30</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"_Toc64542111"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强化创新成果转移转化</w:t>
      </w:r>
      <w:r>
        <w:tab/>
      </w:r>
      <w:r>
        <w:fldChar w:fldCharType="begin"/>
      </w:r>
      <w:r>
        <w:instrText xml:space="preserve"> PAGEREF _Toc64542111 \h </w:instrText>
      </w:r>
      <w:r>
        <w:fldChar w:fldCharType="separate"/>
      </w:r>
      <w:r>
        <w:t>32</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"_Toc64542112" </w:instrText>
      </w:r>
      <w:r>
        <w:fldChar w:fldCharType="separate"/>
      </w:r>
      <w:r>
        <w:rPr>
          <w:rStyle w:val="36"/>
          <w:rFonts w:hint="eastAsia"/>
          <w:b w:val="0"/>
        </w:rPr>
        <w:t>第九章</w:t>
      </w:r>
      <w:r>
        <w:rPr>
          <w:rStyle w:val="36"/>
          <w:b w:val="0"/>
        </w:rPr>
        <w:t xml:space="preserve">  </w:t>
      </w:r>
      <w:r>
        <w:rPr>
          <w:rStyle w:val="36"/>
          <w:rFonts w:hint="eastAsia"/>
          <w:b w:val="0"/>
        </w:rPr>
        <w:t>营造良好创新生态</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_Toc64542112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32</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"_Toc64542113"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完善科技创新体制机制</w:t>
      </w:r>
      <w:r>
        <w:tab/>
      </w:r>
      <w:r>
        <w:fldChar w:fldCharType="begin"/>
      </w:r>
      <w:r>
        <w:instrText xml:space="preserve"> PAGEREF _Toc64542113 \h </w:instrText>
      </w:r>
      <w:r>
        <w:fldChar w:fldCharType="separate"/>
      </w:r>
      <w:r>
        <w:t>32</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"_Toc64542114"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建立多元化创新投入机制</w:t>
      </w:r>
      <w:r>
        <w:tab/>
      </w:r>
      <w:r>
        <w:fldChar w:fldCharType="begin"/>
      </w:r>
      <w:r>
        <w:instrText xml:space="preserve"> PAGEREF _Toc64542114 \h </w:instrText>
      </w:r>
      <w:r>
        <w:fldChar w:fldCharType="separate"/>
      </w:r>
      <w:r>
        <w:t>33</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"_Toc64542115"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建设知识产权强市</w:t>
      </w:r>
      <w:r>
        <w:tab/>
      </w:r>
      <w:r>
        <w:fldChar w:fldCharType="begin"/>
      </w:r>
      <w:r>
        <w:instrText xml:space="preserve"> PAGEREF _Toc64542115 \h </w:instrText>
      </w:r>
      <w:r>
        <w:fldChar w:fldCharType="separate"/>
      </w:r>
      <w:r>
        <w:t>33</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"_Toc64542116" </w:instrText>
      </w:r>
      <w:r>
        <w:fldChar w:fldCharType="separate"/>
      </w:r>
      <w:r>
        <w:rPr>
          <w:rStyle w:val="36"/>
          <w:rFonts w:hint="eastAsia" w:ascii="楷体_GB2312" w:eastAsia="楷体_GB2312"/>
        </w:rPr>
        <w:t>第四节</w:t>
      </w:r>
      <w:r>
        <w:rPr>
          <w:rStyle w:val="36"/>
          <w:rFonts w:ascii="楷体_GB2312" w:eastAsia="楷体_GB2312"/>
        </w:rPr>
        <w:t xml:space="preserve">  </w:t>
      </w:r>
      <w:r>
        <w:rPr>
          <w:rStyle w:val="36"/>
          <w:rFonts w:hint="eastAsia" w:ascii="楷体_GB2312" w:eastAsia="楷体_GB2312"/>
        </w:rPr>
        <w:t>营造良好创新创业氛围</w:t>
      </w:r>
      <w:r>
        <w:tab/>
      </w:r>
      <w:r>
        <w:fldChar w:fldCharType="begin"/>
      </w:r>
      <w:r>
        <w:instrText xml:space="preserve"> PAGEREF _Toc64542116 \h </w:instrText>
      </w:r>
      <w:r>
        <w:fldChar w:fldCharType="separate"/>
      </w:r>
      <w:r>
        <w:t>34</w:t>
      </w:r>
      <w:r>
        <w:fldChar w:fldCharType="end"/>
      </w:r>
      <w:r>
        <w:fldChar w:fldCharType="end"/>
      </w:r>
    </w:p>
    <w:p>
      <w:pPr>
        <w:pStyle w:val="21"/>
        <w:tabs>
          <w:tab w:val="right" w:leader="dot" w:pos="9062"/>
        </w:tabs>
        <w:rPr>
          <w:rFonts w:asciiTheme="minorHAnsi" w:hAnsiTheme="minorHAnsi" w:eastAsiaTheme="minorEastAsia" w:cstheme="minorBidi"/>
          <w:b w:val="0"/>
          <w:bCs w:val="0"/>
          <w:caps w:val="0"/>
          <w:sz w:val="21"/>
          <w:szCs w:val="22"/>
        </w:rPr>
      </w:pPr>
      <w:r>
        <w:fldChar w:fldCharType="begin"/>
      </w:r>
      <w:r>
        <w:instrText xml:space="preserve"> HYPERLINK \l "_Toc64542117" </w:instrText>
      </w:r>
      <w:r>
        <w:fldChar w:fldCharType="separate"/>
      </w:r>
      <w:r>
        <w:rPr>
          <w:rStyle w:val="36"/>
          <w:rFonts w:hint="eastAsia"/>
          <w:b w:val="0"/>
        </w:rPr>
        <w:t>第三篇</w:t>
      </w:r>
      <w:r>
        <w:rPr>
          <w:rStyle w:val="36"/>
          <w:b w:val="0"/>
        </w:rPr>
        <w:t xml:space="preserve">  </w:t>
      </w:r>
      <w:r>
        <w:rPr>
          <w:rStyle w:val="36"/>
          <w:rFonts w:hint="eastAsia"/>
          <w:b w:val="0"/>
        </w:rPr>
        <w:t>建设数字南昌</w:t>
      </w:r>
      <w:r>
        <w:rPr>
          <w:b w:val="0"/>
        </w:rPr>
        <w:tab/>
      </w:r>
      <w:r>
        <w:rPr>
          <w:rFonts w:ascii="仿宋_GB2312" w:hAnsi="仿宋_GB2312" w:eastAsia="仿宋_GB2312" w:cs="仿宋_GB2312"/>
          <w:b w:val="0"/>
          <w:bCs w:val="0"/>
          <w:caps w:val="0"/>
        </w:rPr>
        <w:fldChar w:fldCharType="begin"/>
      </w:r>
      <w:r>
        <w:rPr>
          <w:rFonts w:ascii="仿宋_GB2312" w:hAnsi="仿宋_GB2312" w:eastAsia="仿宋_GB2312" w:cs="仿宋_GB2312"/>
          <w:b w:val="0"/>
          <w:bCs w:val="0"/>
          <w:caps w:val="0"/>
        </w:rPr>
        <w:instrText xml:space="preserve"> PAGEREF _Toc64542117 \h </w:instrText>
      </w:r>
      <w:r>
        <w:rPr>
          <w:rFonts w:ascii="仿宋_GB2312" w:hAnsi="仿宋_GB2312" w:eastAsia="仿宋_GB2312" w:cs="仿宋_GB2312"/>
          <w:b w:val="0"/>
          <w:bCs w:val="0"/>
          <w:caps w:val="0"/>
        </w:rPr>
        <w:fldChar w:fldCharType="separate"/>
      </w:r>
      <w:r>
        <w:rPr>
          <w:rFonts w:ascii="仿宋_GB2312" w:hAnsi="仿宋_GB2312" w:eastAsia="仿宋_GB2312" w:cs="仿宋_GB2312"/>
          <w:b w:val="0"/>
          <w:bCs w:val="0"/>
          <w:caps w:val="0"/>
        </w:rPr>
        <w:t>35</w:t>
      </w:r>
      <w:r>
        <w:rPr>
          <w:rFonts w:ascii="仿宋_GB2312" w:hAnsi="仿宋_GB2312" w:eastAsia="仿宋_GB2312" w:cs="仿宋_GB2312"/>
          <w:b w:val="0"/>
          <w:bCs w:val="0"/>
          <w:caps w:val="0"/>
        </w:rPr>
        <w:fldChar w:fldCharType="end"/>
      </w:r>
      <w:r>
        <w:rPr>
          <w:rFonts w:ascii="仿宋_GB2312" w:hAnsi="仿宋_GB2312" w:eastAsia="仿宋_GB2312" w:cs="仿宋_GB2312"/>
          <w:b w:val="0"/>
          <w:bCs w:val="0"/>
          <w:caps w:val="0"/>
        </w:rP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"_Toc64542118" </w:instrText>
      </w:r>
      <w:r>
        <w:fldChar w:fldCharType="separate"/>
      </w:r>
      <w:r>
        <w:rPr>
          <w:rStyle w:val="36"/>
          <w:rFonts w:hint="eastAsia"/>
          <w:b w:val="0"/>
          <w:kern w:val="0"/>
        </w:rPr>
        <w:t>第十章</w:t>
      </w:r>
      <w:r>
        <w:rPr>
          <w:rStyle w:val="36"/>
          <w:b w:val="0"/>
          <w:kern w:val="0"/>
        </w:rPr>
        <w:t xml:space="preserve">  </w:t>
      </w:r>
      <w:r>
        <w:rPr>
          <w:rStyle w:val="36"/>
          <w:rFonts w:hint="eastAsia"/>
          <w:b w:val="0"/>
          <w:kern w:val="0"/>
        </w:rPr>
        <w:t>全面</w:t>
      </w:r>
      <w:r>
        <w:rPr>
          <w:rStyle w:val="36"/>
          <w:rFonts w:hint="eastAsia"/>
          <w:b w:val="0"/>
        </w:rPr>
        <w:t>实施数字经济“一号工程”</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_Toc64542118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35</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"_Toc64542119"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优化数字经济发展布局</w:t>
      </w:r>
      <w:r>
        <w:tab/>
      </w:r>
      <w:r>
        <w:fldChar w:fldCharType="begin"/>
      </w:r>
      <w:r>
        <w:instrText xml:space="preserve"> PAGEREF _Toc64542119 \h </w:instrText>
      </w:r>
      <w:r>
        <w:fldChar w:fldCharType="separate"/>
      </w:r>
      <w:r>
        <w:t>35</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"_Toc64542120"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推进数字产业化</w:t>
      </w:r>
      <w:r>
        <w:tab/>
      </w:r>
      <w:r>
        <w:fldChar w:fldCharType="begin"/>
      </w:r>
      <w:r>
        <w:instrText xml:space="preserve"> PAGEREF _Toc64542120 \h </w:instrText>
      </w:r>
      <w:r>
        <w:fldChar w:fldCharType="separate"/>
      </w:r>
      <w:r>
        <w:t>37</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"_Toc64542121"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推进产业数字化</w:t>
      </w:r>
      <w:r>
        <w:tab/>
      </w:r>
      <w:r>
        <w:fldChar w:fldCharType="begin"/>
      </w:r>
      <w:r>
        <w:instrText xml:space="preserve"> PAGEREF _Toc64542121 \h </w:instrText>
      </w:r>
      <w:r>
        <w:fldChar w:fldCharType="separate"/>
      </w:r>
      <w:r>
        <w:t>38</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"_Toc64542122" </w:instrText>
      </w:r>
      <w:r>
        <w:fldChar w:fldCharType="separate"/>
      </w:r>
      <w:r>
        <w:rPr>
          <w:rStyle w:val="36"/>
          <w:rFonts w:hint="eastAsia" w:ascii="楷体_GB2312" w:eastAsia="楷体_GB2312"/>
        </w:rPr>
        <w:t>第四节</w:t>
      </w:r>
      <w:r>
        <w:rPr>
          <w:rStyle w:val="36"/>
          <w:rFonts w:ascii="楷体_GB2312" w:eastAsia="楷体_GB2312"/>
        </w:rPr>
        <w:t xml:space="preserve">  </w:t>
      </w:r>
      <w:r>
        <w:rPr>
          <w:rStyle w:val="36"/>
          <w:rFonts w:hint="eastAsia" w:ascii="楷体_GB2312" w:eastAsia="楷体_GB2312"/>
        </w:rPr>
        <w:t>加快信息基础设施建设</w:t>
      </w:r>
      <w:r>
        <w:tab/>
      </w:r>
      <w:r>
        <w:fldChar w:fldCharType="begin"/>
      </w:r>
      <w:r>
        <w:instrText xml:space="preserve"> PAGEREF _Toc64542122 \h </w:instrText>
      </w:r>
      <w:r>
        <w:fldChar w:fldCharType="separate"/>
      </w:r>
      <w:r>
        <w:t>39</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"_Toc64542123" </w:instrText>
      </w:r>
      <w:r>
        <w:fldChar w:fldCharType="separate"/>
      </w:r>
      <w:r>
        <w:rPr>
          <w:rStyle w:val="36"/>
          <w:rFonts w:hint="eastAsia"/>
          <w:b w:val="0"/>
        </w:rPr>
        <w:t>第十一章</w:t>
      </w:r>
      <w:r>
        <w:rPr>
          <w:rStyle w:val="36"/>
          <w:b w:val="0"/>
        </w:rPr>
        <w:t xml:space="preserve">  </w:t>
      </w:r>
      <w:r>
        <w:rPr>
          <w:rStyle w:val="36"/>
          <w:rFonts w:hint="eastAsia"/>
          <w:b w:val="0"/>
        </w:rPr>
        <w:t>提高数字政府建设水平</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_Toc64542123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41</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"_Toc64542124"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高标准建设“城市大脑”</w:t>
      </w:r>
      <w:r>
        <w:tab/>
      </w:r>
      <w:r>
        <w:fldChar w:fldCharType="begin"/>
      </w:r>
      <w:r>
        <w:instrText xml:space="preserve"> PAGEREF _Toc64542124 \h </w:instrText>
      </w:r>
      <w:r>
        <w:fldChar w:fldCharType="separate"/>
      </w:r>
      <w:r>
        <w:t>41</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"_Toc64542125"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促进公共数据开放共用</w:t>
      </w:r>
      <w:r>
        <w:tab/>
      </w:r>
      <w:r>
        <w:fldChar w:fldCharType="begin"/>
      </w:r>
      <w:r>
        <w:instrText xml:space="preserve"> PAGEREF _Toc64542125 \h </w:instrText>
      </w:r>
      <w:r>
        <w:fldChar w:fldCharType="separate"/>
      </w:r>
      <w:r>
        <w:t>42</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"_Toc64542126"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提升政府数字化服务效能</w:t>
      </w:r>
      <w:r>
        <w:tab/>
      </w:r>
      <w:r>
        <w:fldChar w:fldCharType="begin"/>
      </w:r>
      <w:r>
        <w:instrText xml:space="preserve"> PAGEREF _Toc64542126 \h </w:instrText>
      </w:r>
      <w:r>
        <w:fldChar w:fldCharType="separate"/>
      </w:r>
      <w:r>
        <w:t>42</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"_Toc64542127" </w:instrText>
      </w:r>
      <w:r>
        <w:fldChar w:fldCharType="separate"/>
      </w:r>
      <w:r>
        <w:rPr>
          <w:rStyle w:val="36"/>
          <w:rFonts w:hint="eastAsia"/>
          <w:b w:val="0"/>
        </w:rPr>
        <w:t>第十二章</w:t>
      </w:r>
      <w:r>
        <w:rPr>
          <w:rStyle w:val="36"/>
          <w:b w:val="0"/>
        </w:rPr>
        <w:t xml:space="preserve">  </w:t>
      </w:r>
      <w:r>
        <w:rPr>
          <w:rStyle w:val="36"/>
          <w:rFonts w:hint="eastAsia"/>
          <w:b w:val="0"/>
        </w:rPr>
        <w:t>加快数字社会建设</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_Toc64542127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43</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"_Toc64542128"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建设新型智慧城市</w:t>
      </w:r>
      <w:r>
        <w:tab/>
      </w:r>
      <w:r>
        <w:fldChar w:fldCharType="begin"/>
      </w:r>
      <w:r>
        <w:instrText xml:space="preserve"> PAGEREF _Toc64542128 \h </w:instrText>
      </w:r>
      <w:r>
        <w:fldChar w:fldCharType="separate"/>
      </w:r>
      <w:r>
        <w:t>43</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"_Toc64542129"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加快数字乡村建设</w:t>
      </w:r>
      <w:r>
        <w:tab/>
      </w:r>
      <w:r>
        <w:fldChar w:fldCharType="begin"/>
      </w:r>
      <w:r>
        <w:instrText xml:space="preserve"> PAGEREF _Toc64542129 \h </w:instrText>
      </w:r>
      <w:r>
        <w:fldChar w:fldCharType="separate"/>
      </w:r>
      <w:r>
        <w:t>45</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"_Toc64542130"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提升全民数字技能</w:t>
      </w:r>
      <w:r>
        <w:tab/>
      </w:r>
      <w:r>
        <w:fldChar w:fldCharType="begin"/>
      </w:r>
      <w:r>
        <w:instrText xml:space="preserve"> PAGEREF _Toc64542130 \h </w:instrText>
      </w:r>
      <w:r>
        <w:fldChar w:fldCharType="separate"/>
      </w:r>
      <w:r>
        <w:t>45</w:t>
      </w:r>
      <w:r>
        <w:fldChar w:fldCharType="end"/>
      </w:r>
      <w:r>
        <w:fldChar w:fldCharType="end"/>
      </w:r>
    </w:p>
    <w:p>
      <w:pPr>
        <w:pStyle w:val="21"/>
        <w:tabs>
          <w:tab w:val="right" w:leader="dot" w:pos="9062"/>
        </w:tabs>
        <w:rPr>
          <w:rFonts w:asciiTheme="minorHAnsi" w:hAnsiTheme="minorHAnsi" w:eastAsiaTheme="minorEastAsia" w:cstheme="minorBidi"/>
          <w:b w:val="0"/>
          <w:bCs w:val="0"/>
          <w:caps w:val="0"/>
          <w:sz w:val="21"/>
          <w:szCs w:val="22"/>
        </w:rPr>
      </w:pPr>
      <w:r>
        <w:fldChar w:fldCharType="begin"/>
      </w:r>
      <w:r>
        <w:instrText xml:space="preserve"> HYPERLINK \l "_Toc64542131" </w:instrText>
      </w:r>
      <w:r>
        <w:fldChar w:fldCharType="separate"/>
      </w:r>
      <w:r>
        <w:rPr>
          <w:rStyle w:val="36"/>
          <w:rFonts w:hint="eastAsia"/>
          <w:b w:val="0"/>
        </w:rPr>
        <w:t>第四篇</w:t>
      </w:r>
      <w:r>
        <w:rPr>
          <w:rStyle w:val="36"/>
          <w:b w:val="0"/>
        </w:rPr>
        <w:t xml:space="preserve">  </w:t>
      </w:r>
      <w:r>
        <w:rPr>
          <w:rStyle w:val="36"/>
          <w:rFonts w:hint="eastAsia"/>
          <w:b w:val="0"/>
        </w:rPr>
        <w:t>发展现代产业体系</w:t>
      </w:r>
      <w:r>
        <w:rPr>
          <w:b w:val="0"/>
        </w:rPr>
        <w:tab/>
      </w:r>
      <w:r>
        <w:rPr>
          <w:rFonts w:ascii="仿宋_GB2312" w:hAnsi="仿宋_GB2312" w:eastAsia="仿宋_GB2312" w:cs="仿宋_GB2312"/>
          <w:b w:val="0"/>
          <w:bCs w:val="0"/>
          <w:caps w:val="0"/>
        </w:rPr>
        <w:fldChar w:fldCharType="begin"/>
      </w:r>
      <w:r>
        <w:rPr>
          <w:rFonts w:ascii="仿宋_GB2312" w:hAnsi="仿宋_GB2312" w:eastAsia="仿宋_GB2312" w:cs="仿宋_GB2312"/>
          <w:b w:val="0"/>
          <w:bCs w:val="0"/>
          <w:caps w:val="0"/>
        </w:rPr>
        <w:instrText xml:space="preserve"> PAGEREF _Toc64542131 \h </w:instrText>
      </w:r>
      <w:r>
        <w:rPr>
          <w:rFonts w:ascii="仿宋_GB2312" w:hAnsi="仿宋_GB2312" w:eastAsia="仿宋_GB2312" w:cs="仿宋_GB2312"/>
          <w:b w:val="0"/>
          <w:bCs w:val="0"/>
          <w:caps w:val="0"/>
        </w:rPr>
        <w:fldChar w:fldCharType="separate"/>
      </w:r>
      <w:r>
        <w:rPr>
          <w:rFonts w:ascii="仿宋_GB2312" w:hAnsi="仿宋_GB2312" w:eastAsia="仿宋_GB2312" w:cs="仿宋_GB2312"/>
          <w:b w:val="0"/>
          <w:bCs w:val="0"/>
          <w:caps w:val="0"/>
        </w:rPr>
        <w:t>46</w:t>
      </w:r>
      <w:r>
        <w:rPr>
          <w:rFonts w:ascii="仿宋_GB2312" w:hAnsi="仿宋_GB2312" w:eastAsia="仿宋_GB2312" w:cs="仿宋_GB2312"/>
          <w:b w:val="0"/>
          <w:bCs w:val="0"/>
          <w:caps w:val="0"/>
        </w:rPr>
        <w:fldChar w:fldCharType="end"/>
      </w:r>
      <w:r>
        <w:rPr>
          <w:rFonts w:ascii="仿宋_GB2312" w:hAnsi="仿宋_GB2312" w:eastAsia="仿宋_GB2312" w:cs="仿宋_GB2312"/>
          <w:b w:val="0"/>
          <w:bCs w:val="0"/>
          <w:caps w:val="0"/>
        </w:rP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"_Toc64542132" </w:instrText>
      </w:r>
      <w:r>
        <w:fldChar w:fldCharType="separate"/>
      </w:r>
      <w:r>
        <w:rPr>
          <w:rStyle w:val="36"/>
          <w:rFonts w:hint="eastAsia"/>
          <w:b w:val="0"/>
        </w:rPr>
        <w:t>第十三章</w:t>
      </w:r>
      <w:r>
        <w:rPr>
          <w:rStyle w:val="36"/>
          <w:b w:val="0"/>
        </w:rPr>
        <w:t xml:space="preserve">  </w:t>
      </w:r>
      <w:r>
        <w:rPr>
          <w:rStyle w:val="36"/>
          <w:rFonts w:hint="eastAsia"/>
          <w:b w:val="0"/>
        </w:rPr>
        <w:t>塑造南昌制造新优势</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_Toc64542132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46</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"_Toc64542133"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实施产业基础再造及产业链提升行动</w:t>
      </w:r>
      <w:r>
        <w:tab/>
      </w:r>
      <w:r>
        <w:fldChar w:fldCharType="begin"/>
      </w:r>
      <w:r>
        <w:instrText xml:space="preserve"> PAGEREF _Toc64542133 \h </w:instrText>
      </w:r>
      <w:r>
        <w:fldChar w:fldCharType="separate"/>
      </w:r>
      <w:r>
        <w:t>46</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"_Toc64542134"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大力发展国际性战略新兴产业集群</w:t>
      </w:r>
      <w:r>
        <w:tab/>
      </w:r>
      <w:r>
        <w:fldChar w:fldCharType="begin"/>
      </w:r>
      <w:r>
        <w:instrText xml:space="preserve"> PAGEREF _Toc64542134 \h </w:instrText>
      </w:r>
      <w:r>
        <w:fldChar w:fldCharType="separate"/>
      </w:r>
      <w:r>
        <w:t>47</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"_Toc64542135"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推动传统制造业优化升级</w:t>
      </w:r>
      <w:r>
        <w:tab/>
      </w:r>
      <w:r>
        <w:fldChar w:fldCharType="begin"/>
      </w:r>
      <w:r>
        <w:instrText xml:space="preserve"> PAGEREF _Toc64542135 \h </w:instrText>
      </w:r>
      <w:r>
        <w:fldChar w:fldCharType="separate"/>
      </w:r>
      <w:r>
        <w:t>49</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"_Toc64542136" </w:instrText>
      </w:r>
      <w:r>
        <w:fldChar w:fldCharType="separate"/>
      </w:r>
      <w:r>
        <w:rPr>
          <w:rStyle w:val="36"/>
          <w:rFonts w:hint="eastAsia" w:ascii="楷体_GB2312" w:eastAsia="楷体_GB2312"/>
        </w:rPr>
        <w:t>第四节</w:t>
      </w:r>
      <w:r>
        <w:rPr>
          <w:rStyle w:val="36"/>
          <w:rFonts w:ascii="楷体_GB2312" w:eastAsia="楷体_GB2312"/>
        </w:rPr>
        <w:t xml:space="preserve">  </w:t>
      </w:r>
      <w:r>
        <w:rPr>
          <w:rStyle w:val="36"/>
          <w:rFonts w:hint="eastAsia" w:ascii="楷体_GB2312" w:eastAsia="楷体_GB2312"/>
        </w:rPr>
        <w:t>联动发展军民融合产业</w:t>
      </w:r>
      <w:r>
        <w:tab/>
      </w:r>
      <w:r>
        <w:fldChar w:fldCharType="begin"/>
      </w:r>
      <w:r>
        <w:instrText xml:space="preserve"> PAGEREF _Toc64542136 \h </w:instrText>
      </w:r>
      <w:r>
        <w:fldChar w:fldCharType="separate"/>
      </w:r>
      <w:r>
        <w:t>51</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"_Toc64542137" </w:instrText>
      </w:r>
      <w:r>
        <w:fldChar w:fldCharType="separate"/>
      </w:r>
      <w:r>
        <w:rPr>
          <w:rStyle w:val="36"/>
          <w:rFonts w:hint="eastAsia"/>
          <w:b w:val="0"/>
        </w:rPr>
        <w:t>第十四章</w:t>
      </w:r>
      <w:r>
        <w:rPr>
          <w:rStyle w:val="36"/>
          <w:b w:val="0"/>
        </w:rPr>
        <w:t xml:space="preserve">  </w:t>
      </w:r>
      <w:r>
        <w:rPr>
          <w:rStyle w:val="36"/>
          <w:rFonts w:hint="eastAsia"/>
          <w:b w:val="0"/>
        </w:rPr>
        <w:t>铸造南昌服务新品牌</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_Toc64542137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51</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"_Toc64542138"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推动生产性服务业融合化发展</w:t>
      </w:r>
      <w:r>
        <w:tab/>
      </w:r>
      <w:r>
        <w:fldChar w:fldCharType="begin"/>
      </w:r>
      <w:r>
        <w:instrText xml:space="preserve"> PAGEREF _Toc64542138 \h </w:instrText>
      </w:r>
      <w:r>
        <w:fldChar w:fldCharType="separate"/>
      </w:r>
      <w:r>
        <w:t>52</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"_Toc64542139"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推动生活性服务业品质化发展</w:t>
      </w:r>
      <w:r>
        <w:tab/>
      </w:r>
      <w:r>
        <w:fldChar w:fldCharType="begin"/>
      </w:r>
      <w:r>
        <w:instrText xml:space="preserve"> PAGEREF _Toc64542139 \h </w:instrText>
      </w:r>
      <w:r>
        <w:fldChar w:fldCharType="separate"/>
      </w:r>
      <w:r>
        <w:t>53</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"_Toc64542140" </w:instrText>
      </w:r>
      <w:r>
        <w:fldChar w:fldCharType="separate"/>
      </w:r>
      <w:r>
        <w:rPr>
          <w:rStyle w:val="36"/>
          <w:rFonts w:hint="eastAsia"/>
          <w:b w:val="0"/>
        </w:rPr>
        <w:t>第十五章</w:t>
      </w:r>
      <w:r>
        <w:rPr>
          <w:rStyle w:val="36"/>
          <w:b w:val="0"/>
        </w:rPr>
        <w:t xml:space="preserve">  </w:t>
      </w:r>
      <w:r>
        <w:rPr>
          <w:rStyle w:val="36"/>
          <w:rFonts w:hint="eastAsia"/>
          <w:b w:val="0"/>
        </w:rPr>
        <w:t>做强产业发展“主战场”</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_Toc64542140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55</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"_Toc64542141"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促进开发区提质升级</w:t>
      </w:r>
      <w:r>
        <w:tab/>
      </w:r>
      <w:r>
        <w:fldChar w:fldCharType="begin"/>
      </w:r>
      <w:r>
        <w:instrText xml:space="preserve"> PAGEREF _Toc64542141 \h </w:instrText>
      </w:r>
      <w:r>
        <w:fldChar w:fldCharType="separate"/>
      </w:r>
      <w:r>
        <w:t>55</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"_Toc64542142"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完善开发区体制机制</w:t>
      </w:r>
      <w:r>
        <w:tab/>
      </w:r>
      <w:r>
        <w:fldChar w:fldCharType="begin"/>
      </w:r>
      <w:r>
        <w:instrText xml:space="preserve"> PAGEREF _Toc64542142 \h </w:instrText>
      </w:r>
      <w:r>
        <w:fldChar w:fldCharType="separate"/>
      </w:r>
      <w:r>
        <w:t>56</w:t>
      </w:r>
      <w:r>
        <w:fldChar w:fldCharType="end"/>
      </w:r>
      <w:r>
        <w:fldChar w:fldCharType="end"/>
      </w:r>
    </w:p>
    <w:p>
      <w:pPr>
        <w:pStyle w:val="21"/>
        <w:tabs>
          <w:tab w:val="right" w:leader="dot" w:pos="9062"/>
        </w:tabs>
        <w:rPr>
          <w:rFonts w:asciiTheme="minorHAnsi" w:hAnsiTheme="minorHAnsi" w:eastAsiaTheme="minorEastAsia" w:cstheme="minorBidi"/>
          <w:b w:val="0"/>
          <w:bCs w:val="0"/>
          <w:caps w:val="0"/>
          <w:sz w:val="21"/>
          <w:szCs w:val="22"/>
        </w:rPr>
      </w:pPr>
      <w:r>
        <w:fldChar w:fldCharType="begin"/>
      </w:r>
      <w:r>
        <w:instrText xml:space="preserve"> HYPERLINK \l "_Toc64542143" </w:instrText>
      </w:r>
      <w:r>
        <w:fldChar w:fldCharType="separate"/>
      </w:r>
      <w:r>
        <w:rPr>
          <w:rStyle w:val="36"/>
          <w:rFonts w:hint="eastAsia"/>
          <w:b w:val="0"/>
        </w:rPr>
        <w:t>第五篇</w:t>
      </w:r>
      <w:r>
        <w:rPr>
          <w:rStyle w:val="36"/>
          <w:b w:val="0"/>
        </w:rPr>
        <w:t xml:space="preserve">  </w:t>
      </w:r>
      <w:r>
        <w:rPr>
          <w:rStyle w:val="36"/>
          <w:rFonts w:hint="eastAsia"/>
          <w:b w:val="0"/>
        </w:rPr>
        <w:t>实施扩大内需战略</w:t>
      </w:r>
      <w:r>
        <w:rPr>
          <w:b w:val="0"/>
        </w:rPr>
        <w:tab/>
      </w:r>
      <w:r>
        <w:rPr>
          <w:rFonts w:ascii="仿宋_GB2312" w:hAnsi="仿宋_GB2312" w:eastAsia="仿宋_GB2312" w:cs="仿宋_GB2312"/>
          <w:b w:val="0"/>
          <w:bCs w:val="0"/>
          <w:caps w:val="0"/>
        </w:rPr>
        <w:fldChar w:fldCharType="begin"/>
      </w:r>
      <w:r>
        <w:rPr>
          <w:rFonts w:ascii="仿宋_GB2312" w:hAnsi="仿宋_GB2312" w:eastAsia="仿宋_GB2312" w:cs="仿宋_GB2312"/>
          <w:b w:val="0"/>
          <w:bCs w:val="0"/>
          <w:caps w:val="0"/>
        </w:rPr>
        <w:instrText xml:space="preserve"> PAGEREF _Toc64542143 \h </w:instrText>
      </w:r>
      <w:r>
        <w:rPr>
          <w:rFonts w:ascii="仿宋_GB2312" w:hAnsi="仿宋_GB2312" w:eastAsia="仿宋_GB2312" w:cs="仿宋_GB2312"/>
          <w:b w:val="0"/>
          <w:bCs w:val="0"/>
          <w:caps w:val="0"/>
        </w:rPr>
        <w:fldChar w:fldCharType="separate"/>
      </w:r>
      <w:r>
        <w:rPr>
          <w:rFonts w:ascii="仿宋_GB2312" w:hAnsi="仿宋_GB2312" w:eastAsia="仿宋_GB2312" w:cs="仿宋_GB2312"/>
          <w:b w:val="0"/>
          <w:bCs w:val="0"/>
          <w:caps w:val="0"/>
        </w:rPr>
        <w:t>57</w:t>
      </w:r>
      <w:r>
        <w:rPr>
          <w:rFonts w:ascii="仿宋_GB2312" w:hAnsi="仿宋_GB2312" w:eastAsia="仿宋_GB2312" w:cs="仿宋_GB2312"/>
          <w:b w:val="0"/>
          <w:bCs w:val="0"/>
          <w:caps w:val="0"/>
        </w:rPr>
        <w:fldChar w:fldCharType="end"/>
      </w:r>
      <w:r>
        <w:rPr>
          <w:rFonts w:ascii="仿宋_GB2312" w:hAnsi="仿宋_GB2312" w:eastAsia="仿宋_GB2312" w:cs="仿宋_GB2312"/>
          <w:b w:val="0"/>
          <w:bCs w:val="0"/>
          <w:caps w:val="0"/>
        </w:rP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"_Toc64542144" </w:instrText>
      </w:r>
      <w:r>
        <w:fldChar w:fldCharType="separate"/>
      </w:r>
      <w:r>
        <w:rPr>
          <w:rStyle w:val="36"/>
          <w:rFonts w:hint="eastAsia"/>
          <w:b w:val="0"/>
        </w:rPr>
        <w:t>第十六章</w:t>
      </w:r>
      <w:r>
        <w:rPr>
          <w:rStyle w:val="36"/>
          <w:b w:val="0"/>
        </w:rPr>
        <w:t xml:space="preserve">  </w:t>
      </w:r>
      <w:r>
        <w:rPr>
          <w:rStyle w:val="36"/>
          <w:rFonts w:hint="eastAsia"/>
          <w:b w:val="0"/>
        </w:rPr>
        <w:t>持续释放消费潜力</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_Toc64542144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57</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"_Toc64542145"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促进消费提档升级</w:t>
      </w:r>
      <w:r>
        <w:tab/>
      </w:r>
      <w:r>
        <w:fldChar w:fldCharType="begin"/>
      </w:r>
      <w:r>
        <w:instrText xml:space="preserve"> PAGEREF _Toc64542145 \h </w:instrText>
      </w:r>
      <w:r>
        <w:fldChar w:fldCharType="separate"/>
      </w:r>
      <w:r>
        <w:t>57</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"_Toc64542146"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激发消费需求和潜力</w:t>
      </w:r>
      <w:r>
        <w:tab/>
      </w:r>
      <w:r>
        <w:fldChar w:fldCharType="begin"/>
      </w:r>
      <w:r>
        <w:instrText xml:space="preserve"> PAGEREF _Toc64542146 \h </w:instrText>
      </w:r>
      <w:r>
        <w:fldChar w:fldCharType="separate"/>
      </w:r>
      <w:r>
        <w:t>58</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"_Toc64542147"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营造放心消费环境</w:t>
      </w:r>
      <w:r>
        <w:tab/>
      </w:r>
      <w:r>
        <w:fldChar w:fldCharType="begin"/>
      </w:r>
      <w:r>
        <w:instrText xml:space="preserve"> PAGEREF _Toc64542147 \h </w:instrText>
      </w:r>
      <w:r>
        <w:fldChar w:fldCharType="separate"/>
      </w:r>
      <w:r>
        <w:t>58</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"_Toc64542148" </w:instrText>
      </w:r>
      <w:r>
        <w:fldChar w:fldCharType="separate"/>
      </w:r>
      <w:r>
        <w:rPr>
          <w:rStyle w:val="36"/>
          <w:rFonts w:hint="eastAsia"/>
          <w:b w:val="0"/>
        </w:rPr>
        <w:t>第十七章</w:t>
      </w:r>
      <w:r>
        <w:rPr>
          <w:rStyle w:val="36"/>
          <w:b w:val="0"/>
        </w:rPr>
        <w:t xml:space="preserve">  </w:t>
      </w:r>
      <w:r>
        <w:rPr>
          <w:rStyle w:val="36"/>
          <w:rFonts w:hint="eastAsia"/>
          <w:b w:val="0"/>
        </w:rPr>
        <w:t>全力拓展有效投资空间</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_Toc64542148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60</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"_Toc64542149"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优化有效投资结构</w:t>
      </w:r>
      <w:r>
        <w:tab/>
      </w:r>
      <w:r>
        <w:fldChar w:fldCharType="begin"/>
      </w:r>
      <w:r>
        <w:instrText xml:space="preserve"> PAGEREF _Toc64542149 \h </w:instrText>
      </w:r>
      <w:r>
        <w:fldChar w:fldCharType="separate"/>
      </w:r>
      <w:r>
        <w:t>60</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"_Toc64542150"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提高投资规模效益</w:t>
      </w:r>
      <w:r>
        <w:tab/>
      </w:r>
      <w:r>
        <w:fldChar w:fldCharType="begin"/>
      </w:r>
      <w:r>
        <w:instrText xml:space="preserve"> PAGEREF _Toc64542150 \h </w:instrText>
      </w:r>
      <w:r>
        <w:fldChar w:fldCharType="separate"/>
      </w:r>
      <w:r>
        <w:t>61</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"_Toc64542151"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建立健全投资内生增长机制</w:t>
      </w:r>
      <w:r>
        <w:tab/>
      </w:r>
      <w:r>
        <w:fldChar w:fldCharType="begin"/>
      </w:r>
      <w:r>
        <w:instrText xml:space="preserve"> PAGEREF _Toc64542151 \h </w:instrText>
      </w:r>
      <w:r>
        <w:fldChar w:fldCharType="separate"/>
      </w:r>
      <w:r>
        <w:t>62</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"_Toc64542152" </w:instrText>
      </w:r>
      <w:r>
        <w:fldChar w:fldCharType="separate"/>
      </w:r>
      <w:r>
        <w:rPr>
          <w:rStyle w:val="36"/>
          <w:rFonts w:hint="eastAsia"/>
          <w:b w:val="0"/>
        </w:rPr>
        <w:t>第十八章</w:t>
      </w:r>
      <w:r>
        <w:rPr>
          <w:rStyle w:val="36"/>
          <w:b w:val="0"/>
        </w:rPr>
        <w:t xml:space="preserve">  </w:t>
      </w:r>
      <w:r>
        <w:rPr>
          <w:rStyle w:val="36"/>
          <w:rFonts w:hint="eastAsia"/>
          <w:b w:val="0"/>
        </w:rPr>
        <w:t>加快畅通经济循环</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_Toc64542152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62</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"_Toc64542153"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推进南昌产品行销天下</w:t>
      </w:r>
      <w:r>
        <w:tab/>
      </w:r>
      <w:r>
        <w:fldChar w:fldCharType="begin"/>
      </w:r>
      <w:r>
        <w:instrText xml:space="preserve"> PAGEREF _Toc64542153 \h </w:instrText>
      </w:r>
      <w:r>
        <w:fldChar w:fldCharType="separate"/>
      </w:r>
      <w:r>
        <w:t>62</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"_Toc64542154"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加快集聚高端要素</w:t>
      </w:r>
      <w:r>
        <w:tab/>
      </w:r>
      <w:r>
        <w:fldChar w:fldCharType="begin"/>
      </w:r>
      <w:r>
        <w:instrText xml:space="preserve"> PAGEREF _Toc64542154 \h </w:instrText>
      </w:r>
      <w:r>
        <w:fldChar w:fldCharType="separate"/>
      </w:r>
      <w:r>
        <w:t>63</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"_Toc64542155"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构建现代流通体系</w:t>
      </w:r>
      <w:r>
        <w:tab/>
      </w:r>
      <w:r>
        <w:fldChar w:fldCharType="begin"/>
      </w:r>
      <w:r>
        <w:instrText xml:space="preserve"> PAGEREF _Toc64542155 \h </w:instrText>
      </w:r>
      <w:r>
        <w:fldChar w:fldCharType="separate"/>
      </w:r>
      <w:r>
        <w:t>64</w:t>
      </w:r>
      <w:r>
        <w:fldChar w:fldCharType="end"/>
      </w:r>
      <w:r>
        <w:fldChar w:fldCharType="end"/>
      </w:r>
    </w:p>
    <w:p>
      <w:pPr>
        <w:pStyle w:val="21"/>
        <w:tabs>
          <w:tab w:val="right" w:leader="dot" w:pos="9062"/>
        </w:tabs>
        <w:rPr>
          <w:rFonts w:asciiTheme="minorHAnsi" w:hAnsiTheme="minorHAnsi" w:eastAsiaTheme="minorEastAsia" w:cstheme="minorBidi"/>
          <w:b w:val="0"/>
          <w:bCs w:val="0"/>
          <w:caps w:val="0"/>
          <w:sz w:val="21"/>
          <w:szCs w:val="22"/>
        </w:rPr>
      </w:pPr>
      <w:r>
        <w:fldChar w:fldCharType="begin"/>
      </w:r>
      <w:r>
        <w:instrText xml:space="preserve"> HYPERLINK \l "_Toc64542156" </w:instrText>
      </w:r>
      <w:r>
        <w:fldChar w:fldCharType="separate"/>
      </w:r>
      <w:r>
        <w:rPr>
          <w:rStyle w:val="36"/>
          <w:rFonts w:hint="eastAsia"/>
          <w:b w:val="0"/>
        </w:rPr>
        <w:t>第六篇</w:t>
      </w:r>
      <w:r>
        <w:rPr>
          <w:rStyle w:val="36"/>
          <w:b w:val="0"/>
        </w:rPr>
        <w:t xml:space="preserve">  </w:t>
      </w:r>
      <w:r>
        <w:rPr>
          <w:rStyle w:val="36"/>
          <w:rFonts w:hint="eastAsia"/>
          <w:b w:val="0"/>
        </w:rPr>
        <w:t>加快深层次市场化改革</w:t>
      </w:r>
      <w:r>
        <w:rPr>
          <w:b w:val="0"/>
        </w:rPr>
        <w:tab/>
      </w:r>
      <w:r>
        <w:rPr>
          <w:rFonts w:ascii="仿宋_GB2312" w:hAnsi="仿宋_GB2312" w:eastAsia="仿宋_GB2312" w:cs="仿宋_GB2312"/>
          <w:b w:val="0"/>
          <w:bCs w:val="0"/>
          <w:caps w:val="0"/>
        </w:rPr>
        <w:fldChar w:fldCharType="begin"/>
      </w:r>
      <w:r>
        <w:rPr>
          <w:rFonts w:ascii="仿宋_GB2312" w:hAnsi="仿宋_GB2312" w:eastAsia="仿宋_GB2312" w:cs="仿宋_GB2312"/>
          <w:b w:val="0"/>
          <w:bCs w:val="0"/>
          <w:caps w:val="0"/>
        </w:rPr>
        <w:instrText xml:space="preserve"> PAGEREF _Toc64542156 \h </w:instrText>
      </w:r>
      <w:r>
        <w:rPr>
          <w:rFonts w:ascii="仿宋_GB2312" w:hAnsi="仿宋_GB2312" w:eastAsia="仿宋_GB2312" w:cs="仿宋_GB2312"/>
          <w:b w:val="0"/>
          <w:bCs w:val="0"/>
          <w:caps w:val="0"/>
        </w:rPr>
        <w:fldChar w:fldCharType="separate"/>
      </w:r>
      <w:r>
        <w:rPr>
          <w:rFonts w:ascii="仿宋_GB2312" w:hAnsi="仿宋_GB2312" w:eastAsia="仿宋_GB2312" w:cs="仿宋_GB2312"/>
          <w:b w:val="0"/>
          <w:bCs w:val="0"/>
          <w:caps w:val="0"/>
        </w:rPr>
        <w:t>65</w:t>
      </w:r>
      <w:r>
        <w:rPr>
          <w:rFonts w:ascii="仿宋_GB2312" w:hAnsi="仿宋_GB2312" w:eastAsia="仿宋_GB2312" w:cs="仿宋_GB2312"/>
          <w:b w:val="0"/>
          <w:bCs w:val="0"/>
          <w:caps w:val="0"/>
        </w:rPr>
        <w:fldChar w:fldCharType="end"/>
      </w:r>
      <w:r>
        <w:rPr>
          <w:rFonts w:ascii="仿宋_GB2312" w:hAnsi="仿宋_GB2312" w:eastAsia="仿宋_GB2312" w:cs="仿宋_GB2312"/>
          <w:b w:val="0"/>
          <w:bCs w:val="0"/>
          <w:caps w:val="0"/>
        </w:rP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"_Toc64542157" </w:instrText>
      </w:r>
      <w:r>
        <w:fldChar w:fldCharType="separate"/>
      </w:r>
      <w:r>
        <w:rPr>
          <w:rStyle w:val="36"/>
          <w:rFonts w:hint="eastAsia"/>
          <w:b w:val="0"/>
        </w:rPr>
        <w:t>第十九章</w:t>
      </w:r>
      <w:r>
        <w:rPr>
          <w:rStyle w:val="36"/>
          <w:b w:val="0"/>
        </w:rPr>
        <w:t xml:space="preserve">  </w:t>
      </w:r>
      <w:r>
        <w:rPr>
          <w:rStyle w:val="36"/>
          <w:rFonts w:hint="eastAsia"/>
          <w:b w:val="0"/>
        </w:rPr>
        <w:t>保护和激发市场主体活力</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_Toc64542157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65</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"_Toc64542158"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深化国资国企改革</w:t>
      </w:r>
      <w:r>
        <w:tab/>
      </w:r>
      <w:r>
        <w:fldChar w:fldCharType="begin"/>
      </w:r>
      <w:r>
        <w:instrText xml:space="preserve"> PAGEREF _Toc64542158 \h </w:instrText>
      </w:r>
      <w:r>
        <w:fldChar w:fldCharType="separate"/>
      </w:r>
      <w:r>
        <w:t>65</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"_Toc64542159"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支持非公有制经济高质量发展</w:t>
      </w:r>
      <w:r>
        <w:tab/>
      </w:r>
      <w:r>
        <w:fldChar w:fldCharType="begin"/>
      </w:r>
      <w:r>
        <w:instrText xml:space="preserve"> PAGEREF _Toc64542159 \h </w:instrText>
      </w:r>
      <w:r>
        <w:fldChar w:fldCharType="separate"/>
      </w:r>
      <w:r>
        <w:t>66</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"_Toc64542160"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推进新型市场主体健康有序发展</w:t>
      </w:r>
      <w:r>
        <w:tab/>
      </w:r>
      <w:r>
        <w:fldChar w:fldCharType="begin"/>
      </w:r>
      <w:r>
        <w:instrText xml:space="preserve"> PAGEREF _Toc64542160 \h </w:instrText>
      </w:r>
      <w:r>
        <w:fldChar w:fldCharType="separate"/>
      </w:r>
      <w:r>
        <w:t>66</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"_Toc64542161" </w:instrText>
      </w:r>
      <w:r>
        <w:fldChar w:fldCharType="separate"/>
      </w:r>
      <w:r>
        <w:rPr>
          <w:rStyle w:val="36"/>
          <w:rFonts w:hint="eastAsia"/>
          <w:b w:val="0"/>
        </w:rPr>
        <w:t>第二十章</w:t>
      </w:r>
      <w:r>
        <w:rPr>
          <w:rStyle w:val="36"/>
          <w:b w:val="0"/>
        </w:rPr>
        <w:t xml:space="preserve">  </w:t>
      </w:r>
      <w:r>
        <w:rPr>
          <w:rStyle w:val="36"/>
          <w:rFonts w:hint="eastAsia"/>
          <w:b w:val="0"/>
        </w:rPr>
        <w:t>建设高标准市场体系</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_Toc64542161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67</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"_Toc64542162"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依法保障市场公平竞争</w:t>
      </w:r>
      <w:r>
        <w:tab/>
      </w:r>
      <w:r>
        <w:fldChar w:fldCharType="begin"/>
      </w:r>
      <w:r>
        <w:instrText xml:space="preserve"> PAGEREF _Toc64542162 \h </w:instrText>
      </w:r>
      <w:r>
        <w:fldChar w:fldCharType="separate"/>
      </w:r>
      <w:r>
        <w:t>67</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"_Toc64542163"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深化要素市场化改革</w:t>
      </w:r>
      <w:r>
        <w:tab/>
      </w:r>
      <w:r>
        <w:fldChar w:fldCharType="begin"/>
      </w:r>
      <w:r>
        <w:instrText xml:space="preserve"> PAGEREF _Toc64542163 \h </w:instrText>
      </w:r>
      <w:r>
        <w:fldChar w:fldCharType="separate"/>
      </w:r>
      <w:r>
        <w:t>68</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"_Toc64542164"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加强社会信用体系建设</w:t>
      </w:r>
      <w:r>
        <w:tab/>
      </w:r>
      <w:r>
        <w:fldChar w:fldCharType="begin"/>
      </w:r>
      <w:r>
        <w:instrText xml:space="preserve"> PAGEREF _Toc64542164 \h </w:instrText>
      </w:r>
      <w:r>
        <w:fldChar w:fldCharType="separate"/>
      </w:r>
      <w:r>
        <w:t>69</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"_Toc64542165" </w:instrText>
      </w:r>
      <w:r>
        <w:fldChar w:fldCharType="separate"/>
      </w:r>
      <w:r>
        <w:rPr>
          <w:rStyle w:val="36"/>
          <w:rFonts w:hint="eastAsia"/>
          <w:b w:val="0"/>
        </w:rPr>
        <w:t>第二十一章</w:t>
      </w:r>
      <w:r>
        <w:rPr>
          <w:rStyle w:val="36"/>
          <w:b w:val="0"/>
        </w:rPr>
        <w:t xml:space="preserve">  </w:t>
      </w:r>
      <w:r>
        <w:rPr>
          <w:rStyle w:val="36"/>
          <w:rFonts w:hint="eastAsia"/>
          <w:b w:val="0"/>
        </w:rPr>
        <w:t>提升政府治理效能</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_Toc64542165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69</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"_Toc64542166"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全面优化营商环境</w:t>
      </w:r>
      <w:r>
        <w:tab/>
      </w:r>
      <w:r>
        <w:fldChar w:fldCharType="begin"/>
      </w:r>
      <w:r>
        <w:instrText xml:space="preserve"> PAGEREF _Toc64542166 \h </w:instrText>
      </w:r>
      <w:r>
        <w:fldChar w:fldCharType="separate"/>
      </w:r>
      <w:r>
        <w:t>70</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"_Toc64542167"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深化财税体制改革</w:t>
      </w:r>
      <w:r>
        <w:tab/>
      </w:r>
      <w:r>
        <w:fldChar w:fldCharType="begin"/>
      </w:r>
      <w:r>
        <w:instrText xml:space="preserve"> PAGEREF _Toc64542167 \h </w:instrText>
      </w:r>
      <w:r>
        <w:fldChar w:fldCharType="separate"/>
      </w:r>
      <w:r>
        <w:t>70</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"_Toc64542168"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深化投融资体制改革</w:t>
      </w:r>
      <w:r>
        <w:tab/>
      </w:r>
      <w:r>
        <w:fldChar w:fldCharType="begin"/>
      </w:r>
      <w:r>
        <w:instrText xml:space="preserve"> PAGEREF _Toc64542168 \h </w:instrText>
      </w:r>
      <w:r>
        <w:fldChar w:fldCharType="separate"/>
      </w:r>
      <w:r>
        <w:t>71</w:t>
      </w:r>
      <w:r>
        <w:fldChar w:fldCharType="end"/>
      </w:r>
      <w:r>
        <w:fldChar w:fldCharType="end"/>
      </w:r>
    </w:p>
    <w:p>
      <w:pPr>
        <w:pStyle w:val="21"/>
        <w:tabs>
          <w:tab w:val="right" w:leader="dot" w:pos="9062"/>
        </w:tabs>
        <w:rPr>
          <w:rFonts w:asciiTheme="minorHAnsi" w:hAnsiTheme="minorHAnsi" w:eastAsiaTheme="minorEastAsia" w:cstheme="minorBidi"/>
          <w:b w:val="0"/>
          <w:bCs w:val="0"/>
          <w:caps w:val="0"/>
          <w:sz w:val="21"/>
          <w:szCs w:val="22"/>
        </w:rPr>
      </w:pPr>
      <w:r>
        <w:fldChar w:fldCharType="begin"/>
      </w:r>
      <w:r>
        <w:instrText xml:space="preserve"> HYPERLINK \l "_Toc64542169" </w:instrText>
      </w:r>
      <w:r>
        <w:fldChar w:fldCharType="separate"/>
      </w:r>
      <w:r>
        <w:rPr>
          <w:rStyle w:val="36"/>
          <w:rFonts w:hint="eastAsia"/>
          <w:b w:val="0"/>
        </w:rPr>
        <w:t>第七篇</w:t>
      </w:r>
      <w:r>
        <w:rPr>
          <w:rStyle w:val="36"/>
          <w:b w:val="0"/>
        </w:rPr>
        <w:t xml:space="preserve">  </w:t>
      </w:r>
      <w:r>
        <w:rPr>
          <w:rStyle w:val="36"/>
          <w:rFonts w:hint="eastAsia"/>
          <w:b w:val="0"/>
        </w:rPr>
        <w:t>高水平建设内陆开放新高地</w:t>
      </w:r>
      <w:r>
        <w:rPr>
          <w:b w:val="0"/>
        </w:rPr>
        <w:tab/>
      </w:r>
      <w:r>
        <w:rPr>
          <w:rFonts w:ascii="仿宋_GB2312" w:hAnsi="仿宋_GB2312" w:eastAsia="仿宋_GB2312" w:cs="仿宋_GB2312"/>
          <w:b w:val="0"/>
          <w:bCs w:val="0"/>
          <w:caps w:val="0"/>
        </w:rPr>
        <w:fldChar w:fldCharType="begin"/>
      </w:r>
      <w:r>
        <w:rPr>
          <w:rFonts w:ascii="仿宋_GB2312" w:hAnsi="仿宋_GB2312" w:eastAsia="仿宋_GB2312" w:cs="仿宋_GB2312"/>
          <w:b w:val="0"/>
          <w:bCs w:val="0"/>
          <w:caps w:val="0"/>
        </w:rPr>
        <w:instrText xml:space="preserve"> PAGEREF _Toc64542169 \h </w:instrText>
      </w:r>
      <w:r>
        <w:rPr>
          <w:rFonts w:ascii="仿宋_GB2312" w:hAnsi="仿宋_GB2312" w:eastAsia="仿宋_GB2312" w:cs="仿宋_GB2312"/>
          <w:b w:val="0"/>
          <w:bCs w:val="0"/>
          <w:caps w:val="0"/>
        </w:rPr>
        <w:fldChar w:fldCharType="separate"/>
      </w:r>
      <w:r>
        <w:rPr>
          <w:rFonts w:ascii="仿宋_GB2312" w:hAnsi="仿宋_GB2312" w:eastAsia="仿宋_GB2312" w:cs="仿宋_GB2312"/>
          <w:b w:val="0"/>
          <w:bCs w:val="0"/>
          <w:caps w:val="0"/>
        </w:rPr>
        <w:t>72</w:t>
      </w:r>
      <w:r>
        <w:rPr>
          <w:rFonts w:ascii="仿宋_GB2312" w:hAnsi="仿宋_GB2312" w:eastAsia="仿宋_GB2312" w:cs="仿宋_GB2312"/>
          <w:b w:val="0"/>
          <w:bCs w:val="0"/>
          <w:caps w:val="0"/>
        </w:rPr>
        <w:fldChar w:fldCharType="end"/>
      </w:r>
      <w:r>
        <w:rPr>
          <w:rFonts w:ascii="仿宋_GB2312" w:hAnsi="仿宋_GB2312" w:eastAsia="仿宋_GB2312" w:cs="仿宋_GB2312"/>
          <w:b w:val="0"/>
          <w:bCs w:val="0"/>
          <w:caps w:val="0"/>
        </w:rP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"_Toc64542170" </w:instrText>
      </w:r>
      <w:r>
        <w:fldChar w:fldCharType="separate"/>
      </w:r>
      <w:r>
        <w:rPr>
          <w:rStyle w:val="36"/>
          <w:rFonts w:hint="eastAsia" w:ascii="仿宋_GB2312" w:hAnsi="仿宋_GB2312" w:cs="仿宋_GB2312"/>
          <w:b w:val="0"/>
          <w:kern w:val="28"/>
        </w:rPr>
        <w:t>第二十二章</w:t>
      </w:r>
      <w:r>
        <w:rPr>
          <w:rStyle w:val="36"/>
          <w:rFonts w:ascii="仿宋_GB2312" w:hAnsi="仿宋_GB2312" w:cs="仿宋_GB2312"/>
          <w:b w:val="0"/>
          <w:kern w:val="28"/>
        </w:rPr>
        <w:t xml:space="preserve">  </w:t>
      </w:r>
      <w:r>
        <w:rPr>
          <w:rStyle w:val="36"/>
          <w:rFonts w:hint="eastAsia" w:ascii="仿宋_GB2312" w:hAnsi="仿宋_GB2312" w:cs="仿宋_GB2312"/>
          <w:b w:val="0"/>
          <w:kern w:val="28"/>
        </w:rPr>
        <w:t>着力优化开放格局</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_Toc64542170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72</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"_Toc64542171"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全面对接国家区域重大战略</w:t>
      </w:r>
      <w:r>
        <w:tab/>
      </w:r>
      <w:r>
        <w:fldChar w:fldCharType="begin"/>
      </w:r>
      <w:r>
        <w:instrText xml:space="preserve"> PAGEREF _Toc64542171 \h </w:instrText>
      </w:r>
      <w:r>
        <w:fldChar w:fldCharType="separate"/>
      </w:r>
      <w:r>
        <w:t>72</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"_Toc64542172"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加快推进城市国际化进程</w:t>
      </w:r>
      <w:r>
        <w:tab/>
      </w:r>
      <w:r>
        <w:fldChar w:fldCharType="begin"/>
      </w:r>
      <w:r>
        <w:instrText xml:space="preserve"> PAGEREF _Toc64542172 \h </w:instrText>
      </w:r>
      <w:r>
        <w:fldChar w:fldCharType="separate"/>
      </w:r>
      <w:r>
        <w:t>74</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"_Toc64542173"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主动融入“一带一路”建设</w:t>
      </w:r>
      <w:r>
        <w:tab/>
      </w:r>
      <w:r>
        <w:fldChar w:fldCharType="begin"/>
      </w:r>
      <w:r>
        <w:instrText xml:space="preserve"> PAGEREF _Toc64542173 \h </w:instrText>
      </w:r>
      <w:r>
        <w:fldChar w:fldCharType="separate"/>
      </w:r>
      <w:r>
        <w:t>74</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"_Toc64542174" </w:instrText>
      </w:r>
      <w:r>
        <w:fldChar w:fldCharType="separate"/>
      </w:r>
      <w:r>
        <w:rPr>
          <w:rStyle w:val="36"/>
          <w:rFonts w:hint="eastAsia"/>
          <w:b w:val="0"/>
        </w:rPr>
        <w:t>第二十三章</w:t>
      </w:r>
      <w:r>
        <w:rPr>
          <w:rStyle w:val="36"/>
          <w:b w:val="0"/>
        </w:rPr>
        <w:t xml:space="preserve">  </w:t>
      </w:r>
      <w:r>
        <w:rPr>
          <w:rStyle w:val="36"/>
          <w:rFonts w:hint="eastAsia"/>
          <w:b w:val="0"/>
        </w:rPr>
        <w:t>高水平发展开放型经济</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_Toc64542174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75</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"_Toc64542175"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建立健全更高水平开放型经济体制</w:t>
      </w:r>
      <w:r>
        <w:tab/>
      </w:r>
      <w:r>
        <w:fldChar w:fldCharType="begin"/>
      </w:r>
      <w:r>
        <w:instrText xml:space="preserve"> PAGEREF _Toc64542175 \h </w:instrText>
      </w:r>
      <w:r>
        <w:fldChar w:fldCharType="separate"/>
      </w:r>
      <w:r>
        <w:t>75</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"_Toc64542176"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推进更高水平开放招商</w:t>
      </w:r>
      <w:r>
        <w:tab/>
      </w:r>
      <w:r>
        <w:fldChar w:fldCharType="begin"/>
      </w:r>
      <w:r>
        <w:instrText xml:space="preserve"> PAGEREF _Toc64542176 \h </w:instrText>
      </w:r>
      <w:r>
        <w:fldChar w:fldCharType="separate"/>
      </w:r>
      <w:r>
        <w:t>76</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"_Toc64542177"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推动外贸做优做强</w:t>
      </w:r>
      <w:r>
        <w:tab/>
      </w:r>
      <w:r>
        <w:fldChar w:fldCharType="begin"/>
      </w:r>
      <w:r>
        <w:instrText xml:space="preserve"> PAGEREF _Toc64542177 \h </w:instrText>
      </w:r>
      <w:r>
        <w:fldChar w:fldCharType="separate"/>
      </w:r>
      <w:r>
        <w:t>77</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"_Toc64542178" </w:instrText>
      </w:r>
      <w:r>
        <w:fldChar w:fldCharType="separate"/>
      </w:r>
      <w:r>
        <w:rPr>
          <w:rStyle w:val="36"/>
          <w:rFonts w:hint="eastAsia" w:ascii="楷体_GB2312" w:eastAsia="楷体_GB2312"/>
        </w:rPr>
        <w:t>第四节</w:t>
      </w:r>
      <w:r>
        <w:rPr>
          <w:rStyle w:val="36"/>
          <w:rFonts w:ascii="楷体_GB2312" w:eastAsia="楷体_GB2312"/>
        </w:rPr>
        <w:t xml:space="preserve">  </w:t>
      </w:r>
      <w:r>
        <w:rPr>
          <w:rStyle w:val="36"/>
          <w:rFonts w:hint="eastAsia" w:ascii="楷体_GB2312" w:eastAsia="楷体_GB2312"/>
        </w:rPr>
        <w:t>有序引导企业走出去</w:t>
      </w:r>
      <w:r>
        <w:tab/>
      </w:r>
      <w:r>
        <w:fldChar w:fldCharType="begin"/>
      </w:r>
      <w:r>
        <w:instrText xml:space="preserve"> PAGEREF _Toc64542178 \h </w:instrText>
      </w:r>
      <w:r>
        <w:fldChar w:fldCharType="separate"/>
      </w:r>
      <w:r>
        <w:t>77</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"_Toc64542179" </w:instrText>
      </w:r>
      <w:r>
        <w:fldChar w:fldCharType="separate"/>
      </w:r>
      <w:r>
        <w:rPr>
          <w:rStyle w:val="36"/>
          <w:rFonts w:hint="eastAsia" w:ascii="仿宋_GB2312" w:hAnsi="仿宋_GB2312" w:cs="仿宋_GB2312"/>
          <w:b w:val="0"/>
          <w:kern w:val="28"/>
        </w:rPr>
        <w:t>第二十四章</w:t>
      </w:r>
      <w:r>
        <w:rPr>
          <w:rStyle w:val="36"/>
          <w:rFonts w:ascii="仿宋_GB2312" w:hAnsi="仿宋_GB2312" w:cs="仿宋_GB2312"/>
          <w:b w:val="0"/>
          <w:kern w:val="28"/>
        </w:rPr>
        <w:t xml:space="preserve">  </w:t>
      </w:r>
      <w:r>
        <w:rPr>
          <w:rStyle w:val="36"/>
          <w:rFonts w:hint="eastAsia" w:ascii="仿宋_GB2312" w:hAnsi="仿宋_GB2312" w:cs="仿宋_GB2312"/>
          <w:b w:val="0"/>
          <w:kern w:val="28"/>
        </w:rPr>
        <w:t>构建高能级开放支撑体系</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_Toc64542179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78</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"_Toc64542180"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着力畅通开放大通道</w:t>
      </w:r>
      <w:r>
        <w:tab/>
      </w:r>
      <w:r>
        <w:fldChar w:fldCharType="begin"/>
      </w:r>
      <w:r>
        <w:instrText xml:space="preserve"> PAGEREF _Toc64542180 \h </w:instrText>
      </w:r>
      <w:r>
        <w:fldChar w:fldCharType="separate"/>
      </w:r>
      <w:r>
        <w:t>78</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"_Toc64542181"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构建高能级开放大平台</w:t>
      </w:r>
      <w:r>
        <w:tab/>
      </w:r>
      <w:r>
        <w:fldChar w:fldCharType="begin"/>
      </w:r>
      <w:r>
        <w:instrText xml:space="preserve"> PAGEREF _Toc64542181 \h </w:instrText>
      </w:r>
      <w:r>
        <w:fldChar w:fldCharType="separate"/>
      </w:r>
      <w:r>
        <w:t>79</w:t>
      </w:r>
      <w:r>
        <w:fldChar w:fldCharType="end"/>
      </w:r>
      <w:r>
        <w:fldChar w:fldCharType="end"/>
      </w:r>
    </w:p>
    <w:p>
      <w:pPr>
        <w:pStyle w:val="21"/>
        <w:tabs>
          <w:tab w:val="right" w:leader="dot" w:pos="9062"/>
        </w:tabs>
        <w:rPr>
          <w:rFonts w:asciiTheme="minorHAnsi" w:hAnsiTheme="minorHAnsi" w:eastAsiaTheme="minorEastAsia" w:cstheme="minorBidi"/>
          <w:b w:val="0"/>
          <w:bCs w:val="0"/>
          <w:caps w:val="0"/>
          <w:sz w:val="21"/>
          <w:szCs w:val="22"/>
        </w:rPr>
      </w:pPr>
      <w:r>
        <w:fldChar w:fldCharType="begin"/>
      </w:r>
      <w:r>
        <w:instrText xml:space="preserve"> HYPERLINK \l "_Toc64542182" </w:instrText>
      </w:r>
      <w:r>
        <w:fldChar w:fldCharType="separate"/>
      </w:r>
      <w:r>
        <w:rPr>
          <w:rStyle w:val="36"/>
          <w:rFonts w:hint="eastAsia"/>
          <w:b w:val="0"/>
        </w:rPr>
        <w:t>第八篇</w:t>
      </w:r>
      <w:r>
        <w:rPr>
          <w:rStyle w:val="36"/>
          <w:b w:val="0"/>
        </w:rPr>
        <w:t xml:space="preserve">  </w:t>
      </w:r>
      <w:r>
        <w:rPr>
          <w:rStyle w:val="36"/>
          <w:rFonts w:hint="eastAsia"/>
          <w:b w:val="0"/>
        </w:rPr>
        <w:t>全面推进乡村振兴</w:t>
      </w:r>
      <w:r>
        <w:rPr>
          <w:b w:val="0"/>
        </w:rPr>
        <w:tab/>
      </w:r>
      <w:r>
        <w:rPr>
          <w:rFonts w:ascii="仿宋_GB2312" w:hAnsi="仿宋_GB2312" w:eastAsia="仿宋_GB2312" w:cs="仿宋_GB2312"/>
          <w:b w:val="0"/>
          <w:bCs w:val="0"/>
          <w:caps w:val="0"/>
        </w:rPr>
        <w:fldChar w:fldCharType="begin"/>
      </w:r>
      <w:r>
        <w:rPr>
          <w:rFonts w:ascii="仿宋_GB2312" w:hAnsi="仿宋_GB2312" w:eastAsia="仿宋_GB2312" w:cs="仿宋_GB2312"/>
          <w:b w:val="0"/>
          <w:bCs w:val="0"/>
          <w:caps w:val="0"/>
        </w:rPr>
        <w:instrText xml:space="preserve"> PAGEREF _Toc64542182 \h </w:instrText>
      </w:r>
      <w:r>
        <w:rPr>
          <w:rFonts w:ascii="仿宋_GB2312" w:hAnsi="仿宋_GB2312" w:eastAsia="仿宋_GB2312" w:cs="仿宋_GB2312"/>
          <w:b w:val="0"/>
          <w:bCs w:val="0"/>
          <w:caps w:val="0"/>
        </w:rPr>
        <w:fldChar w:fldCharType="separate"/>
      </w:r>
      <w:r>
        <w:rPr>
          <w:rFonts w:ascii="仿宋_GB2312" w:hAnsi="仿宋_GB2312" w:eastAsia="仿宋_GB2312" w:cs="仿宋_GB2312"/>
          <w:b w:val="0"/>
          <w:bCs w:val="0"/>
          <w:caps w:val="0"/>
        </w:rPr>
        <w:t>81</w:t>
      </w:r>
      <w:r>
        <w:rPr>
          <w:rFonts w:ascii="仿宋_GB2312" w:hAnsi="仿宋_GB2312" w:eastAsia="仿宋_GB2312" w:cs="仿宋_GB2312"/>
          <w:b w:val="0"/>
          <w:bCs w:val="0"/>
          <w:caps w:val="0"/>
        </w:rPr>
        <w:fldChar w:fldCharType="end"/>
      </w:r>
      <w:r>
        <w:rPr>
          <w:rFonts w:ascii="仿宋_GB2312" w:hAnsi="仿宋_GB2312" w:eastAsia="仿宋_GB2312" w:cs="仿宋_GB2312"/>
          <w:b w:val="0"/>
          <w:bCs w:val="0"/>
          <w:caps w:val="0"/>
        </w:rP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"_Toc64542183" </w:instrText>
      </w:r>
      <w:r>
        <w:fldChar w:fldCharType="separate"/>
      </w:r>
      <w:r>
        <w:rPr>
          <w:rStyle w:val="36"/>
          <w:rFonts w:hint="eastAsia" w:ascii="仿宋_GB2312" w:hAnsi="仿宋_GB2312" w:cs="仿宋_GB2312"/>
          <w:b w:val="0"/>
          <w:kern w:val="28"/>
        </w:rPr>
        <w:t>第二十五章</w:t>
      </w:r>
      <w:r>
        <w:rPr>
          <w:rStyle w:val="36"/>
          <w:rFonts w:ascii="仿宋_GB2312" w:hAnsi="仿宋_GB2312" w:cs="仿宋_GB2312"/>
          <w:b w:val="0"/>
          <w:kern w:val="28"/>
        </w:rPr>
        <w:t xml:space="preserve">  </w:t>
      </w:r>
      <w:r>
        <w:rPr>
          <w:rStyle w:val="36"/>
          <w:rFonts w:hint="eastAsia" w:ascii="仿宋_GB2312" w:hAnsi="仿宋_GB2312" w:cs="仿宋_GB2312"/>
          <w:b w:val="0"/>
          <w:kern w:val="28"/>
        </w:rPr>
        <w:t>着力提升农业质量与效益</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_Toc64542183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81</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"_Toc64542184"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保障重要农产品供给安全</w:t>
      </w:r>
      <w:r>
        <w:tab/>
      </w:r>
      <w:r>
        <w:fldChar w:fldCharType="begin"/>
      </w:r>
      <w:r>
        <w:instrText xml:space="preserve"> PAGEREF _Toc64542184 \h </w:instrText>
      </w:r>
      <w:r>
        <w:fldChar w:fldCharType="separate"/>
      </w:r>
      <w:r>
        <w:t>81</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"_Toc64542185"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增强农业综合生产能力</w:t>
      </w:r>
      <w:r>
        <w:tab/>
      </w:r>
      <w:r>
        <w:fldChar w:fldCharType="begin"/>
      </w:r>
      <w:r>
        <w:instrText xml:space="preserve"> PAGEREF _Toc64542185 \h </w:instrText>
      </w:r>
      <w:r>
        <w:fldChar w:fldCharType="separate"/>
      </w:r>
      <w:r>
        <w:t>82</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"_Toc64542186"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培育提升现代农业经营主体</w:t>
      </w:r>
      <w:r>
        <w:tab/>
      </w:r>
      <w:r>
        <w:fldChar w:fldCharType="begin"/>
      </w:r>
      <w:r>
        <w:instrText xml:space="preserve"> PAGEREF _Toc64542186 \h </w:instrText>
      </w:r>
      <w:r>
        <w:fldChar w:fldCharType="separate"/>
      </w:r>
      <w:r>
        <w:t>83</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"_Toc64542187" </w:instrText>
      </w:r>
      <w:r>
        <w:fldChar w:fldCharType="separate"/>
      </w:r>
      <w:r>
        <w:rPr>
          <w:rStyle w:val="36"/>
          <w:rFonts w:hint="eastAsia" w:ascii="楷体_GB2312" w:eastAsia="楷体_GB2312"/>
        </w:rPr>
        <w:t>第四节</w:t>
      </w:r>
      <w:r>
        <w:rPr>
          <w:rStyle w:val="36"/>
          <w:rFonts w:ascii="楷体_GB2312" w:eastAsia="楷体_GB2312"/>
        </w:rPr>
        <w:t xml:space="preserve">  </w:t>
      </w:r>
      <w:r>
        <w:rPr>
          <w:rStyle w:val="36"/>
          <w:rFonts w:hint="eastAsia" w:ascii="楷体_GB2312" w:eastAsia="楷体_GB2312"/>
        </w:rPr>
        <w:t>推动农村三产融合发展</w:t>
      </w:r>
      <w:r>
        <w:tab/>
      </w:r>
      <w:r>
        <w:fldChar w:fldCharType="begin"/>
      </w:r>
      <w:r>
        <w:instrText xml:space="preserve"> PAGEREF _Toc64542187 \h </w:instrText>
      </w:r>
      <w:r>
        <w:fldChar w:fldCharType="separate"/>
      </w:r>
      <w:r>
        <w:t>84</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"_Toc64542188" </w:instrText>
      </w:r>
      <w:r>
        <w:fldChar w:fldCharType="separate"/>
      </w:r>
      <w:r>
        <w:rPr>
          <w:rStyle w:val="36"/>
          <w:rFonts w:hint="eastAsia"/>
          <w:b w:val="0"/>
        </w:rPr>
        <w:t>第二十六章</w:t>
      </w:r>
      <w:r>
        <w:rPr>
          <w:rStyle w:val="36"/>
          <w:b w:val="0"/>
        </w:rPr>
        <w:t xml:space="preserve">  </w:t>
      </w:r>
      <w:r>
        <w:rPr>
          <w:rStyle w:val="36"/>
          <w:rFonts w:hint="eastAsia"/>
          <w:b w:val="0"/>
        </w:rPr>
        <w:t>建设美丽宜居和谐乡村</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_Toc64542188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85</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"_Toc64542189"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统筹推进乡村规划</w:t>
      </w:r>
      <w:r>
        <w:tab/>
      </w:r>
      <w:r>
        <w:fldChar w:fldCharType="begin"/>
      </w:r>
      <w:r>
        <w:instrText xml:space="preserve"> PAGEREF _Toc64542189 \h </w:instrText>
      </w:r>
      <w:r>
        <w:fldChar w:fldCharType="separate"/>
      </w:r>
      <w:r>
        <w:t>85</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"_Toc64542190"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持续改善农村人居环境</w:t>
      </w:r>
      <w:r>
        <w:tab/>
      </w:r>
      <w:r>
        <w:fldChar w:fldCharType="begin"/>
      </w:r>
      <w:r>
        <w:instrText xml:space="preserve"> PAGEREF _Toc64542190 \h </w:instrText>
      </w:r>
      <w:r>
        <w:fldChar w:fldCharType="separate"/>
      </w:r>
      <w:r>
        <w:t>85</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"_Toc64542191"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提升乡村治理水平</w:t>
      </w:r>
      <w:r>
        <w:tab/>
      </w:r>
      <w:r>
        <w:fldChar w:fldCharType="begin"/>
      </w:r>
      <w:r>
        <w:instrText xml:space="preserve"> PAGEREF _Toc64542191 \h </w:instrText>
      </w:r>
      <w:r>
        <w:fldChar w:fldCharType="separate"/>
      </w:r>
      <w:r>
        <w:t>87</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"_Toc64542192" </w:instrText>
      </w:r>
      <w:r>
        <w:fldChar w:fldCharType="separate"/>
      </w:r>
      <w:r>
        <w:rPr>
          <w:rStyle w:val="36"/>
          <w:rFonts w:hint="eastAsia" w:ascii="楷体_GB2312" w:eastAsia="楷体_GB2312"/>
        </w:rPr>
        <w:t>第四节</w:t>
      </w:r>
      <w:r>
        <w:rPr>
          <w:rStyle w:val="36"/>
          <w:rFonts w:ascii="楷体_GB2312" w:eastAsia="楷体_GB2312"/>
        </w:rPr>
        <w:t xml:space="preserve">  </w:t>
      </w:r>
      <w:r>
        <w:rPr>
          <w:rStyle w:val="36"/>
          <w:rFonts w:hint="eastAsia" w:ascii="楷体_GB2312" w:eastAsia="楷体_GB2312"/>
        </w:rPr>
        <w:t>促进城乡融合发展</w:t>
      </w:r>
      <w:r>
        <w:tab/>
      </w:r>
      <w:r>
        <w:fldChar w:fldCharType="begin"/>
      </w:r>
      <w:r>
        <w:instrText xml:space="preserve"> PAGEREF _Toc64542192 \h </w:instrText>
      </w:r>
      <w:r>
        <w:fldChar w:fldCharType="separate"/>
      </w:r>
      <w:r>
        <w:t>88</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"_Toc64542193" </w:instrText>
      </w:r>
      <w:r>
        <w:fldChar w:fldCharType="separate"/>
      </w:r>
      <w:r>
        <w:rPr>
          <w:rStyle w:val="36"/>
          <w:rFonts w:hint="eastAsia"/>
          <w:b w:val="0"/>
        </w:rPr>
        <w:t>第二十七章</w:t>
      </w:r>
      <w:r>
        <w:rPr>
          <w:rStyle w:val="36"/>
          <w:b w:val="0"/>
        </w:rPr>
        <w:t xml:space="preserve">  </w:t>
      </w:r>
      <w:r>
        <w:rPr>
          <w:rStyle w:val="36"/>
          <w:rFonts w:hint="eastAsia"/>
          <w:b w:val="0"/>
        </w:rPr>
        <w:t>全面深化农村改革</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_Toc64542193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88</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"_Toc64542194"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巩固和完善农村基本经营制度</w:t>
      </w:r>
      <w:r>
        <w:tab/>
      </w:r>
      <w:r>
        <w:fldChar w:fldCharType="begin"/>
      </w:r>
      <w:r>
        <w:instrText xml:space="preserve"> PAGEREF _Toc64542194 \h </w:instrText>
      </w:r>
      <w:r>
        <w:fldChar w:fldCharType="separate"/>
      </w:r>
      <w:r>
        <w:t>89</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"_Toc64542195"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深化农村土地制度改革</w:t>
      </w:r>
      <w:r>
        <w:tab/>
      </w:r>
      <w:r>
        <w:fldChar w:fldCharType="begin"/>
      </w:r>
      <w:r>
        <w:instrText xml:space="preserve"> PAGEREF _Toc64542195 \h </w:instrText>
      </w:r>
      <w:r>
        <w:fldChar w:fldCharType="separate"/>
      </w:r>
      <w:r>
        <w:t>89</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"_Toc64542196"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推进农村集体产权制度改革</w:t>
      </w:r>
      <w:r>
        <w:tab/>
      </w:r>
      <w:r>
        <w:fldChar w:fldCharType="begin"/>
      </w:r>
      <w:r>
        <w:instrText xml:space="preserve"> PAGEREF _Toc64542196 \h </w:instrText>
      </w:r>
      <w:r>
        <w:fldChar w:fldCharType="separate"/>
      </w:r>
      <w:r>
        <w:t>90</w:t>
      </w:r>
      <w:r>
        <w:fldChar w:fldCharType="end"/>
      </w:r>
      <w:r>
        <w:fldChar w:fldCharType="end"/>
      </w:r>
    </w:p>
    <w:p>
      <w:pPr>
        <w:pStyle w:val="26"/>
        <w:tabs>
          <w:tab w:val="right" w:leader="dot" w:pos="9062"/>
        </w:tabs>
        <w:ind w:left="640"/>
        <w:rPr>
          <w:rStyle w:val="36"/>
          <w:b w:val="0"/>
        </w:rPr>
      </w:pPr>
      <w:r>
        <w:rPr>
          <w:b w:val="0"/>
        </w:rPr>
        <w:fldChar w:fldCharType="begin"/>
      </w:r>
      <w:r>
        <w:rPr>
          <w:b w:val="0"/>
        </w:rPr>
        <w:instrText xml:space="preserve"> HYPERLINK \l "_Toc64542197" </w:instrText>
      </w:r>
      <w:r>
        <w:rPr>
          <w:b w:val="0"/>
        </w:rPr>
        <w:fldChar w:fldCharType="separate"/>
      </w:r>
      <w:r>
        <w:rPr>
          <w:rStyle w:val="36"/>
          <w:rFonts w:hint="eastAsia"/>
          <w:b w:val="0"/>
        </w:rPr>
        <w:t>第二十八章</w:t>
      </w:r>
      <w:r>
        <w:rPr>
          <w:rStyle w:val="36"/>
          <w:b w:val="0"/>
        </w:rPr>
        <w:t xml:space="preserve">  </w:t>
      </w:r>
      <w:r>
        <w:rPr>
          <w:rStyle w:val="36"/>
          <w:rFonts w:hint="eastAsia"/>
          <w:b w:val="0"/>
          <w:spacing w:val="-6"/>
        </w:rPr>
        <w:t>统筹巩固拓展脱贫攻坚成果</w:t>
      </w:r>
      <w:r>
        <w:rPr>
          <w:rStyle w:val="36"/>
          <w:rFonts w:hint="eastAsia"/>
          <w:b w:val="0"/>
          <w:spacing w:val="-6"/>
          <w:lang w:val="en-US" w:eastAsia="zh-CN"/>
        </w:rPr>
        <w:t>同</w:t>
      </w:r>
      <w:r>
        <w:rPr>
          <w:rStyle w:val="36"/>
          <w:rFonts w:hint="eastAsia"/>
          <w:b w:val="0"/>
          <w:spacing w:val="-6"/>
        </w:rPr>
        <w:t>乡村振兴有效衔接</w:t>
      </w:r>
    </w:p>
    <w:p>
      <w:pPr>
        <w:pStyle w:val="26"/>
        <w:tabs>
          <w:tab w:val="right" w:leader="dot" w:pos="9062"/>
        </w:tabs>
        <w:ind w:left="640"/>
        <w:rPr>
          <w:rFonts w:asciiTheme="minorHAnsi" w:hAnsiTheme="minorHAnsi" w:eastAsiaTheme="minorEastAsia" w:cstheme="minorBidi"/>
          <w:b w:val="0"/>
          <w:bCs w:val="0"/>
          <w:sz w:val="21"/>
          <w:szCs w:val="22"/>
        </w:rPr>
      </w:pPr>
      <w:r>
        <w:rPr>
          <w:b w:val="0"/>
        </w:rPr>
        <w:tab/>
      </w:r>
      <w:bookmarkStart w:id="1207" w:name="_GoBack"/>
      <w:bookmarkEnd w:id="1207"/>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_Toc64542197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90</w:t>
      </w:r>
      <w:r>
        <w:rPr>
          <w:rFonts w:ascii="仿宋_GB2312" w:hAnsi="仿宋_GB2312" w:eastAsia="仿宋_GB2312" w:cs="仿宋_GB2312"/>
          <w:b w:val="0"/>
          <w:bCs w:val="0"/>
        </w:rPr>
        <w:fldChar w:fldCharType="end"/>
      </w:r>
      <w:r>
        <w:rPr>
          <w:b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"_Toc64542198"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巩固拓展脱贫攻坚成果</w:t>
      </w:r>
      <w:r>
        <w:tab/>
      </w:r>
      <w:r>
        <w:fldChar w:fldCharType="begin"/>
      </w:r>
      <w:r>
        <w:instrText xml:space="preserve"> PAGEREF _Toc64542198 \h </w:instrText>
      </w:r>
      <w:r>
        <w:fldChar w:fldCharType="separate"/>
      </w:r>
      <w:r>
        <w:t>90</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"_Toc64542199"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加强对农村低收入人口分类帮扶</w:t>
      </w:r>
      <w:r>
        <w:tab/>
      </w:r>
      <w:r>
        <w:fldChar w:fldCharType="begin"/>
      </w:r>
      <w:r>
        <w:instrText xml:space="preserve"> PAGEREF _Toc64542199 \h </w:instrText>
      </w:r>
      <w:r>
        <w:fldChar w:fldCharType="separate"/>
      </w:r>
      <w:r>
        <w:t>91</w:t>
      </w:r>
      <w:r>
        <w:fldChar w:fldCharType="end"/>
      </w:r>
      <w:r>
        <w:fldChar w:fldCharType="end"/>
      </w:r>
    </w:p>
    <w:p>
      <w:pPr>
        <w:pStyle w:val="21"/>
        <w:tabs>
          <w:tab w:val="right" w:leader="dot" w:pos="9062"/>
        </w:tabs>
        <w:rPr>
          <w:rFonts w:asciiTheme="minorHAnsi" w:hAnsiTheme="minorHAnsi" w:eastAsiaTheme="minorEastAsia" w:cstheme="minorBidi"/>
          <w:b w:val="0"/>
          <w:bCs w:val="0"/>
          <w:caps w:val="0"/>
          <w:sz w:val="21"/>
          <w:szCs w:val="22"/>
        </w:rPr>
      </w:pPr>
      <w:r>
        <w:fldChar w:fldCharType="begin"/>
      </w:r>
      <w:r>
        <w:instrText xml:space="preserve"> HYPERLINK \l "_Toc64542200" </w:instrText>
      </w:r>
      <w:r>
        <w:fldChar w:fldCharType="separate"/>
      </w:r>
      <w:r>
        <w:rPr>
          <w:rStyle w:val="36"/>
          <w:rFonts w:hint="eastAsia"/>
          <w:b w:val="0"/>
        </w:rPr>
        <w:t>第九篇</w:t>
      </w:r>
      <w:r>
        <w:rPr>
          <w:rStyle w:val="36"/>
          <w:b w:val="0"/>
        </w:rPr>
        <w:t xml:space="preserve">  </w:t>
      </w:r>
      <w:r>
        <w:rPr>
          <w:rStyle w:val="36"/>
          <w:rFonts w:hint="eastAsia"/>
          <w:b w:val="0"/>
        </w:rPr>
        <w:t>建设现代化大都市</w:t>
      </w:r>
      <w:r>
        <w:rPr>
          <w:b w:val="0"/>
        </w:rPr>
        <w:tab/>
      </w:r>
      <w:r>
        <w:rPr>
          <w:rFonts w:ascii="仿宋_GB2312" w:hAnsi="仿宋_GB2312" w:eastAsia="仿宋_GB2312" w:cs="仿宋_GB2312"/>
          <w:b w:val="0"/>
          <w:bCs w:val="0"/>
          <w:caps w:val="0"/>
        </w:rPr>
        <w:fldChar w:fldCharType="begin"/>
      </w:r>
      <w:r>
        <w:rPr>
          <w:rFonts w:ascii="仿宋_GB2312" w:hAnsi="仿宋_GB2312" w:eastAsia="仿宋_GB2312" w:cs="仿宋_GB2312"/>
          <w:b w:val="0"/>
          <w:bCs w:val="0"/>
          <w:caps w:val="0"/>
        </w:rPr>
        <w:instrText xml:space="preserve"> PAGEREF _Toc64542200 \h </w:instrText>
      </w:r>
      <w:r>
        <w:rPr>
          <w:rFonts w:ascii="仿宋_GB2312" w:hAnsi="仿宋_GB2312" w:eastAsia="仿宋_GB2312" w:cs="仿宋_GB2312"/>
          <w:b w:val="0"/>
          <w:bCs w:val="0"/>
          <w:caps w:val="0"/>
        </w:rPr>
        <w:fldChar w:fldCharType="separate"/>
      </w:r>
      <w:r>
        <w:rPr>
          <w:rFonts w:ascii="仿宋_GB2312" w:hAnsi="仿宋_GB2312" w:eastAsia="仿宋_GB2312" w:cs="仿宋_GB2312"/>
          <w:b w:val="0"/>
          <w:bCs w:val="0"/>
          <w:caps w:val="0"/>
        </w:rPr>
        <w:t>92</w:t>
      </w:r>
      <w:r>
        <w:rPr>
          <w:rFonts w:ascii="仿宋_GB2312" w:hAnsi="仿宋_GB2312" w:eastAsia="仿宋_GB2312" w:cs="仿宋_GB2312"/>
          <w:b w:val="0"/>
          <w:bCs w:val="0"/>
          <w:caps w:val="0"/>
        </w:rPr>
        <w:fldChar w:fldCharType="end"/>
      </w:r>
      <w:r>
        <w:rPr>
          <w:rFonts w:ascii="仿宋_GB2312" w:hAnsi="仿宋_GB2312" w:eastAsia="仿宋_GB2312" w:cs="仿宋_GB2312"/>
          <w:b w:val="0"/>
          <w:bCs w:val="0"/>
          <w:caps w:val="0"/>
        </w:rP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"_Toc64542201" </w:instrText>
      </w:r>
      <w:r>
        <w:fldChar w:fldCharType="separate"/>
      </w:r>
      <w:r>
        <w:rPr>
          <w:rStyle w:val="36"/>
          <w:rFonts w:hint="eastAsia"/>
          <w:b w:val="0"/>
        </w:rPr>
        <w:t>第二十九章</w:t>
      </w:r>
      <w:r>
        <w:rPr>
          <w:rStyle w:val="36"/>
          <w:b w:val="0"/>
        </w:rPr>
        <w:t xml:space="preserve">  </w:t>
      </w:r>
      <w:r>
        <w:rPr>
          <w:rStyle w:val="36"/>
          <w:rFonts w:hint="eastAsia"/>
          <w:b w:val="0"/>
        </w:rPr>
        <w:t>优化国土空间开发格局</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_Toc64542201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92</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"_Toc64542202"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严格落实空间管控要求</w:t>
      </w:r>
      <w:r>
        <w:tab/>
      </w:r>
      <w:r>
        <w:fldChar w:fldCharType="begin"/>
      </w:r>
      <w:r>
        <w:instrText xml:space="preserve"> PAGEREF _Toc64542202 \h </w:instrText>
      </w:r>
      <w:r>
        <w:fldChar w:fldCharType="separate"/>
      </w:r>
      <w:r>
        <w:t>92</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"_Toc64542203"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完善现代城镇体系</w:t>
      </w:r>
      <w:r>
        <w:tab/>
      </w:r>
      <w:r>
        <w:fldChar w:fldCharType="begin"/>
      </w:r>
      <w:r>
        <w:instrText xml:space="preserve"> PAGEREF _Toc64542203 \h </w:instrText>
      </w:r>
      <w:r>
        <w:fldChar w:fldCharType="separate"/>
      </w:r>
      <w:r>
        <w:t>93</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"_Toc64542204"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打造风景如画魅力空间</w:t>
      </w:r>
      <w:r>
        <w:tab/>
      </w:r>
      <w:r>
        <w:fldChar w:fldCharType="begin"/>
      </w:r>
      <w:r>
        <w:instrText xml:space="preserve"> PAGEREF _Toc64542204 \h </w:instrText>
      </w:r>
      <w:r>
        <w:fldChar w:fldCharType="separate"/>
      </w:r>
      <w:r>
        <w:t>93</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"_Toc64542205" </w:instrText>
      </w:r>
      <w:r>
        <w:fldChar w:fldCharType="separate"/>
      </w:r>
      <w:r>
        <w:rPr>
          <w:rStyle w:val="36"/>
          <w:rFonts w:hint="eastAsia" w:ascii="楷体_GB2312" w:eastAsia="楷体_GB2312"/>
        </w:rPr>
        <w:t>第四节</w:t>
      </w:r>
      <w:r>
        <w:rPr>
          <w:rStyle w:val="36"/>
          <w:rFonts w:ascii="楷体_GB2312" w:eastAsia="楷体_GB2312"/>
        </w:rPr>
        <w:t xml:space="preserve">  </w:t>
      </w:r>
      <w:r>
        <w:rPr>
          <w:rStyle w:val="36"/>
          <w:rFonts w:hint="eastAsia" w:ascii="楷体_GB2312" w:eastAsia="楷体_GB2312"/>
        </w:rPr>
        <w:t>推进地下空间综合开发</w:t>
      </w:r>
      <w:r>
        <w:tab/>
      </w:r>
      <w:r>
        <w:fldChar w:fldCharType="begin"/>
      </w:r>
      <w:r>
        <w:instrText xml:space="preserve"> PAGEREF _Toc64542205 \h </w:instrText>
      </w:r>
      <w:r>
        <w:fldChar w:fldCharType="separate"/>
      </w:r>
      <w:r>
        <w:t>95</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"_Toc64542206" </w:instrText>
      </w:r>
      <w:r>
        <w:fldChar w:fldCharType="separate"/>
      </w:r>
      <w:r>
        <w:rPr>
          <w:rStyle w:val="36"/>
          <w:rFonts w:hint="eastAsia"/>
          <w:b w:val="0"/>
        </w:rPr>
        <w:t>第三十章</w:t>
      </w:r>
      <w:r>
        <w:rPr>
          <w:rStyle w:val="36"/>
          <w:b w:val="0"/>
        </w:rPr>
        <w:t xml:space="preserve">  </w:t>
      </w:r>
      <w:r>
        <w:rPr>
          <w:rStyle w:val="36"/>
          <w:rFonts w:hint="eastAsia"/>
          <w:b w:val="0"/>
        </w:rPr>
        <w:t>提升城市现代化水平</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_Toc64542206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95</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"_Toc64542207"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提升城市功能品质</w:t>
      </w:r>
      <w:r>
        <w:tab/>
      </w:r>
      <w:r>
        <w:fldChar w:fldCharType="begin"/>
      </w:r>
      <w:r>
        <w:instrText xml:space="preserve"> PAGEREF _Toc64542207 \h </w:instrText>
      </w:r>
      <w:r>
        <w:fldChar w:fldCharType="separate"/>
      </w:r>
      <w:r>
        <w:t>96</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"_Toc64542208"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促进城区繁荣协同发展</w:t>
      </w:r>
      <w:r>
        <w:tab/>
      </w:r>
      <w:r>
        <w:fldChar w:fldCharType="begin"/>
      </w:r>
      <w:r>
        <w:instrText xml:space="preserve"> PAGEREF _Toc64542208 \h </w:instrText>
      </w:r>
      <w:r>
        <w:fldChar w:fldCharType="separate"/>
      </w:r>
      <w:r>
        <w:t>97</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"_Toc64542209"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推进新城功能板块集约高效开发</w:t>
      </w:r>
      <w:r>
        <w:tab/>
      </w:r>
      <w:r>
        <w:fldChar w:fldCharType="begin"/>
      </w:r>
      <w:r>
        <w:instrText xml:space="preserve"> PAGEREF _Toc64542209 \h </w:instrText>
      </w:r>
      <w:r>
        <w:fldChar w:fldCharType="separate"/>
      </w:r>
      <w:r>
        <w:t>100</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"_Toc64542210" </w:instrText>
      </w:r>
      <w:r>
        <w:fldChar w:fldCharType="separate"/>
      </w:r>
      <w:r>
        <w:rPr>
          <w:rStyle w:val="36"/>
          <w:rFonts w:hint="eastAsia" w:ascii="楷体_GB2312" w:eastAsia="楷体_GB2312"/>
        </w:rPr>
        <w:t>第四节</w:t>
      </w:r>
      <w:r>
        <w:rPr>
          <w:rStyle w:val="36"/>
          <w:rFonts w:ascii="楷体_GB2312" w:eastAsia="楷体_GB2312"/>
        </w:rPr>
        <w:t xml:space="preserve">  </w:t>
      </w:r>
      <w:r>
        <w:rPr>
          <w:rStyle w:val="36"/>
          <w:rFonts w:hint="eastAsia" w:ascii="楷体_GB2312" w:eastAsia="楷体_GB2312"/>
        </w:rPr>
        <w:t>提升城市精细化管理水平</w:t>
      </w:r>
      <w:r>
        <w:tab/>
      </w:r>
      <w:r>
        <w:fldChar w:fldCharType="begin"/>
      </w:r>
      <w:r>
        <w:instrText xml:space="preserve"> PAGEREF _Toc64542210 \h </w:instrText>
      </w:r>
      <w:r>
        <w:fldChar w:fldCharType="separate"/>
      </w:r>
      <w:r>
        <w:t>102</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"_Toc64542211" </w:instrText>
      </w:r>
      <w:r>
        <w:fldChar w:fldCharType="separate"/>
      </w:r>
      <w:r>
        <w:rPr>
          <w:rStyle w:val="36"/>
          <w:rFonts w:hint="eastAsia"/>
          <w:b w:val="0"/>
        </w:rPr>
        <w:t>第三十一章</w:t>
      </w:r>
      <w:r>
        <w:rPr>
          <w:rStyle w:val="36"/>
          <w:b w:val="0"/>
        </w:rPr>
        <w:t xml:space="preserve">  </w:t>
      </w:r>
      <w:r>
        <w:rPr>
          <w:rStyle w:val="36"/>
          <w:rFonts w:hint="eastAsia"/>
          <w:b w:val="0"/>
        </w:rPr>
        <w:t>推动综合交通跨越式发展</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_Toc64542211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103</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"_Toc64542212"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强化外联综合运输通道</w:t>
      </w:r>
      <w:r>
        <w:tab/>
      </w:r>
      <w:r>
        <w:fldChar w:fldCharType="begin"/>
      </w:r>
      <w:r>
        <w:instrText xml:space="preserve"> PAGEREF _Toc64542212 \h </w:instrText>
      </w:r>
      <w:r>
        <w:fldChar w:fldCharType="separate"/>
      </w:r>
      <w:r>
        <w:t>103</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"_Toc64542213"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优化内畅交通网络布局</w:t>
      </w:r>
      <w:r>
        <w:tab/>
      </w:r>
      <w:r>
        <w:fldChar w:fldCharType="begin"/>
      </w:r>
      <w:r>
        <w:instrText xml:space="preserve"> PAGEREF _Toc64542213 \h </w:instrText>
      </w:r>
      <w:r>
        <w:fldChar w:fldCharType="separate"/>
      </w:r>
      <w:r>
        <w:t>104</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"_Toc64542214" </w:instrText>
      </w:r>
      <w:r>
        <w:fldChar w:fldCharType="separate"/>
      </w:r>
      <w:r>
        <w:rPr>
          <w:rStyle w:val="36"/>
          <w:rFonts w:hint="eastAsia"/>
          <w:b w:val="0"/>
        </w:rPr>
        <w:t>第三十二章</w:t>
      </w:r>
      <w:r>
        <w:rPr>
          <w:rStyle w:val="36"/>
          <w:b w:val="0"/>
        </w:rPr>
        <w:t xml:space="preserve">  </w:t>
      </w:r>
      <w:r>
        <w:rPr>
          <w:rStyle w:val="36"/>
          <w:rFonts w:hint="eastAsia"/>
          <w:b w:val="0"/>
        </w:rPr>
        <w:t>加快建设现代能源水利设施</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_Toc64542214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108</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"_Toc64542215"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加强能源设施建设</w:t>
      </w:r>
      <w:r>
        <w:tab/>
      </w:r>
      <w:r>
        <w:fldChar w:fldCharType="begin"/>
      </w:r>
      <w:r>
        <w:instrText xml:space="preserve"> PAGEREF _Toc64542215 \h </w:instrText>
      </w:r>
      <w:r>
        <w:fldChar w:fldCharType="separate"/>
      </w:r>
      <w:r>
        <w:t>108</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"_Toc64542216"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大力发展绿色能源</w:t>
      </w:r>
      <w:r>
        <w:tab/>
      </w:r>
      <w:r>
        <w:fldChar w:fldCharType="begin"/>
      </w:r>
      <w:r>
        <w:instrText xml:space="preserve"> PAGEREF _Toc64542216 \h </w:instrText>
      </w:r>
      <w:r>
        <w:fldChar w:fldCharType="separate"/>
      </w:r>
      <w:r>
        <w:t>109</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"_Toc64542217"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健全城市水利设施</w:t>
      </w:r>
      <w:r>
        <w:tab/>
      </w:r>
      <w:r>
        <w:fldChar w:fldCharType="begin"/>
      </w:r>
      <w:r>
        <w:instrText xml:space="preserve"> PAGEREF _Toc64542217 \h </w:instrText>
      </w:r>
      <w:r>
        <w:fldChar w:fldCharType="separate"/>
      </w:r>
      <w:r>
        <w:t>110</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"_Toc64542218" </w:instrText>
      </w:r>
      <w:r>
        <w:fldChar w:fldCharType="separate"/>
      </w:r>
      <w:r>
        <w:rPr>
          <w:rStyle w:val="36"/>
          <w:rFonts w:hint="eastAsia" w:ascii="楷体_GB2312" w:eastAsia="楷体_GB2312"/>
        </w:rPr>
        <w:t>第四节</w:t>
      </w:r>
      <w:r>
        <w:rPr>
          <w:rStyle w:val="36"/>
          <w:rFonts w:ascii="楷体_GB2312" w:eastAsia="楷体_GB2312"/>
        </w:rPr>
        <w:t xml:space="preserve">  </w:t>
      </w:r>
      <w:r>
        <w:rPr>
          <w:rStyle w:val="36"/>
          <w:rFonts w:hint="eastAsia" w:ascii="楷体_GB2312" w:eastAsia="楷体_GB2312"/>
        </w:rPr>
        <w:t>构筑供水保障体系</w:t>
      </w:r>
      <w:r>
        <w:tab/>
      </w:r>
      <w:r>
        <w:fldChar w:fldCharType="begin"/>
      </w:r>
      <w:r>
        <w:instrText xml:space="preserve"> PAGEREF _Toc64542218 \h </w:instrText>
      </w:r>
      <w:r>
        <w:fldChar w:fldCharType="separate"/>
      </w:r>
      <w:r>
        <w:t>110</w:t>
      </w:r>
      <w:r>
        <w:fldChar w:fldCharType="end"/>
      </w:r>
      <w:r>
        <w:fldChar w:fldCharType="end"/>
      </w:r>
    </w:p>
    <w:p>
      <w:pPr>
        <w:pStyle w:val="21"/>
        <w:tabs>
          <w:tab w:val="right" w:leader="dot" w:pos="9062"/>
        </w:tabs>
        <w:rPr>
          <w:rFonts w:asciiTheme="minorHAnsi" w:hAnsiTheme="minorHAnsi" w:eastAsiaTheme="minorEastAsia" w:cstheme="minorBidi"/>
          <w:b w:val="0"/>
          <w:bCs w:val="0"/>
          <w:caps w:val="0"/>
          <w:sz w:val="21"/>
          <w:szCs w:val="22"/>
        </w:rPr>
      </w:pPr>
      <w:r>
        <w:fldChar w:fldCharType="begin"/>
      </w:r>
      <w:r>
        <w:instrText xml:space="preserve"> HYPERLINK \l "_Toc64542219" </w:instrText>
      </w:r>
      <w:r>
        <w:fldChar w:fldCharType="separate"/>
      </w:r>
      <w:r>
        <w:rPr>
          <w:rStyle w:val="36"/>
          <w:rFonts w:hint="eastAsia"/>
          <w:b w:val="0"/>
        </w:rPr>
        <w:t>第十篇 引领大南昌都市圈高质量发展</w:t>
      </w:r>
      <w:r>
        <w:rPr>
          <w:b w:val="0"/>
        </w:rPr>
        <w:tab/>
      </w:r>
      <w:r>
        <w:rPr>
          <w:rFonts w:ascii="仿宋_GB2312" w:hAnsi="仿宋_GB2312" w:eastAsia="仿宋_GB2312" w:cs="仿宋_GB2312"/>
          <w:b w:val="0"/>
          <w:bCs w:val="0"/>
          <w:caps w:val="0"/>
        </w:rPr>
        <w:fldChar w:fldCharType="begin"/>
      </w:r>
      <w:r>
        <w:rPr>
          <w:rFonts w:ascii="仿宋_GB2312" w:hAnsi="仿宋_GB2312" w:eastAsia="仿宋_GB2312" w:cs="仿宋_GB2312"/>
          <w:b w:val="0"/>
          <w:bCs w:val="0"/>
          <w:caps w:val="0"/>
        </w:rPr>
        <w:instrText xml:space="preserve"> PAGEREF _Toc64542219 \h </w:instrText>
      </w:r>
      <w:r>
        <w:rPr>
          <w:rFonts w:ascii="仿宋_GB2312" w:hAnsi="仿宋_GB2312" w:eastAsia="仿宋_GB2312" w:cs="仿宋_GB2312"/>
          <w:b w:val="0"/>
          <w:bCs w:val="0"/>
          <w:caps w:val="0"/>
        </w:rPr>
        <w:fldChar w:fldCharType="separate"/>
      </w:r>
      <w:r>
        <w:rPr>
          <w:rFonts w:ascii="仿宋_GB2312" w:hAnsi="仿宋_GB2312" w:eastAsia="仿宋_GB2312" w:cs="仿宋_GB2312"/>
          <w:b w:val="0"/>
          <w:bCs w:val="0"/>
          <w:caps w:val="0"/>
        </w:rPr>
        <w:t>112</w:t>
      </w:r>
      <w:r>
        <w:rPr>
          <w:rFonts w:ascii="仿宋_GB2312" w:hAnsi="仿宋_GB2312" w:eastAsia="仿宋_GB2312" w:cs="仿宋_GB2312"/>
          <w:b w:val="0"/>
          <w:bCs w:val="0"/>
          <w:caps w:val="0"/>
        </w:rPr>
        <w:fldChar w:fldCharType="end"/>
      </w:r>
      <w:r>
        <w:rPr>
          <w:rFonts w:ascii="仿宋_GB2312" w:hAnsi="仿宋_GB2312" w:eastAsia="仿宋_GB2312" w:cs="仿宋_GB2312"/>
          <w:b w:val="0"/>
          <w:bCs w:val="0"/>
          <w:caps w:val="0"/>
        </w:rP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"_Toc64542220" </w:instrText>
      </w:r>
      <w:r>
        <w:fldChar w:fldCharType="separate"/>
      </w:r>
      <w:r>
        <w:rPr>
          <w:rStyle w:val="36"/>
          <w:rFonts w:hint="eastAsia"/>
          <w:b w:val="0"/>
        </w:rPr>
        <w:t>第三十三章</w:t>
      </w:r>
      <w:r>
        <w:rPr>
          <w:rStyle w:val="36"/>
          <w:b w:val="0"/>
        </w:rPr>
        <w:t xml:space="preserve">  </w:t>
      </w:r>
      <w:r>
        <w:rPr>
          <w:rStyle w:val="36"/>
          <w:rFonts w:hint="eastAsia"/>
          <w:b w:val="0"/>
        </w:rPr>
        <w:t>构建大南昌都市圈融合发展新格局</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_Toc64542220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112</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"_Toc64542221"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联动赣江新区共同繁荣</w:t>
      </w:r>
      <w:r>
        <w:tab/>
      </w:r>
      <w:r>
        <w:fldChar w:fldCharType="begin"/>
      </w:r>
      <w:r>
        <w:instrText xml:space="preserve"> PAGEREF _Toc64542221 \h </w:instrText>
      </w:r>
      <w:r>
        <w:fldChar w:fldCharType="separate"/>
      </w:r>
      <w:r>
        <w:t>112</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"_Toc64542222"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促进圈内城市功能协同</w:t>
      </w:r>
      <w:r>
        <w:tab/>
      </w:r>
      <w:r>
        <w:fldChar w:fldCharType="begin"/>
      </w:r>
      <w:r>
        <w:instrText xml:space="preserve"> PAGEREF _Toc64542222 \h </w:instrText>
      </w:r>
      <w:r>
        <w:fldChar w:fldCharType="separate"/>
      </w:r>
      <w:r>
        <w:t>113</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"_Toc64542223"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完善都市圈融合发展机制</w:t>
      </w:r>
      <w:r>
        <w:tab/>
      </w:r>
      <w:r>
        <w:fldChar w:fldCharType="begin"/>
      </w:r>
      <w:r>
        <w:instrText xml:space="preserve"> PAGEREF _Toc64542223 \h </w:instrText>
      </w:r>
      <w:r>
        <w:fldChar w:fldCharType="separate"/>
      </w:r>
      <w:r>
        <w:t>115</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"_Toc64542224" </w:instrText>
      </w:r>
      <w:r>
        <w:fldChar w:fldCharType="separate"/>
      </w:r>
      <w:r>
        <w:rPr>
          <w:rStyle w:val="36"/>
          <w:rFonts w:hint="eastAsia" w:ascii="楷体_GB2312" w:eastAsia="楷体_GB2312"/>
        </w:rPr>
        <w:t>第四节</w:t>
      </w:r>
      <w:r>
        <w:rPr>
          <w:rStyle w:val="36"/>
          <w:rFonts w:ascii="楷体_GB2312" w:eastAsia="楷体_GB2312"/>
        </w:rPr>
        <w:t xml:space="preserve">  </w:t>
      </w:r>
      <w:r>
        <w:rPr>
          <w:rStyle w:val="36"/>
          <w:rFonts w:hint="eastAsia" w:ascii="楷体_GB2312" w:eastAsia="楷体_GB2312"/>
        </w:rPr>
        <w:t>促进人口集聚</w:t>
      </w:r>
      <w:r>
        <w:tab/>
      </w:r>
      <w:r>
        <w:fldChar w:fldCharType="begin"/>
      </w:r>
      <w:r>
        <w:instrText xml:space="preserve"> PAGEREF _Toc64542224 \h </w:instrText>
      </w:r>
      <w:r>
        <w:fldChar w:fldCharType="separate"/>
      </w:r>
      <w:r>
        <w:t>115</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"_Toc64542225" </w:instrText>
      </w:r>
      <w:r>
        <w:fldChar w:fldCharType="separate"/>
      </w:r>
      <w:r>
        <w:rPr>
          <w:rStyle w:val="36"/>
          <w:rFonts w:hint="eastAsia"/>
          <w:b w:val="0"/>
        </w:rPr>
        <w:t>第三十四章</w:t>
      </w:r>
      <w:r>
        <w:rPr>
          <w:rStyle w:val="36"/>
          <w:b w:val="0"/>
        </w:rPr>
        <w:t xml:space="preserve">  </w:t>
      </w:r>
      <w:r>
        <w:rPr>
          <w:rStyle w:val="36"/>
          <w:rFonts w:hint="eastAsia"/>
          <w:b w:val="0"/>
        </w:rPr>
        <w:t>携手共建长江中游城市群</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_Toc64542225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118</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"_Toc64542226"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合力提升城市群综合能级</w:t>
      </w:r>
      <w:r>
        <w:tab/>
      </w:r>
      <w:r>
        <w:fldChar w:fldCharType="begin"/>
      </w:r>
      <w:r>
        <w:instrText xml:space="preserve"> PAGEREF _Toc64542226 \h </w:instrText>
      </w:r>
      <w:r>
        <w:fldChar w:fldCharType="separate"/>
      </w:r>
      <w:r>
        <w:t>118</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"_Toc64542227"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全面深化城市群合作关系</w:t>
      </w:r>
      <w:r>
        <w:tab/>
      </w:r>
      <w:r>
        <w:fldChar w:fldCharType="begin"/>
      </w:r>
      <w:r>
        <w:instrText xml:space="preserve"> PAGEREF _Toc64542227 \h </w:instrText>
      </w:r>
      <w:r>
        <w:fldChar w:fldCharType="separate"/>
      </w:r>
      <w:r>
        <w:t>118</w:t>
      </w:r>
      <w:r>
        <w:fldChar w:fldCharType="end"/>
      </w:r>
      <w:r>
        <w:fldChar w:fldCharType="end"/>
      </w:r>
    </w:p>
    <w:p>
      <w:pPr>
        <w:pStyle w:val="21"/>
        <w:tabs>
          <w:tab w:val="right" w:leader="dot" w:pos="9062"/>
        </w:tabs>
        <w:rPr>
          <w:rFonts w:asciiTheme="minorHAnsi" w:hAnsiTheme="minorHAnsi" w:eastAsiaTheme="minorEastAsia" w:cstheme="minorBidi"/>
          <w:b w:val="0"/>
          <w:bCs w:val="0"/>
          <w:caps w:val="0"/>
          <w:sz w:val="21"/>
          <w:szCs w:val="22"/>
        </w:rPr>
      </w:pPr>
      <w:r>
        <w:fldChar w:fldCharType="begin"/>
      </w:r>
      <w:r>
        <w:instrText xml:space="preserve"> HYPERLINK \l "_Toc64542228" </w:instrText>
      </w:r>
      <w:r>
        <w:fldChar w:fldCharType="separate"/>
      </w:r>
      <w:r>
        <w:rPr>
          <w:rStyle w:val="36"/>
          <w:rFonts w:hint="eastAsia"/>
          <w:b w:val="0"/>
        </w:rPr>
        <w:t>第十一篇</w:t>
      </w:r>
      <w:r>
        <w:rPr>
          <w:rStyle w:val="36"/>
          <w:b w:val="0"/>
        </w:rPr>
        <w:t xml:space="preserve">  </w:t>
      </w:r>
      <w:r>
        <w:rPr>
          <w:rStyle w:val="36"/>
          <w:rFonts w:hint="eastAsia"/>
          <w:b w:val="0"/>
        </w:rPr>
        <w:t>打造美丽中国南昌样板</w:t>
      </w:r>
      <w:r>
        <w:rPr>
          <w:b w:val="0"/>
        </w:rPr>
        <w:tab/>
      </w:r>
      <w:r>
        <w:rPr>
          <w:rFonts w:ascii="仿宋_GB2312" w:hAnsi="仿宋_GB2312" w:eastAsia="仿宋_GB2312" w:cs="仿宋_GB2312"/>
          <w:b w:val="0"/>
          <w:bCs w:val="0"/>
          <w:caps w:val="0"/>
        </w:rPr>
        <w:fldChar w:fldCharType="begin"/>
      </w:r>
      <w:r>
        <w:rPr>
          <w:rFonts w:ascii="仿宋_GB2312" w:hAnsi="仿宋_GB2312" w:eastAsia="仿宋_GB2312" w:cs="仿宋_GB2312"/>
          <w:b w:val="0"/>
          <w:bCs w:val="0"/>
          <w:caps w:val="0"/>
        </w:rPr>
        <w:instrText xml:space="preserve"> PAGEREF _Toc64542228 \h </w:instrText>
      </w:r>
      <w:r>
        <w:rPr>
          <w:rFonts w:ascii="仿宋_GB2312" w:hAnsi="仿宋_GB2312" w:eastAsia="仿宋_GB2312" w:cs="仿宋_GB2312"/>
          <w:b w:val="0"/>
          <w:bCs w:val="0"/>
          <w:caps w:val="0"/>
        </w:rPr>
        <w:fldChar w:fldCharType="separate"/>
      </w:r>
      <w:r>
        <w:rPr>
          <w:rFonts w:ascii="仿宋_GB2312" w:hAnsi="仿宋_GB2312" w:eastAsia="仿宋_GB2312" w:cs="仿宋_GB2312"/>
          <w:b w:val="0"/>
          <w:bCs w:val="0"/>
          <w:caps w:val="0"/>
        </w:rPr>
        <w:t>121</w:t>
      </w:r>
      <w:r>
        <w:rPr>
          <w:rFonts w:ascii="仿宋_GB2312" w:hAnsi="仿宋_GB2312" w:eastAsia="仿宋_GB2312" w:cs="仿宋_GB2312"/>
          <w:b w:val="0"/>
          <w:bCs w:val="0"/>
          <w:caps w:val="0"/>
        </w:rPr>
        <w:fldChar w:fldCharType="end"/>
      </w:r>
      <w:r>
        <w:rPr>
          <w:rFonts w:ascii="仿宋_GB2312" w:hAnsi="仿宋_GB2312" w:eastAsia="仿宋_GB2312" w:cs="仿宋_GB2312"/>
          <w:b w:val="0"/>
          <w:bCs w:val="0"/>
          <w:caps w:val="0"/>
        </w:rP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"_Toc64542229" </w:instrText>
      </w:r>
      <w:r>
        <w:fldChar w:fldCharType="separate"/>
      </w:r>
      <w:r>
        <w:rPr>
          <w:rStyle w:val="36"/>
          <w:rFonts w:hint="eastAsia"/>
          <w:b w:val="0"/>
        </w:rPr>
        <w:t>第三十五章</w:t>
      </w:r>
      <w:r>
        <w:rPr>
          <w:rStyle w:val="36"/>
          <w:b w:val="0"/>
        </w:rPr>
        <w:t xml:space="preserve">  </w:t>
      </w:r>
      <w:r>
        <w:rPr>
          <w:rStyle w:val="36"/>
          <w:rFonts w:hint="eastAsia"/>
          <w:b w:val="0"/>
        </w:rPr>
        <w:t>持续改善环境质量</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_Toc64542229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121</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"_Toc64542230"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打好蓝天保卫战</w:t>
      </w:r>
      <w:r>
        <w:tab/>
      </w:r>
      <w:r>
        <w:fldChar w:fldCharType="begin"/>
      </w:r>
      <w:r>
        <w:instrText xml:space="preserve"> PAGEREF _Toc64542230 \h </w:instrText>
      </w:r>
      <w:r>
        <w:fldChar w:fldCharType="separate"/>
      </w:r>
      <w:r>
        <w:t>121</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"_Toc64542231"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打好碧水保卫战</w:t>
      </w:r>
      <w:r>
        <w:tab/>
      </w:r>
      <w:r>
        <w:fldChar w:fldCharType="begin"/>
      </w:r>
      <w:r>
        <w:instrText xml:space="preserve"> PAGEREF _Toc64542231 \h </w:instrText>
      </w:r>
      <w:r>
        <w:fldChar w:fldCharType="separate"/>
      </w:r>
      <w:r>
        <w:t>122</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"_Toc64542232"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打好净土保卫战</w:t>
      </w:r>
      <w:r>
        <w:tab/>
      </w:r>
      <w:r>
        <w:fldChar w:fldCharType="begin"/>
      </w:r>
      <w:r>
        <w:instrText xml:space="preserve"> PAGEREF _Toc64542232 \h </w:instrText>
      </w:r>
      <w:r>
        <w:fldChar w:fldCharType="separate"/>
      </w:r>
      <w:r>
        <w:t>122</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"_Toc64542233" </w:instrText>
      </w:r>
      <w:r>
        <w:fldChar w:fldCharType="separate"/>
      </w:r>
      <w:r>
        <w:rPr>
          <w:rStyle w:val="36"/>
          <w:rFonts w:hint="eastAsia" w:ascii="楷体_GB2312" w:eastAsia="楷体_GB2312"/>
        </w:rPr>
        <w:t>第四节</w:t>
      </w:r>
      <w:r>
        <w:rPr>
          <w:rStyle w:val="36"/>
          <w:rFonts w:ascii="楷体_GB2312" w:eastAsia="楷体_GB2312"/>
        </w:rPr>
        <w:t xml:space="preserve">  </w:t>
      </w:r>
      <w:r>
        <w:rPr>
          <w:rStyle w:val="36"/>
          <w:rFonts w:hint="eastAsia" w:ascii="楷体_GB2312" w:eastAsia="楷体_GB2312"/>
        </w:rPr>
        <w:t>实施清废行动</w:t>
      </w:r>
      <w:r>
        <w:tab/>
      </w:r>
      <w:r>
        <w:fldChar w:fldCharType="begin"/>
      </w:r>
      <w:r>
        <w:instrText xml:space="preserve"> PAGEREF _Toc64542233 \h </w:instrText>
      </w:r>
      <w:r>
        <w:fldChar w:fldCharType="separate"/>
      </w:r>
      <w:r>
        <w:t>123</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"_Toc64542234" </w:instrText>
      </w:r>
      <w:r>
        <w:fldChar w:fldCharType="separate"/>
      </w:r>
      <w:r>
        <w:rPr>
          <w:rStyle w:val="36"/>
          <w:rFonts w:hint="eastAsia" w:ascii="楷体_GB2312" w:eastAsia="楷体_GB2312"/>
        </w:rPr>
        <w:t>第五节</w:t>
      </w:r>
      <w:r>
        <w:rPr>
          <w:rStyle w:val="36"/>
          <w:rFonts w:ascii="楷体_GB2312" w:eastAsia="楷体_GB2312"/>
        </w:rPr>
        <w:t xml:space="preserve">  </w:t>
      </w:r>
      <w:r>
        <w:rPr>
          <w:rStyle w:val="36"/>
          <w:rFonts w:hint="eastAsia" w:ascii="楷体_GB2312" w:eastAsia="楷体_GB2312"/>
        </w:rPr>
        <w:t>加强新污染治理</w:t>
      </w:r>
      <w:r>
        <w:tab/>
      </w:r>
      <w:r>
        <w:fldChar w:fldCharType="begin"/>
      </w:r>
      <w:r>
        <w:instrText xml:space="preserve"> PAGEREF _Toc64542234 \h </w:instrText>
      </w:r>
      <w:r>
        <w:fldChar w:fldCharType="separate"/>
      </w:r>
      <w:r>
        <w:t>123</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"_Toc64542235" </w:instrText>
      </w:r>
      <w:r>
        <w:fldChar w:fldCharType="separate"/>
      </w:r>
      <w:r>
        <w:rPr>
          <w:rStyle w:val="36"/>
          <w:rFonts w:hint="eastAsia"/>
          <w:b w:val="0"/>
        </w:rPr>
        <w:t>第三十六章</w:t>
      </w:r>
      <w:r>
        <w:rPr>
          <w:rStyle w:val="36"/>
          <w:b w:val="0"/>
        </w:rPr>
        <w:t xml:space="preserve">  </w:t>
      </w:r>
      <w:r>
        <w:rPr>
          <w:rStyle w:val="36"/>
          <w:rFonts w:hint="eastAsia"/>
          <w:b w:val="0"/>
        </w:rPr>
        <w:t>提升生态系统质量和稳定性</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_Toc64542235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124</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"_Toc64542236"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建设山水林田湖草生命共同体示范区</w:t>
      </w:r>
      <w:r>
        <w:tab/>
      </w:r>
      <w:r>
        <w:fldChar w:fldCharType="begin"/>
      </w:r>
      <w:r>
        <w:instrText xml:space="preserve"> PAGEREF _Toc64542236 \h </w:instrText>
      </w:r>
      <w:r>
        <w:fldChar w:fldCharType="separate"/>
      </w:r>
      <w:r>
        <w:t>124</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"_Toc64542237"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促进生态产品价值转换</w:t>
      </w:r>
      <w:r>
        <w:tab/>
      </w:r>
      <w:r>
        <w:fldChar w:fldCharType="begin"/>
      </w:r>
      <w:r>
        <w:instrText xml:space="preserve"> PAGEREF _Toc64542237 \h </w:instrText>
      </w:r>
      <w:r>
        <w:fldChar w:fldCharType="separate"/>
      </w:r>
      <w:r>
        <w:t>125</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"_Toc64542238" </w:instrText>
      </w:r>
      <w:r>
        <w:fldChar w:fldCharType="separate"/>
      </w:r>
      <w:r>
        <w:rPr>
          <w:rStyle w:val="36"/>
          <w:rFonts w:hint="eastAsia"/>
          <w:b w:val="0"/>
        </w:rPr>
        <w:t>第三十七章</w:t>
      </w:r>
      <w:r>
        <w:rPr>
          <w:rStyle w:val="36"/>
          <w:b w:val="0"/>
        </w:rPr>
        <w:t xml:space="preserve">  </w:t>
      </w:r>
      <w:r>
        <w:rPr>
          <w:rStyle w:val="36"/>
          <w:rFonts w:hint="eastAsia"/>
          <w:b w:val="0"/>
        </w:rPr>
        <w:t>推动绿色低碳发展</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_Toc64542238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125</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"_Toc64542239"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加快经济绿色转型</w:t>
      </w:r>
      <w:r>
        <w:tab/>
      </w:r>
      <w:r>
        <w:fldChar w:fldCharType="begin"/>
      </w:r>
      <w:r>
        <w:instrText xml:space="preserve"> PAGEREF _Toc64542239 \h </w:instrText>
      </w:r>
      <w:r>
        <w:fldChar w:fldCharType="separate"/>
      </w:r>
      <w:r>
        <w:t>126</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"_Toc64542240"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倡导绿色生活方式与绿色消费</w:t>
      </w:r>
      <w:r>
        <w:tab/>
      </w:r>
      <w:r>
        <w:fldChar w:fldCharType="begin"/>
      </w:r>
      <w:r>
        <w:instrText xml:space="preserve"> PAGEREF _Toc64542240 \h </w:instrText>
      </w:r>
      <w:r>
        <w:fldChar w:fldCharType="separate"/>
      </w:r>
      <w:r>
        <w:t>126</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"_Toc64542241"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积极应对气候变化</w:t>
      </w:r>
      <w:r>
        <w:tab/>
      </w:r>
      <w:r>
        <w:fldChar w:fldCharType="begin"/>
      </w:r>
      <w:r>
        <w:instrText xml:space="preserve"> PAGEREF _Toc64542241 \h </w:instrText>
      </w:r>
      <w:r>
        <w:fldChar w:fldCharType="separate"/>
      </w:r>
      <w:r>
        <w:t>127</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"_Toc64542242" </w:instrText>
      </w:r>
      <w:r>
        <w:fldChar w:fldCharType="separate"/>
      </w:r>
      <w:r>
        <w:rPr>
          <w:rStyle w:val="36"/>
          <w:rFonts w:hint="eastAsia"/>
          <w:b w:val="0"/>
        </w:rPr>
        <w:t>第三十八章</w:t>
      </w:r>
      <w:r>
        <w:rPr>
          <w:rStyle w:val="36"/>
          <w:b w:val="0"/>
        </w:rPr>
        <w:t xml:space="preserve">  </w:t>
      </w:r>
      <w:r>
        <w:rPr>
          <w:rStyle w:val="36"/>
          <w:rFonts w:hint="eastAsia"/>
          <w:b w:val="0"/>
        </w:rPr>
        <w:t>完善生态文明制度</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_Toc64542242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129</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"_Toc64542243"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健全现代环境治理体系</w:t>
      </w:r>
      <w:r>
        <w:tab/>
      </w:r>
      <w:r>
        <w:fldChar w:fldCharType="begin"/>
      </w:r>
      <w:r>
        <w:instrText xml:space="preserve"> PAGEREF _Toc64542243 \h </w:instrText>
      </w:r>
      <w:r>
        <w:fldChar w:fldCharType="separate"/>
      </w:r>
      <w:r>
        <w:t>129</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"_Toc64542244"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完善资源能源高效利用制度</w:t>
      </w:r>
      <w:r>
        <w:tab/>
      </w:r>
      <w:r>
        <w:fldChar w:fldCharType="begin"/>
      </w:r>
      <w:r>
        <w:instrText xml:space="preserve"> PAGEREF _Toc64542244 \h </w:instrText>
      </w:r>
      <w:r>
        <w:fldChar w:fldCharType="separate"/>
      </w:r>
      <w:r>
        <w:t>130</w:t>
      </w:r>
      <w:r>
        <w:fldChar w:fldCharType="end"/>
      </w:r>
      <w:r>
        <w:fldChar w:fldCharType="end"/>
      </w:r>
    </w:p>
    <w:p>
      <w:pPr>
        <w:pStyle w:val="21"/>
        <w:tabs>
          <w:tab w:val="right" w:leader="dot" w:pos="9062"/>
        </w:tabs>
        <w:rPr>
          <w:rFonts w:asciiTheme="minorHAnsi" w:hAnsiTheme="minorHAnsi" w:eastAsiaTheme="minorEastAsia" w:cstheme="minorBidi"/>
          <w:b w:val="0"/>
          <w:bCs w:val="0"/>
          <w:caps w:val="0"/>
          <w:sz w:val="21"/>
          <w:szCs w:val="22"/>
        </w:rPr>
      </w:pPr>
      <w:r>
        <w:fldChar w:fldCharType="begin"/>
      </w:r>
      <w:r>
        <w:instrText xml:space="preserve"> HYPERLINK \l "_Toc64542245" </w:instrText>
      </w:r>
      <w:r>
        <w:fldChar w:fldCharType="separate"/>
      </w:r>
      <w:r>
        <w:rPr>
          <w:rStyle w:val="36"/>
          <w:rFonts w:hint="eastAsia"/>
          <w:b w:val="0"/>
        </w:rPr>
        <w:t>第十二篇</w:t>
      </w:r>
      <w:r>
        <w:rPr>
          <w:rStyle w:val="36"/>
          <w:b w:val="0"/>
        </w:rPr>
        <w:t xml:space="preserve">  </w:t>
      </w:r>
      <w:r>
        <w:rPr>
          <w:rStyle w:val="36"/>
          <w:rFonts w:hint="eastAsia"/>
          <w:b w:val="0"/>
        </w:rPr>
        <w:t>建设独具魅力的文化之城</w:t>
      </w:r>
      <w:r>
        <w:rPr>
          <w:b w:val="0"/>
        </w:rPr>
        <w:tab/>
      </w:r>
      <w:r>
        <w:rPr>
          <w:rFonts w:ascii="仿宋_GB2312" w:hAnsi="仿宋_GB2312" w:eastAsia="仿宋_GB2312" w:cs="仿宋_GB2312"/>
          <w:b w:val="0"/>
          <w:bCs w:val="0"/>
          <w:caps w:val="0"/>
        </w:rPr>
        <w:fldChar w:fldCharType="begin"/>
      </w:r>
      <w:r>
        <w:rPr>
          <w:rFonts w:ascii="仿宋_GB2312" w:hAnsi="仿宋_GB2312" w:eastAsia="仿宋_GB2312" w:cs="仿宋_GB2312"/>
          <w:b w:val="0"/>
          <w:bCs w:val="0"/>
          <w:caps w:val="0"/>
        </w:rPr>
        <w:instrText xml:space="preserve"> PAGEREF _Toc64542245 \h </w:instrText>
      </w:r>
      <w:r>
        <w:rPr>
          <w:rFonts w:ascii="仿宋_GB2312" w:hAnsi="仿宋_GB2312" w:eastAsia="仿宋_GB2312" w:cs="仿宋_GB2312"/>
          <w:b w:val="0"/>
          <w:bCs w:val="0"/>
          <w:caps w:val="0"/>
        </w:rPr>
        <w:fldChar w:fldCharType="separate"/>
      </w:r>
      <w:r>
        <w:rPr>
          <w:rFonts w:ascii="仿宋_GB2312" w:hAnsi="仿宋_GB2312" w:eastAsia="仿宋_GB2312" w:cs="仿宋_GB2312"/>
          <w:b w:val="0"/>
          <w:bCs w:val="0"/>
          <w:caps w:val="0"/>
        </w:rPr>
        <w:t>131</w:t>
      </w:r>
      <w:r>
        <w:rPr>
          <w:rFonts w:ascii="仿宋_GB2312" w:hAnsi="仿宋_GB2312" w:eastAsia="仿宋_GB2312" w:cs="仿宋_GB2312"/>
          <w:b w:val="0"/>
          <w:bCs w:val="0"/>
          <w:caps w:val="0"/>
        </w:rPr>
        <w:fldChar w:fldCharType="end"/>
      </w:r>
      <w:r>
        <w:rPr>
          <w:rFonts w:ascii="仿宋_GB2312" w:hAnsi="仿宋_GB2312" w:eastAsia="仿宋_GB2312" w:cs="仿宋_GB2312"/>
          <w:b w:val="0"/>
          <w:bCs w:val="0"/>
          <w:caps w:val="0"/>
        </w:rP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"_Toc64542246" </w:instrText>
      </w:r>
      <w:r>
        <w:fldChar w:fldCharType="separate"/>
      </w:r>
      <w:r>
        <w:rPr>
          <w:rStyle w:val="36"/>
          <w:rFonts w:hint="eastAsia"/>
          <w:b w:val="0"/>
        </w:rPr>
        <w:t>第三十九章</w:t>
      </w:r>
      <w:r>
        <w:rPr>
          <w:rStyle w:val="36"/>
          <w:b w:val="0"/>
        </w:rPr>
        <w:t xml:space="preserve">  </w:t>
      </w:r>
      <w:r>
        <w:rPr>
          <w:rStyle w:val="36"/>
          <w:rFonts w:hint="eastAsia"/>
          <w:b w:val="0"/>
        </w:rPr>
        <w:t>全面提高社会文明程度</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_Toc64542246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131</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"_Toc64542247"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加强理想信念教育</w:t>
      </w:r>
      <w:r>
        <w:tab/>
      </w:r>
      <w:r>
        <w:fldChar w:fldCharType="begin"/>
      </w:r>
      <w:r>
        <w:instrText xml:space="preserve"> PAGEREF _Toc64542247 \h </w:instrText>
      </w:r>
      <w:r>
        <w:fldChar w:fldCharType="separate"/>
      </w:r>
      <w:r>
        <w:t>131</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"_Toc64542248"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深化社会主义精神文明建设</w:t>
      </w:r>
      <w:r>
        <w:tab/>
      </w:r>
      <w:r>
        <w:fldChar w:fldCharType="begin"/>
      </w:r>
      <w:r>
        <w:instrText xml:space="preserve"> PAGEREF _Toc64542248 \h </w:instrText>
      </w:r>
      <w:r>
        <w:fldChar w:fldCharType="separate"/>
      </w:r>
      <w:r>
        <w:t>132</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"_Toc64542249"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加强社会诚信道德建设</w:t>
      </w:r>
      <w:r>
        <w:tab/>
      </w:r>
      <w:r>
        <w:fldChar w:fldCharType="begin"/>
      </w:r>
      <w:r>
        <w:instrText xml:space="preserve"> PAGEREF _Toc64542249 \h </w:instrText>
      </w:r>
      <w:r>
        <w:fldChar w:fldCharType="separate"/>
      </w:r>
      <w:r>
        <w:t>132</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"_Toc64542250" </w:instrText>
      </w:r>
      <w:r>
        <w:fldChar w:fldCharType="separate"/>
      </w:r>
      <w:r>
        <w:rPr>
          <w:rStyle w:val="36"/>
          <w:rFonts w:hint="eastAsia"/>
          <w:b w:val="0"/>
        </w:rPr>
        <w:t>第四十章</w:t>
      </w:r>
      <w:r>
        <w:rPr>
          <w:rStyle w:val="36"/>
          <w:b w:val="0"/>
        </w:rPr>
        <w:t xml:space="preserve">  </w:t>
      </w:r>
      <w:r>
        <w:rPr>
          <w:rStyle w:val="36"/>
          <w:rFonts w:hint="eastAsia"/>
          <w:b w:val="0"/>
        </w:rPr>
        <w:t>培塑标识鲜明文化名片</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_Toc64542250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133</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"_Toc64542251"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擦亮英雄城红色名片</w:t>
      </w:r>
      <w:r>
        <w:tab/>
      </w:r>
      <w:r>
        <w:fldChar w:fldCharType="begin"/>
      </w:r>
      <w:r>
        <w:instrText xml:space="preserve"> PAGEREF _Toc64542251 \h </w:instrText>
      </w:r>
      <w:r>
        <w:fldChar w:fldCharType="separate"/>
      </w:r>
      <w:r>
        <w:t>133</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"_Toc64542252"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传承创新优秀传统文化</w:t>
      </w:r>
      <w:r>
        <w:tab/>
      </w:r>
      <w:r>
        <w:fldChar w:fldCharType="begin"/>
      </w:r>
      <w:r>
        <w:instrText xml:space="preserve"> PAGEREF _Toc64542252 \h </w:instrText>
      </w:r>
      <w:r>
        <w:fldChar w:fldCharType="separate"/>
      </w:r>
      <w:r>
        <w:t>134</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"_Toc64542253"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积极发展现代都市文化</w:t>
      </w:r>
      <w:r>
        <w:tab/>
      </w:r>
      <w:r>
        <w:fldChar w:fldCharType="begin"/>
      </w:r>
      <w:r>
        <w:instrText xml:space="preserve"> PAGEREF _Toc64542253 \h </w:instrText>
      </w:r>
      <w:r>
        <w:fldChar w:fldCharType="separate"/>
      </w:r>
      <w:r>
        <w:t>135</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"_Toc64542254" </w:instrText>
      </w:r>
      <w:r>
        <w:fldChar w:fldCharType="separate"/>
      </w:r>
      <w:r>
        <w:rPr>
          <w:rStyle w:val="36"/>
          <w:rFonts w:hint="eastAsia" w:ascii="楷体_GB2312" w:eastAsia="楷体_GB2312"/>
        </w:rPr>
        <w:t>第四节</w:t>
      </w:r>
      <w:r>
        <w:rPr>
          <w:rStyle w:val="36"/>
          <w:rFonts w:ascii="楷体_GB2312" w:eastAsia="楷体_GB2312"/>
        </w:rPr>
        <w:t xml:space="preserve">  </w:t>
      </w:r>
      <w:r>
        <w:rPr>
          <w:rStyle w:val="36"/>
          <w:rFonts w:hint="eastAsia" w:ascii="楷体_GB2312" w:eastAsia="楷体_GB2312"/>
        </w:rPr>
        <w:t>创新文化传播和交流</w:t>
      </w:r>
      <w:r>
        <w:tab/>
      </w:r>
      <w:r>
        <w:fldChar w:fldCharType="begin"/>
      </w:r>
      <w:r>
        <w:instrText xml:space="preserve"> PAGEREF _Toc64542254 \h </w:instrText>
      </w:r>
      <w:r>
        <w:fldChar w:fldCharType="separate"/>
      </w:r>
      <w:r>
        <w:t>135</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"_Toc64542255" </w:instrText>
      </w:r>
      <w:r>
        <w:fldChar w:fldCharType="separate"/>
      </w:r>
      <w:r>
        <w:rPr>
          <w:rStyle w:val="36"/>
          <w:rFonts w:hint="eastAsia"/>
          <w:b w:val="0"/>
        </w:rPr>
        <w:t>第四十一章</w:t>
      </w:r>
      <w:r>
        <w:rPr>
          <w:rStyle w:val="36"/>
          <w:b w:val="0"/>
        </w:rPr>
        <w:t xml:space="preserve">  </w:t>
      </w:r>
      <w:r>
        <w:rPr>
          <w:rStyle w:val="36"/>
          <w:rFonts w:hint="eastAsia"/>
          <w:b w:val="0"/>
        </w:rPr>
        <w:t>提升公共文化服务水平</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_Toc64542255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136</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"_Toc64542256"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完善公共文化设施</w:t>
      </w:r>
      <w:r>
        <w:tab/>
      </w:r>
      <w:r>
        <w:fldChar w:fldCharType="begin"/>
      </w:r>
      <w:r>
        <w:instrText xml:space="preserve"> PAGEREF _Toc64542256 \h </w:instrText>
      </w:r>
      <w:r>
        <w:fldChar w:fldCharType="separate"/>
      </w:r>
      <w:r>
        <w:t>136</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"_Toc64542257"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提升优质公共文化产品供给</w:t>
      </w:r>
      <w:r>
        <w:tab/>
      </w:r>
      <w:r>
        <w:fldChar w:fldCharType="begin"/>
      </w:r>
      <w:r>
        <w:instrText xml:space="preserve"> PAGEREF _Toc64542257 \h </w:instrText>
      </w:r>
      <w:r>
        <w:fldChar w:fldCharType="separate"/>
      </w:r>
      <w:r>
        <w:t>136</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"_Toc64542258"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深化文化体制改革</w:t>
      </w:r>
      <w:r>
        <w:tab/>
      </w:r>
      <w:r>
        <w:fldChar w:fldCharType="begin"/>
      </w:r>
      <w:r>
        <w:instrText xml:space="preserve"> PAGEREF _Toc64542258 \h </w:instrText>
      </w:r>
      <w:r>
        <w:fldChar w:fldCharType="separate"/>
      </w:r>
      <w:r>
        <w:t>137</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"_Toc64542259" </w:instrText>
      </w:r>
      <w:r>
        <w:fldChar w:fldCharType="separate"/>
      </w:r>
      <w:r>
        <w:rPr>
          <w:rStyle w:val="36"/>
          <w:rFonts w:hint="eastAsia"/>
          <w:b w:val="0"/>
        </w:rPr>
        <w:t>第四十二章</w:t>
      </w:r>
      <w:r>
        <w:rPr>
          <w:rStyle w:val="36"/>
          <w:b w:val="0"/>
        </w:rPr>
        <w:t xml:space="preserve">  </w:t>
      </w:r>
      <w:r>
        <w:rPr>
          <w:rStyle w:val="36"/>
          <w:rFonts w:hint="eastAsia"/>
          <w:b w:val="0"/>
        </w:rPr>
        <w:t>推动文化产业高质量发展</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_Toc64542259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137</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"_Toc64542260"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培育壮大文化市场主体</w:t>
      </w:r>
      <w:r>
        <w:tab/>
      </w:r>
      <w:r>
        <w:fldChar w:fldCharType="begin"/>
      </w:r>
      <w:r>
        <w:instrText xml:space="preserve"> PAGEREF _Toc64542260 \h </w:instrText>
      </w:r>
      <w:r>
        <w:fldChar w:fldCharType="separate"/>
      </w:r>
      <w:r>
        <w:t>138</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"_Toc64542261"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打造文化产业高地</w:t>
      </w:r>
      <w:r>
        <w:tab/>
      </w:r>
      <w:r>
        <w:fldChar w:fldCharType="begin"/>
      </w:r>
      <w:r>
        <w:instrText xml:space="preserve"> PAGEREF _Toc64542261 \h </w:instrText>
      </w:r>
      <w:r>
        <w:fldChar w:fldCharType="separate"/>
      </w:r>
      <w:r>
        <w:t>138</w:t>
      </w:r>
      <w:r>
        <w:fldChar w:fldCharType="end"/>
      </w:r>
      <w:r>
        <w:fldChar w:fldCharType="end"/>
      </w:r>
    </w:p>
    <w:p>
      <w:pPr>
        <w:pStyle w:val="21"/>
        <w:tabs>
          <w:tab w:val="right" w:leader="dot" w:pos="9062"/>
        </w:tabs>
        <w:rPr>
          <w:rFonts w:asciiTheme="minorHAnsi" w:hAnsiTheme="minorHAnsi" w:eastAsiaTheme="minorEastAsia" w:cstheme="minorBidi"/>
          <w:b w:val="0"/>
          <w:bCs w:val="0"/>
          <w:caps w:val="0"/>
          <w:sz w:val="21"/>
          <w:szCs w:val="22"/>
        </w:rPr>
      </w:pPr>
      <w:r>
        <w:fldChar w:fldCharType="begin"/>
      </w:r>
      <w:r>
        <w:instrText xml:space="preserve"> HYPERLINK \l "_Toc64542262" </w:instrText>
      </w:r>
      <w:r>
        <w:fldChar w:fldCharType="separate"/>
      </w:r>
      <w:r>
        <w:rPr>
          <w:rStyle w:val="36"/>
          <w:rFonts w:hint="eastAsia"/>
          <w:b w:val="0"/>
        </w:rPr>
        <w:t>第十三篇</w:t>
      </w:r>
      <w:r>
        <w:rPr>
          <w:rStyle w:val="36"/>
          <w:b w:val="0"/>
        </w:rPr>
        <w:t xml:space="preserve">  </w:t>
      </w:r>
      <w:r>
        <w:rPr>
          <w:rStyle w:val="36"/>
          <w:rFonts w:hint="eastAsia"/>
          <w:b w:val="0"/>
        </w:rPr>
        <w:t>促进人的全面发展</w:t>
      </w:r>
      <w:r>
        <w:rPr>
          <w:b w:val="0"/>
        </w:rPr>
        <w:tab/>
      </w:r>
      <w:r>
        <w:rPr>
          <w:rFonts w:ascii="仿宋_GB2312" w:hAnsi="仿宋_GB2312" w:eastAsia="仿宋_GB2312" w:cs="仿宋_GB2312"/>
          <w:b w:val="0"/>
          <w:bCs w:val="0"/>
          <w:caps w:val="0"/>
        </w:rPr>
        <w:fldChar w:fldCharType="begin"/>
      </w:r>
      <w:r>
        <w:rPr>
          <w:rFonts w:ascii="仿宋_GB2312" w:hAnsi="仿宋_GB2312" w:eastAsia="仿宋_GB2312" w:cs="仿宋_GB2312"/>
          <w:b w:val="0"/>
          <w:bCs w:val="0"/>
          <w:caps w:val="0"/>
        </w:rPr>
        <w:instrText xml:space="preserve"> PAGEREF _Toc64542262 \h </w:instrText>
      </w:r>
      <w:r>
        <w:rPr>
          <w:rFonts w:ascii="仿宋_GB2312" w:hAnsi="仿宋_GB2312" w:eastAsia="仿宋_GB2312" w:cs="仿宋_GB2312"/>
          <w:b w:val="0"/>
          <w:bCs w:val="0"/>
          <w:caps w:val="0"/>
        </w:rPr>
        <w:fldChar w:fldCharType="separate"/>
      </w:r>
      <w:r>
        <w:rPr>
          <w:rFonts w:ascii="仿宋_GB2312" w:hAnsi="仿宋_GB2312" w:eastAsia="仿宋_GB2312" w:cs="仿宋_GB2312"/>
          <w:b w:val="0"/>
          <w:bCs w:val="0"/>
          <w:caps w:val="0"/>
        </w:rPr>
        <w:t>141</w:t>
      </w:r>
      <w:r>
        <w:rPr>
          <w:rFonts w:ascii="仿宋_GB2312" w:hAnsi="仿宋_GB2312" w:eastAsia="仿宋_GB2312" w:cs="仿宋_GB2312"/>
          <w:b w:val="0"/>
          <w:bCs w:val="0"/>
          <w:caps w:val="0"/>
        </w:rPr>
        <w:fldChar w:fldCharType="end"/>
      </w:r>
      <w:r>
        <w:rPr>
          <w:rFonts w:ascii="仿宋_GB2312" w:hAnsi="仿宋_GB2312" w:eastAsia="仿宋_GB2312" w:cs="仿宋_GB2312"/>
          <w:b w:val="0"/>
          <w:bCs w:val="0"/>
          <w:caps w:val="0"/>
        </w:rP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"_Toc64542263" </w:instrText>
      </w:r>
      <w:r>
        <w:fldChar w:fldCharType="separate"/>
      </w:r>
      <w:r>
        <w:rPr>
          <w:rStyle w:val="36"/>
          <w:rFonts w:hint="eastAsia"/>
          <w:b w:val="0"/>
        </w:rPr>
        <w:t>第四十三章</w:t>
      </w:r>
      <w:r>
        <w:rPr>
          <w:rStyle w:val="36"/>
          <w:b w:val="0"/>
        </w:rPr>
        <w:t xml:space="preserve">  </w:t>
      </w:r>
      <w:r>
        <w:rPr>
          <w:rStyle w:val="36"/>
          <w:rFonts w:hint="eastAsia"/>
          <w:b w:val="0"/>
        </w:rPr>
        <w:t>建设教育强市</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_Toc64542263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141</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"_Toc64542264"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推进基本公共教育优质均衡发展</w:t>
      </w:r>
      <w:r>
        <w:tab/>
      </w:r>
      <w:r>
        <w:fldChar w:fldCharType="begin"/>
      </w:r>
      <w:r>
        <w:instrText xml:space="preserve"> PAGEREF _Toc64542264 \h </w:instrText>
      </w:r>
      <w:r>
        <w:fldChar w:fldCharType="separate"/>
      </w:r>
      <w:r>
        <w:t>141</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"_Toc64542265"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推进职业教育提质创优</w:t>
      </w:r>
      <w:r>
        <w:tab/>
      </w:r>
      <w:r>
        <w:fldChar w:fldCharType="begin"/>
      </w:r>
      <w:r>
        <w:instrText xml:space="preserve"> PAGEREF _Toc64542265 \h </w:instrText>
      </w:r>
      <w:r>
        <w:fldChar w:fldCharType="separate"/>
      </w:r>
      <w:r>
        <w:t>142</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"_Toc64542266"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建设高素质专业化教师队伍</w:t>
      </w:r>
      <w:r>
        <w:tab/>
      </w:r>
      <w:r>
        <w:fldChar w:fldCharType="begin"/>
      </w:r>
      <w:r>
        <w:instrText xml:space="preserve"> PAGEREF _Toc64542266 \h </w:instrText>
      </w:r>
      <w:r>
        <w:fldChar w:fldCharType="separate"/>
      </w:r>
      <w:r>
        <w:t>142</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"_Toc64542267" </w:instrText>
      </w:r>
      <w:r>
        <w:fldChar w:fldCharType="separate"/>
      </w:r>
      <w:r>
        <w:rPr>
          <w:rStyle w:val="36"/>
          <w:rFonts w:hint="eastAsia" w:ascii="楷体_GB2312" w:eastAsia="楷体_GB2312"/>
        </w:rPr>
        <w:t>第四节</w:t>
      </w:r>
      <w:r>
        <w:rPr>
          <w:rStyle w:val="36"/>
          <w:rFonts w:ascii="楷体_GB2312" w:eastAsia="楷体_GB2312"/>
        </w:rPr>
        <w:t xml:space="preserve">  </w:t>
      </w:r>
      <w:r>
        <w:rPr>
          <w:rStyle w:val="36"/>
          <w:rFonts w:hint="eastAsia" w:ascii="楷体_GB2312" w:eastAsia="楷体_GB2312"/>
        </w:rPr>
        <w:t>建设学习型社会</w:t>
      </w:r>
      <w:r>
        <w:tab/>
      </w:r>
      <w:r>
        <w:fldChar w:fldCharType="begin"/>
      </w:r>
      <w:r>
        <w:instrText xml:space="preserve"> PAGEREF _Toc64542267 \h </w:instrText>
      </w:r>
      <w:r>
        <w:fldChar w:fldCharType="separate"/>
      </w:r>
      <w:r>
        <w:t>143</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"_Toc64542268" </w:instrText>
      </w:r>
      <w:r>
        <w:fldChar w:fldCharType="separate"/>
      </w:r>
      <w:r>
        <w:rPr>
          <w:rStyle w:val="36"/>
          <w:rFonts w:hint="eastAsia"/>
          <w:b w:val="0"/>
        </w:rPr>
        <w:t>第四十四章</w:t>
      </w:r>
      <w:r>
        <w:rPr>
          <w:rStyle w:val="36"/>
          <w:b w:val="0"/>
        </w:rPr>
        <w:t xml:space="preserve">  </w:t>
      </w:r>
      <w:r>
        <w:rPr>
          <w:rStyle w:val="36"/>
          <w:rFonts w:hint="eastAsia"/>
          <w:b w:val="0"/>
        </w:rPr>
        <w:t>着力推进健康南昌建设</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_Toc64542268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144</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"_Toc64542269"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健全公共卫生服务体系</w:t>
      </w:r>
      <w:r>
        <w:tab/>
      </w:r>
      <w:r>
        <w:fldChar w:fldCharType="begin"/>
      </w:r>
      <w:r>
        <w:instrText xml:space="preserve"> PAGEREF _Toc64542269 \h </w:instrText>
      </w:r>
      <w:r>
        <w:fldChar w:fldCharType="separate"/>
      </w:r>
      <w:r>
        <w:t>145</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"_Toc64542270"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深化医药卫生体制改革</w:t>
      </w:r>
      <w:r>
        <w:tab/>
      </w:r>
      <w:r>
        <w:fldChar w:fldCharType="begin"/>
      </w:r>
      <w:r>
        <w:instrText xml:space="preserve"> PAGEREF _Toc64542270 \h </w:instrText>
      </w:r>
      <w:r>
        <w:fldChar w:fldCharType="separate"/>
      </w:r>
      <w:r>
        <w:t>145</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"_Toc64542271"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提升整体医疗卫生服务水平</w:t>
      </w:r>
      <w:r>
        <w:tab/>
      </w:r>
      <w:r>
        <w:fldChar w:fldCharType="begin"/>
      </w:r>
      <w:r>
        <w:instrText xml:space="preserve"> PAGEREF _Toc64542271 \h </w:instrText>
      </w:r>
      <w:r>
        <w:fldChar w:fldCharType="separate"/>
      </w:r>
      <w:r>
        <w:t>146</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"_Toc64542272" </w:instrText>
      </w:r>
      <w:r>
        <w:fldChar w:fldCharType="separate"/>
      </w:r>
      <w:r>
        <w:rPr>
          <w:rStyle w:val="36"/>
          <w:rFonts w:hint="eastAsia" w:ascii="楷体_GB2312" w:eastAsia="楷体_GB2312"/>
        </w:rPr>
        <w:t>第四节</w:t>
      </w:r>
      <w:r>
        <w:rPr>
          <w:rStyle w:val="36"/>
          <w:rFonts w:ascii="楷体_GB2312" w:eastAsia="楷体_GB2312"/>
        </w:rPr>
        <w:t xml:space="preserve">  </w:t>
      </w:r>
      <w:r>
        <w:rPr>
          <w:rStyle w:val="36"/>
          <w:rFonts w:hint="eastAsia" w:ascii="楷体_GB2312" w:eastAsia="楷体_GB2312"/>
        </w:rPr>
        <w:t>推动中医药传承发展</w:t>
      </w:r>
      <w:r>
        <w:tab/>
      </w:r>
      <w:r>
        <w:fldChar w:fldCharType="begin"/>
      </w:r>
      <w:r>
        <w:instrText xml:space="preserve"> PAGEREF _Toc64542272 \h </w:instrText>
      </w:r>
      <w:r>
        <w:fldChar w:fldCharType="separate"/>
      </w:r>
      <w:r>
        <w:t>146</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"_Toc64542273" </w:instrText>
      </w:r>
      <w:r>
        <w:fldChar w:fldCharType="separate"/>
      </w:r>
      <w:r>
        <w:rPr>
          <w:rStyle w:val="36"/>
          <w:rFonts w:hint="eastAsia" w:ascii="楷体_GB2312" w:eastAsia="楷体_GB2312"/>
        </w:rPr>
        <w:t>第五节</w:t>
      </w:r>
      <w:r>
        <w:rPr>
          <w:rStyle w:val="36"/>
          <w:rFonts w:ascii="楷体_GB2312" w:eastAsia="楷体_GB2312"/>
        </w:rPr>
        <w:t xml:space="preserve">  </w:t>
      </w:r>
      <w:r>
        <w:rPr>
          <w:rStyle w:val="36"/>
          <w:rFonts w:hint="eastAsia" w:ascii="楷体_GB2312" w:eastAsia="楷体_GB2312"/>
        </w:rPr>
        <w:t>开展爱国卫生和全民健身运动</w:t>
      </w:r>
      <w:r>
        <w:tab/>
      </w:r>
      <w:r>
        <w:fldChar w:fldCharType="begin"/>
      </w:r>
      <w:r>
        <w:instrText xml:space="preserve"> PAGEREF _Toc64542273 \h </w:instrText>
      </w:r>
      <w:r>
        <w:fldChar w:fldCharType="separate"/>
      </w:r>
      <w:r>
        <w:t>147</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"_Toc64542274" </w:instrText>
      </w:r>
      <w:r>
        <w:fldChar w:fldCharType="separate"/>
      </w:r>
      <w:r>
        <w:rPr>
          <w:rStyle w:val="36"/>
          <w:rFonts w:hint="eastAsia"/>
          <w:b w:val="0"/>
        </w:rPr>
        <w:t>第四十五章</w:t>
      </w:r>
      <w:r>
        <w:rPr>
          <w:rStyle w:val="36"/>
          <w:b w:val="0"/>
        </w:rPr>
        <w:t xml:space="preserve">  </w:t>
      </w:r>
      <w:r>
        <w:rPr>
          <w:rStyle w:val="36"/>
          <w:rFonts w:hint="eastAsia"/>
          <w:b w:val="0"/>
        </w:rPr>
        <w:t>积极应对人口老龄化</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_Toc64542274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149</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"_Toc64542275"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推动实现适度生育水平</w:t>
      </w:r>
      <w:r>
        <w:tab/>
      </w:r>
      <w:r>
        <w:fldChar w:fldCharType="begin"/>
      </w:r>
      <w:r>
        <w:instrText xml:space="preserve"> PAGEREF _Toc64542275 \h </w:instrText>
      </w:r>
      <w:r>
        <w:fldChar w:fldCharType="separate"/>
      </w:r>
      <w:r>
        <w:t>149</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"_Toc64542276"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健全婴幼儿发展政策</w:t>
      </w:r>
      <w:r>
        <w:tab/>
      </w:r>
      <w:r>
        <w:fldChar w:fldCharType="begin"/>
      </w:r>
      <w:r>
        <w:instrText xml:space="preserve"> PAGEREF _Toc64542276 \h </w:instrText>
      </w:r>
      <w:r>
        <w:fldChar w:fldCharType="separate"/>
      </w:r>
      <w:r>
        <w:t>149</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"_Toc64542277"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完善养老服务体系</w:t>
      </w:r>
      <w:r>
        <w:tab/>
      </w:r>
      <w:r>
        <w:fldChar w:fldCharType="begin"/>
      </w:r>
      <w:r>
        <w:instrText xml:space="preserve"> PAGEREF _Toc64542277 \h </w:instrText>
      </w:r>
      <w:r>
        <w:fldChar w:fldCharType="separate"/>
      </w:r>
      <w:r>
        <w:t>150</w:t>
      </w:r>
      <w:r>
        <w:fldChar w:fldCharType="end"/>
      </w:r>
      <w:r>
        <w:fldChar w:fldCharType="end"/>
      </w:r>
    </w:p>
    <w:p>
      <w:pPr>
        <w:pStyle w:val="21"/>
        <w:tabs>
          <w:tab w:val="right" w:leader="dot" w:pos="9062"/>
        </w:tabs>
        <w:rPr>
          <w:rFonts w:asciiTheme="minorHAnsi" w:hAnsiTheme="minorHAnsi" w:eastAsiaTheme="minorEastAsia" w:cstheme="minorBidi"/>
          <w:b w:val="0"/>
          <w:bCs w:val="0"/>
          <w:caps w:val="0"/>
          <w:sz w:val="21"/>
          <w:szCs w:val="22"/>
        </w:rPr>
      </w:pPr>
      <w:r>
        <w:fldChar w:fldCharType="begin"/>
      </w:r>
      <w:r>
        <w:instrText xml:space="preserve"> HYPERLINK \l "_Toc64542278" </w:instrText>
      </w:r>
      <w:r>
        <w:fldChar w:fldCharType="separate"/>
      </w:r>
      <w:r>
        <w:rPr>
          <w:rStyle w:val="36"/>
          <w:rFonts w:hint="eastAsia"/>
          <w:b w:val="0"/>
        </w:rPr>
        <w:t>第十四篇</w:t>
      </w:r>
      <w:r>
        <w:rPr>
          <w:rStyle w:val="36"/>
          <w:b w:val="0"/>
        </w:rPr>
        <w:t xml:space="preserve">  </w:t>
      </w:r>
      <w:r>
        <w:rPr>
          <w:rStyle w:val="36"/>
          <w:rFonts w:hint="eastAsia"/>
          <w:b w:val="0"/>
        </w:rPr>
        <w:t>增进民生福祉</w:t>
      </w:r>
      <w:r>
        <w:rPr>
          <w:b w:val="0"/>
        </w:rPr>
        <w:tab/>
      </w:r>
      <w:r>
        <w:rPr>
          <w:rFonts w:ascii="仿宋_GB2312" w:hAnsi="仿宋_GB2312" w:eastAsia="仿宋_GB2312" w:cs="仿宋_GB2312"/>
          <w:b w:val="0"/>
          <w:bCs w:val="0"/>
          <w:caps w:val="0"/>
        </w:rPr>
        <w:fldChar w:fldCharType="begin"/>
      </w:r>
      <w:r>
        <w:rPr>
          <w:rFonts w:ascii="仿宋_GB2312" w:hAnsi="仿宋_GB2312" w:eastAsia="仿宋_GB2312" w:cs="仿宋_GB2312"/>
          <w:b w:val="0"/>
          <w:bCs w:val="0"/>
          <w:caps w:val="0"/>
        </w:rPr>
        <w:instrText xml:space="preserve"> PAGEREF _Toc64542278 \h </w:instrText>
      </w:r>
      <w:r>
        <w:rPr>
          <w:rFonts w:ascii="仿宋_GB2312" w:hAnsi="仿宋_GB2312" w:eastAsia="仿宋_GB2312" w:cs="仿宋_GB2312"/>
          <w:b w:val="0"/>
          <w:bCs w:val="0"/>
          <w:caps w:val="0"/>
        </w:rPr>
        <w:fldChar w:fldCharType="separate"/>
      </w:r>
      <w:r>
        <w:rPr>
          <w:rFonts w:ascii="仿宋_GB2312" w:hAnsi="仿宋_GB2312" w:eastAsia="仿宋_GB2312" w:cs="仿宋_GB2312"/>
          <w:b w:val="0"/>
          <w:bCs w:val="0"/>
          <w:caps w:val="0"/>
        </w:rPr>
        <w:t>151</w:t>
      </w:r>
      <w:r>
        <w:rPr>
          <w:rFonts w:ascii="仿宋_GB2312" w:hAnsi="仿宋_GB2312" w:eastAsia="仿宋_GB2312" w:cs="仿宋_GB2312"/>
          <w:b w:val="0"/>
          <w:bCs w:val="0"/>
          <w:caps w:val="0"/>
        </w:rPr>
        <w:fldChar w:fldCharType="end"/>
      </w:r>
      <w:r>
        <w:rPr>
          <w:rFonts w:ascii="仿宋_GB2312" w:hAnsi="仿宋_GB2312" w:eastAsia="仿宋_GB2312" w:cs="仿宋_GB2312"/>
          <w:b w:val="0"/>
          <w:bCs w:val="0"/>
          <w:caps w:val="0"/>
        </w:rP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"_Toc64542279" </w:instrText>
      </w:r>
      <w:r>
        <w:fldChar w:fldCharType="separate"/>
      </w:r>
      <w:r>
        <w:rPr>
          <w:rStyle w:val="36"/>
          <w:rFonts w:hint="eastAsia"/>
          <w:b w:val="0"/>
        </w:rPr>
        <w:t>第四十六章</w:t>
      </w:r>
      <w:r>
        <w:rPr>
          <w:rStyle w:val="36"/>
          <w:b w:val="0"/>
        </w:rPr>
        <w:t xml:space="preserve">  </w:t>
      </w:r>
      <w:r>
        <w:rPr>
          <w:rStyle w:val="36"/>
          <w:rFonts w:hint="eastAsia"/>
          <w:b w:val="0"/>
        </w:rPr>
        <w:t>健全公共服务制度体系</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_Toc64542279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151</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"_Toc64542280"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实施更加积极的就业政策</w:t>
      </w:r>
      <w:r>
        <w:tab/>
      </w:r>
      <w:r>
        <w:fldChar w:fldCharType="begin"/>
      </w:r>
      <w:r>
        <w:instrText xml:space="preserve"> PAGEREF _Toc64542280 \h </w:instrText>
      </w:r>
      <w:r>
        <w:fldChar w:fldCharType="separate"/>
      </w:r>
      <w:r>
        <w:t>151</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"_Toc64542281"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加快公共就业服务能力建设</w:t>
      </w:r>
      <w:r>
        <w:tab/>
      </w:r>
      <w:r>
        <w:fldChar w:fldCharType="begin"/>
      </w:r>
      <w:r>
        <w:instrText xml:space="preserve"> PAGEREF _Toc64542281 \h </w:instrText>
      </w:r>
      <w:r>
        <w:fldChar w:fldCharType="separate"/>
      </w:r>
      <w:r>
        <w:t>152</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"_Toc64542282"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形成合理有序的收入分配格局</w:t>
      </w:r>
      <w:r>
        <w:tab/>
      </w:r>
      <w:r>
        <w:fldChar w:fldCharType="begin"/>
      </w:r>
      <w:r>
        <w:instrText xml:space="preserve"> PAGEREF _Toc64542282 \h </w:instrText>
      </w:r>
      <w:r>
        <w:fldChar w:fldCharType="separate"/>
      </w:r>
      <w:r>
        <w:t>152</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"_Toc64542283" </w:instrText>
      </w:r>
      <w:r>
        <w:fldChar w:fldCharType="separate"/>
      </w:r>
      <w:r>
        <w:rPr>
          <w:rStyle w:val="36"/>
          <w:rFonts w:hint="eastAsia"/>
          <w:b w:val="0"/>
        </w:rPr>
        <w:t>第四十七章</w:t>
      </w:r>
      <w:r>
        <w:rPr>
          <w:rStyle w:val="36"/>
          <w:b w:val="0"/>
        </w:rPr>
        <w:t xml:space="preserve">  </w:t>
      </w:r>
      <w:r>
        <w:rPr>
          <w:rStyle w:val="36"/>
          <w:rFonts w:hint="eastAsia"/>
          <w:b w:val="0"/>
        </w:rPr>
        <w:t>健全多层次社会保障体系</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_Toc64542283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153</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"_Toc64542284"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改革完善社会保险制度</w:t>
      </w:r>
      <w:r>
        <w:tab/>
      </w:r>
      <w:r>
        <w:fldChar w:fldCharType="begin"/>
      </w:r>
      <w:r>
        <w:instrText xml:space="preserve"> PAGEREF _Toc64542284 \h </w:instrText>
      </w:r>
      <w:r>
        <w:fldChar w:fldCharType="separate"/>
      </w:r>
      <w:r>
        <w:t>153</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"_Toc64542285"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优化社会救助和慈善制度</w:t>
      </w:r>
      <w:r>
        <w:tab/>
      </w:r>
      <w:r>
        <w:fldChar w:fldCharType="begin"/>
      </w:r>
      <w:r>
        <w:instrText xml:space="preserve"> PAGEREF _Toc64542285 \h </w:instrText>
      </w:r>
      <w:r>
        <w:fldChar w:fldCharType="separate"/>
      </w:r>
      <w:r>
        <w:t>154</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"_Toc64542286"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完善住房保障体系</w:t>
      </w:r>
      <w:r>
        <w:tab/>
      </w:r>
      <w:r>
        <w:fldChar w:fldCharType="begin"/>
      </w:r>
      <w:r>
        <w:instrText xml:space="preserve"> PAGEREF _Toc64542286 \h </w:instrText>
      </w:r>
      <w:r>
        <w:fldChar w:fldCharType="separate"/>
      </w:r>
      <w:r>
        <w:t>154</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"_Toc64542287" </w:instrText>
      </w:r>
      <w:r>
        <w:fldChar w:fldCharType="separate"/>
      </w:r>
      <w:r>
        <w:rPr>
          <w:rStyle w:val="36"/>
          <w:rFonts w:hint="eastAsia" w:ascii="楷体_GB2312" w:eastAsia="楷体_GB2312"/>
        </w:rPr>
        <w:t>第四节</w:t>
      </w:r>
      <w:r>
        <w:rPr>
          <w:rStyle w:val="36"/>
          <w:rFonts w:ascii="楷体_GB2312" w:eastAsia="楷体_GB2312"/>
        </w:rPr>
        <w:t xml:space="preserve">  </w:t>
      </w:r>
      <w:r>
        <w:rPr>
          <w:rStyle w:val="36"/>
          <w:rFonts w:hint="eastAsia" w:ascii="楷体_GB2312" w:eastAsia="楷体_GB2312"/>
        </w:rPr>
        <w:t>健全退役军人工作体系和保障制度</w:t>
      </w:r>
      <w:r>
        <w:tab/>
      </w:r>
      <w:r>
        <w:fldChar w:fldCharType="begin"/>
      </w:r>
      <w:r>
        <w:instrText xml:space="preserve"> PAGEREF _Toc64542287 \h </w:instrText>
      </w:r>
      <w:r>
        <w:fldChar w:fldCharType="separate"/>
      </w:r>
      <w:r>
        <w:t>155</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"_Toc64542288" </w:instrText>
      </w:r>
      <w:r>
        <w:fldChar w:fldCharType="separate"/>
      </w:r>
      <w:r>
        <w:rPr>
          <w:rStyle w:val="36"/>
          <w:rFonts w:hint="eastAsia"/>
          <w:b w:val="0"/>
        </w:rPr>
        <w:t>第四十八章</w:t>
      </w:r>
      <w:r>
        <w:rPr>
          <w:rStyle w:val="36"/>
          <w:b w:val="0"/>
        </w:rPr>
        <w:t xml:space="preserve">  </w:t>
      </w:r>
      <w:r>
        <w:rPr>
          <w:rStyle w:val="36"/>
          <w:rFonts w:hint="eastAsia"/>
          <w:b w:val="0"/>
        </w:rPr>
        <w:t>关爱重点特殊人群</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_Toc64542288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156</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"_Toc64542289"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促进男女平等和妇女全面发展</w:t>
      </w:r>
      <w:r>
        <w:tab/>
      </w:r>
      <w:r>
        <w:fldChar w:fldCharType="begin"/>
      </w:r>
      <w:r>
        <w:instrText xml:space="preserve"> PAGEREF _Toc64542289 \h </w:instrText>
      </w:r>
      <w:r>
        <w:fldChar w:fldCharType="separate"/>
      </w:r>
      <w:r>
        <w:t>156</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"_Toc64542290"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提升儿童关爱服务水平</w:t>
      </w:r>
      <w:r>
        <w:tab/>
      </w:r>
      <w:r>
        <w:fldChar w:fldCharType="begin"/>
      </w:r>
      <w:r>
        <w:instrText xml:space="preserve"> PAGEREF _Toc64542290 \h </w:instrText>
      </w:r>
      <w:r>
        <w:fldChar w:fldCharType="separate"/>
      </w:r>
      <w:r>
        <w:t>157</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"_Toc64542291"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引领青少年高质量发展</w:t>
      </w:r>
      <w:r>
        <w:tab/>
      </w:r>
      <w:r>
        <w:fldChar w:fldCharType="begin"/>
      </w:r>
      <w:r>
        <w:instrText xml:space="preserve"> PAGEREF _Toc64542291 \h </w:instrText>
      </w:r>
      <w:r>
        <w:fldChar w:fldCharType="separate"/>
      </w:r>
      <w:r>
        <w:t>157</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"_Toc64542292" </w:instrText>
      </w:r>
      <w:r>
        <w:fldChar w:fldCharType="separate"/>
      </w:r>
      <w:r>
        <w:rPr>
          <w:rStyle w:val="36"/>
          <w:rFonts w:hint="eastAsia" w:ascii="楷体_GB2312" w:eastAsia="楷体_GB2312"/>
        </w:rPr>
        <w:t>第四节</w:t>
      </w:r>
      <w:r>
        <w:rPr>
          <w:rStyle w:val="36"/>
          <w:rFonts w:ascii="楷体_GB2312" w:eastAsia="楷体_GB2312"/>
        </w:rPr>
        <w:t xml:space="preserve">  </w:t>
      </w:r>
      <w:r>
        <w:rPr>
          <w:rStyle w:val="36"/>
          <w:rFonts w:hint="eastAsia" w:ascii="楷体_GB2312" w:eastAsia="楷体_GB2312"/>
        </w:rPr>
        <w:t>提高残疾人发展能力</w:t>
      </w:r>
      <w:r>
        <w:tab/>
      </w:r>
      <w:r>
        <w:fldChar w:fldCharType="begin"/>
      </w:r>
      <w:r>
        <w:instrText xml:space="preserve"> PAGEREF _Toc64542292 \h </w:instrText>
      </w:r>
      <w:r>
        <w:fldChar w:fldCharType="separate"/>
      </w:r>
      <w:r>
        <w:t>158</w:t>
      </w:r>
      <w:r>
        <w:fldChar w:fldCharType="end"/>
      </w:r>
      <w:r>
        <w:fldChar w:fldCharType="end"/>
      </w:r>
    </w:p>
    <w:p>
      <w:pPr>
        <w:pStyle w:val="21"/>
        <w:tabs>
          <w:tab w:val="right" w:leader="dot" w:pos="9062"/>
        </w:tabs>
        <w:rPr>
          <w:rFonts w:asciiTheme="minorHAnsi" w:hAnsiTheme="minorHAnsi" w:eastAsiaTheme="minorEastAsia" w:cstheme="minorBidi"/>
          <w:b w:val="0"/>
          <w:bCs w:val="0"/>
          <w:caps w:val="0"/>
          <w:sz w:val="21"/>
          <w:szCs w:val="22"/>
        </w:rPr>
      </w:pPr>
      <w:r>
        <w:fldChar w:fldCharType="begin"/>
      </w:r>
      <w:r>
        <w:instrText xml:space="preserve"> HYPERLINK \l "_Toc64542293" </w:instrText>
      </w:r>
      <w:r>
        <w:fldChar w:fldCharType="separate"/>
      </w:r>
      <w:r>
        <w:rPr>
          <w:rStyle w:val="36"/>
          <w:rFonts w:hint="eastAsia"/>
          <w:b w:val="0"/>
        </w:rPr>
        <w:t>第十五篇</w:t>
      </w:r>
      <w:r>
        <w:rPr>
          <w:rStyle w:val="36"/>
          <w:b w:val="0"/>
        </w:rPr>
        <w:t xml:space="preserve">  </w:t>
      </w:r>
      <w:r>
        <w:rPr>
          <w:rStyle w:val="36"/>
          <w:rFonts w:hint="eastAsia"/>
          <w:b w:val="0"/>
        </w:rPr>
        <w:t>建设更高水平的平安南昌</w:t>
      </w:r>
      <w:r>
        <w:rPr>
          <w:b w:val="0"/>
        </w:rPr>
        <w:tab/>
      </w:r>
      <w:r>
        <w:rPr>
          <w:rFonts w:ascii="仿宋_GB2312" w:hAnsi="仿宋_GB2312" w:eastAsia="仿宋_GB2312" w:cs="仿宋_GB2312"/>
          <w:b w:val="0"/>
          <w:bCs w:val="0"/>
          <w:caps w:val="0"/>
        </w:rPr>
        <w:fldChar w:fldCharType="begin"/>
      </w:r>
      <w:r>
        <w:rPr>
          <w:rFonts w:ascii="仿宋_GB2312" w:hAnsi="仿宋_GB2312" w:eastAsia="仿宋_GB2312" w:cs="仿宋_GB2312"/>
          <w:b w:val="0"/>
          <w:bCs w:val="0"/>
          <w:caps w:val="0"/>
        </w:rPr>
        <w:instrText xml:space="preserve"> PAGEREF _Toc64542293 \h </w:instrText>
      </w:r>
      <w:r>
        <w:rPr>
          <w:rFonts w:ascii="仿宋_GB2312" w:hAnsi="仿宋_GB2312" w:eastAsia="仿宋_GB2312" w:cs="仿宋_GB2312"/>
          <w:b w:val="0"/>
          <w:bCs w:val="0"/>
          <w:caps w:val="0"/>
        </w:rPr>
        <w:fldChar w:fldCharType="separate"/>
      </w:r>
      <w:r>
        <w:rPr>
          <w:rFonts w:ascii="仿宋_GB2312" w:hAnsi="仿宋_GB2312" w:eastAsia="仿宋_GB2312" w:cs="仿宋_GB2312"/>
          <w:b w:val="0"/>
          <w:bCs w:val="0"/>
          <w:caps w:val="0"/>
        </w:rPr>
        <w:t>160</w:t>
      </w:r>
      <w:r>
        <w:rPr>
          <w:rFonts w:ascii="仿宋_GB2312" w:hAnsi="仿宋_GB2312" w:eastAsia="仿宋_GB2312" w:cs="仿宋_GB2312"/>
          <w:b w:val="0"/>
          <w:bCs w:val="0"/>
          <w:caps w:val="0"/>
        </w:rPr>
        <w:fldChar w:fldCharType="end"/>
      </w:r>
      <w:r>
        <w:rPr>
          <w:rFonts w:ascii="仿宋_GB2312" w:hAnsi="仿宋_GB2312" w:eastAsia="仿宋_GB2312" w:cs="仿宋_GB2312"/>
          <w:b w:val="0"/>
          <w:bCs w:val="0"/>
          <w:caps w:val="0"/>
        </w:rP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"_Toc64542294" </w:instrText>
      </w:r>
      <w:r>
        <w:fldChar w:fldCharType="separate"/>
      </w:r>
      <w:r>
        <w:rPr>
          <w:rStyle w:val="36"/>
          <w:rFonts w:hint="eastAsia"/>
          <w:b w:val="0"/>
        </w:rPr>
        <w:t>第四十九章</w:t>
      </w:r>
      <w:r>
        <w:rPr>
          <w:rStyle w:val="36"/>
          <w:b w:val="0"/>
        </w:rPr>
        <w:t xml:space="preserve">  </w:t>
      </w:r>
      <w:r>
        <w:rPr>
          <w:rStyle w:val="36"/>
          <w:rFonts w:hint="eastAsia"/>
          <w:b w:val="0"/>
        </w:rPr>
        <w:t>健全公共安全体制机制</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_Toc64542294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160</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"_Toc64542295"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加强国家安全体系和能力建设</w:t>
      </w:r>
      <w:r>
        <w:tab/>
      </w:r>
      <w:r>
        <w:fldChar w:fldCharType="begin"/>
      </w:r>
      <w:r>
        <w:instrText xml:space="preserve"> PAGEREF _Toc64542295 \h </w:instrText>
      </w:r>
      <w:r>
        <w:fldChar w:fldCharType="separate"/>
      </w:r>
      <w:r>
        <w:t>160</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"_Toc64542296"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维护经济安全</w:t>
      </w:r>
      <w:r>
        <w:tab/>
      </w:r>
      <w:r>
        <w:fldChar w:fldCharType="begin"/>
      </w:r>
      <w:r>
        <w:instrText xml:space="preserve"> PAGEREF _Toc64542296 \h </w:instrText>
      </w:r>
      <w:r>
        <w:fldChar w:fldCharType="separate"/>
      </w:r>
      <w:r>
        <w:t>161</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"_Toc64542297"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提升公共安全保障能力</w:t>
      </w:r>
      <w:r>
        <w:tab/>
      </w:r>
      <w:r>
        <w:fldChar w:fldCharType="begin"/>
      </w:r>
      <w:r>
        <w:instrText xml:space="preserve"> PAGEREF _Toc64542297 \h </w:instrText>
      </w:r>
      <w:r>
        <w:fldChar w:fldCharType="separate"/>
      </w:r>
      <w:r>
        <w:t>162</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"_Toc64542298" </w:instrText>
      </w:r>
      <w:r>
        <w:fldChar w:fldCharType="separate"/>
      </w:r>
      <w:r>
        <w:rPr>
          <w:rStyle w:val="36"/>
          <w:rFonts w:hint="eastAsia"/>
          <w:b w:val="0"/>
        </w:rPr>
        <w:t>第五十章</w:t>
      </w:r>
      <w:r>
        <w:rPr>
          <w:rStyle w:val="36"/>
          <w:b w:val="0"/>
        </w:rPr>
        <w:t xml:space="preserve">  </w:t>
      </w:r>
      <w:r>
        <w:rPr>
          <w:rStyle w:val="36"/>
          <w:rFonts w:hint="eastAsia"/>
          <w:b w:val="0"/>
        </w:rPr>
        <w:t>维护社会和谐稳定</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_Toc64542298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163</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"_Toc64542299"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健全社会矛盾综合治理机制</w:t>
      </w:r>
      <w:r>
        <w:tab/>
      </w:r>
      <w:r>
        <w:fldChar w:fldCharType="begin"/>
      </w:r>
      <w:r>
        <w:instrText xml:space="preserve"> PAGEREF _Toc64542299 \h </w:instrText>
      </w:r>
      <w:r>
        <w:fldChar w:fldCharType="separate"/>
      </w:r>
      <w:r>
        <w:t>163</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"_Toc64542300"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完善社会治安防控体系</w:t>
      </w:r>
      <w:r>
        <w:tab/>
      </w:r>
      <w:r>
        <w:fldChar w:fldCharType="begin"/>
      </w:r>
      <w:r>
        <w:instrText xml:space="preserve"> PAGEREF _Toc64542300 \h </w:instrText>
      </w:r>
      <w:r>
        <w:fldChar w:fldCharType="separate"/>
      </w:r>
      <w:r>
        <w:t>163</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"_Toc64542301"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构建基层社会治理新格局</w:t>
      </w:r>
      <w:r>
        <w:tab/>
      </w:r>
      <w:r>
        <w:fldChar w:fldCharType="begin"/>
      </w:r>
      <w:r>
        <w:instrText xml:space="preserve"> PAGEREF _Toc64542301 \h </w:instrText>
      </w:r>
      <w:r>
        <w:fldChar w:fldCharType="separate"/>
      </w:r>
      <w:r>
        <w:t>164</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"_Toc64542302" </w:instrText>
      </w:r>
      <w:r>
        <w:fldChar w:fldCharType="separate"/>
      </w:r>
      <w:r>
        <w:rPr>
          <w:rStyle w:val="36"/>
          <w:rFonts w:hint="eastAsia"/>
          <w:b w:val="0"/>
        </w:rPr>
        <w:t>第五十一章</w:t>
      </w:r>
      <w:r>
        <w:rPr>
          <w:rStyle w:val="36"/>
          <w:b w:val="0"/>
        </w:rPr>
        <w:t xml:space="preserve">  </w:t>
      </w:r>
      <w:r>
        <w:rPr>
          <w:rStyle w:val="36"/>
          <w:rFonts w:hint="eastAsia"/>
          <w:b w:val="0"/>
        </w:rPr>
        <w:t>全面推进法治南昌建设</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_Toc64542302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165</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"_Toc64542303"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保证宪法和民法典全面有效实施</w:t>
      </w:r>
      <w:r>
        <w:tab/>
      </w:r>
      <w:r>
        <w:fldChar w:fldCharType="begin"/>
      </w:r>
      <w:r>
        <w:instrText xml:space="preserve"> PAGEREF _Toc64542303 \h </w:instrText>
      </w:r>
      <w:r>
        <w:fldChar w:fldCharType="separate"/>
      </w:r>
      <w:r>
        <w:t>165</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"_Toc64542304"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落实社会公平正义法治保障制度</w:t>
      </w:r>
      <w:r>
        <w:tab/>
      </w:r>
      <w:r>
        <w:fldChar w:fldCharType="begin"/>
      </w:r>
      <w:r>
        <w:instrText xml:space="preserve"> PAGEREF _Toc64542304 \h </w:instrText>
      </w:r>
      <w:r>
        <w:fldChar w:fldCharType="separate"/>
      </w:r>
      <w:r>
        <w:t>165</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"_Toc64542305"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加强对法律实施的监督</w:t>
      </w:r>
      <w:r>
        <w:tab/>
      </w:r>
      <w:r>
        <w:fldChar w:fldCharType="begin"/>
      </w:r>
      <w:r>
        <w:instrText xml:space="preserve"> PAGEREF _Toc64542305 \h </w:instrText>
      </w:r>
      <w:r>
        <w:fldChar w:fldCharType="separate"/>
      </w:r>
      <w:r>
        <w:t>166</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"_Toc64542306" </w:instrText>
      </w:r>
      <w:r>
        <w:fldChar w:fldCharType="separate"/>
      </w:r>
      <w:r>
        <w:rPr>
          <w:rStyle w:val="36"/>
          <w:rFonts w:hint="eastAsia"/>
          <w:b w:val="0"/>
        </w:rPr>
        <w:t>第五十二章</w:t>
      </w:r>
      <w:r>
        <w:rPr>
          <w:rStyle w:val="36"/>
          <w:b w:val="0"/>
        </w:rPr>
        <w:t xml:space="preserve">  </w:t>
      </w:r>
      <w:r>
        <w:rPr>
          <w:rStyle w:val="36"/>
          <w:rFonts w:hint="eastAsia"/>
          <w:b w:val="0"/>
        </w:rPr>
        <w:t>推进社会主义民主政治南昌实践</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_Toc64542306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167</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"_Toc64542307"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落实人民代表大会制度</w:t>
      </w:r>
      <w:r>
        <w:tab/>
      </w:r>
      <w:r>
        <w:fldChar w:fldCharType="begin"/>
      </w:r>
      <w:r>
        <w:instrText xml:space="preserve"> PAGEREF _Toc64542307 \h </w:instrText>
      </w:r>
      <w:r>
        <w:fldChar w:fldCharType="separate"/>
      </w:r>
      <w:r>
        <w:t>167</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"_Toc64542308"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发展协商民主</w:t>
      </w:r>
      <w:r>
        <w:tab/>
      </w:r>
      <w:r>
        <w:fldChar w:fldCharType="begin"/>
      </w:r>
      <w:r>
        <w:instrText xml:space="preserve"> PAGEREF _Toc64542308 \h </w:instrText>
      </w:r>
      <w:r>
        <w:fldChar w:fldCharType="separate"/>
      </w:r>
      <w:r>
        <w:t>168</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"_Toc64542309"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巩固和发展最广泛的爱国统一战线</w:t>
      </w:r>
      <w:r>
        <w:tab/>
      </w:r>
      <w:r>
        <w:fldChar w:fldCharType="begin"/>
      </w:r>
      <w:r>
        <w:instrText xml:space="preserve"> PAGEREF _Toc64542309 \h </w:instrText>
      </w:r>
      <w:r>
        <w:fldChar w:fldCharType="separate"/>
      </w:r>
      <w:r>
        <w:t>168</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"_Toc64542310" </w:instrText>
      </w:r>
      <w:r>
        <w:fldChar w:fldCharType="separate"/>
      </w:r>
      <w:r>
        <w:rPr>
          <w:rStyle w:val="36"/>
          <w:rFonts w:hint="eastAsia" w:ascii="楷体_GB2312" w:eastAsia="楷体_GB2312"/>
        </w:rPr>
        <w:t>第四节</w:t>
      </w:r>
      <w:r>
        <w:rPr>
          <w:rStyle w:val="36"/>
          <w:rFonts w:ascii="楷体_GB2312" w:eastAsia="楷体_GB2312"/>
        </w:rPr>
        <w:t xml:space="preserve">  </w:t>
      </w:r>
      <w:r>
        <w:rPr>
          <w:rStyle w:val="36"/>
          <w:rFonts w:hint="eastAsia" w:ascii="楷体_GB2312" w:eastAsia="楷体_GB2312"/>
        </w:rPr>
        <w:t>健全充满活力的基层群众自治制度</w:t>
      </w:r>
      <w:r>
        <w:tab/>
      </w:r>
      <w:r>
        <w:fldChar w:fldCharType="begin"/>
      </w:r>
      <w:r>
        <w:instrText xml:space="preserve"> PAGEREF _Toc64542310 \h </w:instrText>
      </w:r>
      <w:r>
        <w:fldChar w:fldCharType="separate"/>
      </w:r>
      <w:r>
        <w:t>169</w:t>
      </w:r>
      <w:r>
        <w:fldChar w:fldCharType="end"/>
      </w:r>
      <w:r>
        <w:fldChar w:fldCharType="end"/>
      </w:r>
    </w:p>
    <w:p>
      <w:pPr>
        <w:pStyle w:val="21"/>
        <w:tabs>
          <w:tab w:val="right" w:leader="dot" w:pos="9062"/>
        </w:tabs>
        <w:rPr>
          <w:rFonts w:asciiTheme="minorHAnsi" w:hAnsiTheme="minorHAnsi" w:eastAsiaTheme="minorEastAsia" w:cstheme="minorBidi"/>
          <w:b w:val="0"/>
          <w:bCs w:val="0"/>
          <w:caps w:val="0"/>
          <w:sz w:val="21"/>
          <w:szCs w:val="22"/>
        </w:rPr>
      </w:pPr>
      <w:r>
        <w:fldChar w:fldCharType="begin"/>
      </w:r>
      <w:r>
        <w:instrText xml:space="preserve"> HYPERLINK \l "_Toc64542311" </w:instrText>
      </w:r>
      <w:r>
        <w:fldChar w:fldCharType="separate"/>
      </w:r>
      <w:r>
        <w:rPr>
          <w:rStyle w:val="36"/>
          <w:rFonts w:hint="eastAsia"/>
          <w:b w:val="0"/>
        </w:rPr>
        <w:t>第十六篇</w:t>
      </w:r>
      <w:r>
        <w:rPr>
          <w:rStyle w:val="36"/>
          <w:b w:val="0"/>
        </w:rPr>
        <w:t xml:space="preserve">  </w:t>
      </w:r>
      <w:r>
        <w:rPr>
          <w:rStyle w:val="36"/>
          <w:rFonts w:hint="eastAsia"/>
          <w:b w:val="0"/>
        </w:rPr>
        <w:t>加强规划实施保障</w:t>
      </w:r>
      <w:r>
        <w:rPr>
          <w:b w:val="0"/>
        </w:rPr>
        <w:tab/>
      </w:r>
      <w:r>
        <w:rPr>
          <w:rFonts w:ascii="仿宋_GB2312" w:hAnsi="仿宋_GB2312" w:eastAsia="仿宋_GB2312" w:cs="仿宋_GB2312"/>
          <w:b w:val="0"/>
          <w:bCs w:val="0"/>
          <w:caps w:val="0"/>
        </w:rPr>
        <w:fldChar w:fldCharType="begin"/>
      </w:r>
      <w:r>
        <w:rPr>
          <w:rFonts w:ascii="仿宋_GB2312" w:hAnsi="仿宋_GB2312" w:eastAsia="仿宋_GB2312" w:cs="仿宋_GB2312"/>
          <w:b w:val="0"/>
          <w:bCs w:val="0"/>
          <w:caps w:val="0"/>
        </w:rPr>
        <w:instrText xml:space="preserve"> PAGEREF _Toc64542311 \h </w:instrText>
      </w:r>
      <w:r>
        <w:rPr>
          <w:rFonts w:ascii="仿宋_GB2312" w:hAnsi="仿宋_GB2312" w:eastAsia="仿宋_GB2312" w:cs="仿宋_GB2312"/>
          <w:b w:val="0"/>
          <w:bCs w:val="0"/>
          <w:caps w:val="0"/>
        </w:rPr>
        <w:fldChar w:fldCharType="separate"/>
      </w:r>
      <w:r>
        <w:rPr>
          <w:rFonts w:ascii="仿宋_GB2312" w:hAnsi="仿宋_GB2312" w:eastAsia="仿宋_GB2312" w:cs="仿宋_GB2312"/>
          <w:b w:val="0"/>
          <w:bCs w:val="0"/>
          <w:caps w:val="0"/>
        </w:rPr>
        <w:t>171</w:t>
      </w:r>
      <w:r>
        <w:rPr>
          <w:rFonts w:ascii="仿宋_GB2312" w:hAnsi="仿宋_GB2312" w:eastAsia="仿宋_GB2312" w:cs="仿宋_GB2312"/>
          <w:b w:val="0"/>
          <w:bCs w:val="0"/>
          <w:caps w:val="0"/>
        </w:rPr>
        <w:fldChar w:fldCharType="end"/>
      </w:r>
      <w:r>
        <w:rPr>
          <w:rFonts w:ascii="仿宋_GB2312" w:hAnsi="仿宋_GB2312" w:eastAsia="仿宋_GB2312" w:cs="仿宋_GB2312"/>
          <w:b w:val="0"/>
          <w:bCs w:val="0"/>
          <w:caps w:val="0"/>
        </w:rP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"_Toc64542312" </w:instrText>
      </w:r>
      <w:r>
        <w:fldChar w:fldCharType="separate"/>
      </w:r>
      <w:r>
        <w:rPr>
          <w:rStyle w:val="36"/>
          <w:rFonts w:hint="eastAsia"/>
          <w:b w:val="0"/>
        </w:rPr>
        <w:t>第五十三章</w:t>
      </w:r>
      <w:r>
        <w:rPr>
          <w:rStyle w:val="36"/>
          <w:b w:val="0"/>
        </w:rPr>
        <w:t xml:space="preserve">  </w:t>
      </w:r>
      <w:r>
        <w:rPr>
          <w:rStyle w:val="36"/>
          <w:rFonts w:hint="eastAsia"/>
          <w:b w:val="0"/>
        </w:rPr>
        <w:t>全面加强党的领导</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_Toc64542312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171</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"_Toc64542313"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坚持党对经济社会工作的集中统一领导</w:t>
      </w:r>
      <w:r>
        <w:tab/>
      </w:r>
      <w:r>
        <w:fldChar w:fldCharType="begin"/>
      </w:r>
      <w:r>
        <w:instrText xml:space="preserve"> PAGEREF _Toc64542313 \h </w:instrText>
      </w:r>
      <w:r>
        <w:fldChar w:fldCharType="separate"/>
      </w:r>
      <w:r>
        <w:t>171</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"_Toc64542314"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持续营造风清气正的政治生态</w:t>
      </w:r>
      <w:r>
        <w:tab/>
      </w:r>
      <w:r>
        <w:fldChar w:fldCharType="begin"/>
      </w:r>
      <w:r>
        <w:instrText xml:space="preserve"> PAGEREF _Toc64542314 \h </w:instrText>
      </w:r>
      <w:r>
        <w:fldChar w:fldCharType="separate"/>
      </w:r>
      <w:r>
        <w:t>172</w:t>
      </w:r>
      <w:r>
        <w:fldChar w:fldCharType="end"/>
      </w:r>
      <w:r>
        <w:fldChar w:fldCharType="end"/>
      </w:r>
    </w:p>
    <w:p>
      <w:pPr>
        <w:pStyle w:val="26"/>
        <w:tabs>
          <w:tab w:val="right" w:leader="dot" w:pos="9062"/>
        </w:tabs>
        <w:ind w:left="640"/>
        <w:rPr>
          <w:rFonts w:asciiTheme="minorHAnsi" w:hAnsiTheme="minorHAnsi" w:eastAsiaTheme="minorEastAsia" w:cstheme="minorBidi"/>
          <w:b w:val="0"/>
          <w:bCs w:val="0"/>
          <w:sz w:val="21"/>
          <w:szCs w:val="22"/>
        </w:rPr>
      </w:pPr>
      <w:r>
        <w:fldChar w:fldCharType="begin"/>
      </w:r>
      <w:r>
        <w:instrText xml:space="preserve"> HYPERLINK \l "_Toc64542315" </w:instrText>
      </w:r>
      <w:r>
        <w:fldChar w:fldCharType="separate"/>
      </w:r>
      <w:r>
        <w:rPr>
          <w:rStyle w:val="36"/>
          <w:rFonts w:hint="eastAsia"/>
          <w:b w:val="0"/>
        </w:rPr>
        <w:t>第五十四章</w:t>
      </w:r>
      <w:r>
        <w:rPr>
          <w:rStyle w:val="36"/>
          <w:b w:val="0"/>
        </w:rPr>
        <w:t xml:space="preserve">  </w:t>
      </w:r>
      <w:r>
        <w:rPr>
          <w:rStyle w:val="36"/>
          <w:rFonts w:hint="eastAsia"/>
          <w:b w:val="0"/>
        </w:rPr>
        <w:t>形成规划实施强大合力</w:t>
      </w:r>
      <w:r>
        <w:rPr>
          <w:b w:val="0"/>
        </w:rPr>
        <w:tab/>
      </w:r>
      <w:r>
        <w:rPr>
          <w:rFonts w:ascii="仿宋_GB2312" w:hAnsi="仿宋_GB2312" w:eastAsia="仿宋_GB2312" w:cs="仿宋_GB2312"/>
          <w:b w:val="0"/>
          <w:bCs w:val="0"/>
        </w:rPr>
        <w:fldChar w:fldCharType="begin"/>
      </w:r>
      <w:r>
        <w:rPr>
          <w:rFonts w:ascii="仿宋_GB2312" w:hAnsi="仿宋_GB2312" w:eastAsia="仿宋_GB2312" w:cs="仿宋_GB2312"/>
          <w:b w:val="0"/>
          <w:bCs w:val="0"/>
        </w:rPr>
        <w:instrText xml:space="preserve"> PAGEREF _Toc64542315 \h </w:instrText>
      </w:r>
      <w:r>
        <w:rPr>
          <w:rFonts w:ascii="仿宋_GB2312" w:hAnsi="仿宋_GB2312" w:eastAsia="仿宋_GB2312" w:cs="仿宋_GB2312"/>
          <w:b w:val="0"/>
          <w:bCs w:val="0"/>
        </w:rPr>
        <w:fldChar w:fldCharType="separate"/>
      </w:r>
      <w:r>
        <w:rPr>
          <w:rFonts w:ascii="仿宋_GB2312" w:hAnsi="仿宋_GB2312" w:eastAsia="仿宋_GB2312" w:cs="仿宋_GB2312"/>
          <w:b w:val="0"/>
          <w:bCs w:val="0"/>
        </w:rPr>
        <w:t>172</w:t>
      </w:r>
      <w:r>
        <w:rPr>
          <w:rFonts w:ascii="仿宋_GB2312" w:hAnsi="仿宋_GB2312" w:eastAsia="仿宋_GB2312" w:cs="仿宋_GB2312"/>
          <w:b w:val="0"/>
          <w:bCs w:val="0"/>
        </w:rPr>
        <w:fldChar w:fldCharType="end"/>
      </w:r>
      <w:r>
        <w:rPr>
          <w:rFonts w:ascii="仿宋_GB2312" w:hAnsi="仿宋_GB2312" w:eastAsia="仿宋_GB2312" w:cs="仿宋_GB2312"/>
          <w:b w:val="0"/>
          <w:bCs w:val="0"/>
        </w:rP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"_Toc64542316" </w:instrText>
      </w:r>
      <w:r>
        <w:fldChar w:fldCharType="separate"/>
      </w:r>
      <w:r>
        <w:rPr>
          <w:rStyle w:val="36"/>
          <w:rFonts w:hint="eastAsia" w:ascii="楷体_GB2312" w:eastAsia="楷体_GB2312"/>
        </w:rPr>
        <w:t>第一节</w:t>
      </w:r>
      <w:r>
        <w:rPr>
          <w:rStyle w:val="36"/>
          <w:rFonts w:ascii="楷体_GB2312" w:eastAsia="楷体_GB2312"/>
        </w:rPr>
        <w:t xml:space="preserve">  </w:t>
      </w:r>
      <w:r>
        <w:rPr>
          <w:rStyle w:val="36"/>
          <w:rFonts w:hint="eastAsia" w:ascii="楷体_GB2312" w:eastAsia="楷体_GB2312"/>
        </w:rPr>
        <w:t>健全规划实施机制</w:t>
      </w:r>
      <w:r>
        <w:tab/>
      </w:r>
      <w:r>
        <w:fldChar w:fldCharType="begin"/>
      </w:r>
      <w:r>
        <w:instrText xml:space="preserve"> PAGEREF _Toc64542316 \h </w:instrText>
      </w:r>
      <w:r>
        <w:fldChar w:fldCharType="separate"/>
      </w:r>
      <w:r>
        <w:t>173</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"_Toc64542317" </w:instrText>
      </w:r>
      <w:r>
        <w:fldChar w:fldCharType="separate"/>
      </w:r>
      <w:r>
        <w:rPr>
          <w:rStyle w:val="36"/>
          <w:rFonts w:hint="eastAsia" w:ascii="楷体_GB2312" w:eastAsia="楷体_GB2312"/>
        </w:rPr>
        <w:t>第二节</w:t>
      </w:r>
      <w:r>
        <w:rPr>
          <w:rStyle w:val="36"/>
          <w:rFonts w:ascii="楷体_GB2312" w:eastAsia="楷体_GB2312"/>
        </w:rPr>
        <w:t xml:space="preserve">  </w:t>
      </w:r>
      <w:r>
        <w:rPr>
          <w:rStyle w:val="36"/>
          <w:rFonts w:hint="eastAsia" w:ascii="楷体_GB2312" w:eastAsia="楷体_GB2312"/>
        </w:rPr>
        <w:t>强化规划实施政策保障</w:t>
      </w:r>
      <w:r>
        <w:tab/>
      </w:r>
      <w:r>
        <w:fldChar w:fldCharType="begin"/>
      </w:r>
      <w:r>
        <w:instrText xml:space="preserve"> PAGEREF _Toc64542317 \h </w:instrText>
      </w:r>
      <w:r>
        <w:fldChar w:fldCharType="separate"/>
      </w:r>
      <w:r>
        <w:t>173</w:t>
      </w:r>
      <w:r>
        <w:fldChar w:fldCharType="end"/>
      </w:r>
      <w:r>
        <w:fldChar w:fldCharType="end"/>
      </w:r>
    </w:p>
    <w:p>
      <w:pPr>
        <w:pStyle w:val="16"/>
        <w:tabs>
          <w:tab w:val="right" w:leader="dot" w:pos="9062"/>
        </w:tabs>
        <w:ind w:left="1280"/>
        <w:rPr>
          <w:rFonts w:asciiTheme="minorHAnsi" w:hAnsiTheme="minorHAnsi" w:eastAsiaTheme="minorEastAsia" w:cstheme="minorBidi"/>
          <w:sz w:val="21"/>
          <w:szCs w:val="22"/>
        </w:rPr>
      </w:pPr>
      <w:r>
        <w:fldChar w:fldCharType="begin"/>
      </w:r>
      <w:r>
        <w:instrText xml:space="preserve"> HYPERLINK \l "_Toc64542318" </w:instrText>
      </w:r>
      <w:r>
        <w:fldChar w:fldCharType="separate"/>
      </w:r>
      <w:r>
        <w:rPr>
          <w:rStyle w:val="36"/>
          <w:rFonts w:hint="eastAsia" w:ascii="楷体_GB2312" w:eastAsia="楷体_GB2312"/>
        </w:rPr>
        <w:t>第三节</w:t>
      </w:r>
      <w:r>
        <w:rPr>
          <w:rStyle w:val="36"/>
          <w:rFonts w:ascii="楷体_GB2312" w:eastAsia="楷体_GB2312"/>
        </w:rPr>
        <w:t xml:space="preserve">  </w:t>
      </w:r>
      <w:r>
        <w:rPr>
          <w:rStyle w:val="36"/>
          <w:rFonts w:hint="eastAsia" w:ascii="楷体_GB2312" w:eastAsia="楷体_GB2312"/>
        </w:rPr>
        <w:t>动员全社会参与规划实施</w:t>
      </w:r>
      <w:r>
        <w:tab/>
      </w:r>
      <w:r>
        <w:fldChar w:fldCharType="begin"/>
      </w:r>
      <w:r>
        <w:instrText xml:space="preserve"> PAGEREF _Toc64542318 \h </w:instrText>
      </w:r>
      <w:r>
        <w:fldChar w:fldCharType="separate"/>
      </w:r>
      <w:r>
        <w:t>175</w:t>
      </w:r>
      <w:r>
        <w:fldChar w:fldCharType="end"/>
      </w:r>
      <w:r>
        <w:fldChar w:fldCharType="end"/>
      </w:r>
    </w:p>
    <w:p>
      <w:pPr>
        <w:spacing w:line="580" w:lineRule="exact"/>
        <w:ind w:firstLine="0" w:firstLineChars="0"/>
        <w:rPr>
          <w:rFonts w:ascii="黑体" w:hAnsi="黑体" w:eastAsia="黑体" w:cs="黑体"/>
          <w:color w:val="000000" w:themeColor="text1"/>
        </w:rPr>
        <w:sectPr>
          <w:headerReference r:id="rId7" w:type="first"/>
          <w:footerReference r:id="rId10" w:type="first"/>
          <w:headerReference r:id="rId5" w:type="default"/>
          <w:footerReference r:id="rId8" w:type="default"/>
          <w:headerReference r:id="rId6" w:type="even"/>
          <w:footerReference r:id="rId9" w:type="even"/>
          <w:pgSz w:w="11906" w:h="16838"/>
          <w:pgMar w:top="1984" w:right="1417" w:bottom="1984" w:left="1417" w:header="851" w:footer="1417" w:gutter="0"/>
          <w:pgNumType w:fmt="upperRoman"/>
          <w:cols w:space="425" w:num="1"/>
          <w:docGrid w:type="lines" w:linePitch="435" w:charSpace="0"/>
        </w:sectPr>
      </w:pPr>
      <w:r>
        <w:rPr>
          <w:rFonts w:ascii="黑体" w:hAnsi="黑体" w:eastAsia="黑体" w:cs="黑体"/>
          <w:bCs/>
          <w:color w:val="000000" w:themeColor="text1"/>
          <w:szCs w:val="32"/>
        </w:rPr>
        <w:fldChar w:fldCharType="end"/>
      </w:r>
      <w:bookmarkStart w:id="0" w:name="_Toc15172"/>
    </w:p>
    <w:p>
      <w:pPr>
        <w:pStyle w:val="29"/>
        <w:spacing w:line="580" w:lineRule="exact"/>
        <w:rPr>
          <w:rFonts w:ascii="方正小标宋简体" w:hAnsi="方正小标宋简体" w:eastAsia="方正小标宋简体" w:cs="方正小标宋简体"/>
          <w:color w:val="000000" w:themeColor="text1"/>
          <w:sz w:val="44"/>
          <w:szCs w:val="44"/>
        </w:rPr>
      </w:pPr>
      <w:bookmarkStart w:id="1" w:name="_Toc26163"/>
      <w:bookmarkStart w:id="2" w:name="_Toc64542085"/>
      <w:r>
        <w:rPr>
          <w:rFonts w:hint="eastAsia" w:ascii="方正小标宋简体" w:hAnsi="方正小标宋简体" w:eastAsia="方正小标宋简体" w:cs="方正小标宋简体"/>
          <w:color w:val="000000" w:themeColor="text1"/>
          <w:sz w:val="44"/>
          <w:szCs w:val="44"/>
        </w:rPr>
        <w:t>前    言</w:t>
      </w:r>
      <w:bookmarkEnd w:id="0"/>
      <w:bookmarkEnd w:id="1"/>
      <w:bookmarkEnd w:id="2"/>
    </w:p>
    <w:p>
      <w:pPr>
        <w:spacing w:line="580" w:lineRule="exact"/>
        <w:ind w:firstLine="640"/>
      </w:pPr>
    </w:p>
    <w:p>
      <w:pPr>
        <w:pStyle w:val="59"/>
        <w:widowControl w:val="0"/>
        <w:spacing w:line="580" w:lineRule="exact"/>
        <w:ind w:firstLine="640"/>
        <w:rPr>
          <w:color w:val="000000" w:themeColor="text1"/>
        </w:rPr>
      </w:pPr>
      <w:r>
        <w:rPr>
          <w:rFonts w:hint="eastAsia"/>
          <w:color w:val="000000" w:themeColor="text1"/>
        </w:rPr>
        <w:t>《南昌市国民经济和社会发展第十四个五年规划和二</w:t>
      </w:r>
      <w:r>
        <w:rPr>
          <w:rFonts w:hint="eastAsia" w:hAnsi="微软雅黑" w:cs="微软雅黑"/>
          <w:color w:val="000000" w:themeColor="text1"/>
        </w:rPr>
        <w:t>〇</w:t>
      </w:r>
      <w:r>
        <w:rPr>
          <w:rFonts w:hint="eastAsia"/>
          <w:color w:val="000000" w:themeColor="text1"/>
        </w:rPr>
        <w:t>三五年远景目标纲要》根据《中共南昌市委关于制定南昌市国民经济和社会发展第十四个五年规划和二</w:t>
      </w:r>
      <w:r>
        <w:rPr>
          <w:rFonts w:hint="eastAsia" w:hAnsi="微软雅黑" w:cs="微软雅黑"/>
          <w:color w:val="000000" w:themeColor="text1"/>
        </w:rPr>
        <w:t>〇</w:t>
      </w:r>
      <w:r>
        <w:rPr>
          <w:rFonts w:hint="eastAsia"/>
          <w:color w:val="000000" w:themeColor="text1"/>
        </w:rPr>
        <w:t>三五年远景目标的建议》制定，是政府全面正确履行职能的重要依据，是引导市场主体行为的重要参考，是全市人民的共同愿景和行动纲领。</w:t>
      </w:r>
    </w:p>
    <w:p>
      <w:pPr>
        <w:pStyle w:val="59"/>
        <w:widowControl w:val="0"/>
        <w:spacing w:line="580" w:lineRule="exact"/>
        <w:ind w:firstLine="640"/>
        <w:rPr>
          <w:color w:val="000000" w:themeColor="text1"/>
        </w:rPr>
      </w:pPr>
    </w:p>
    <w:p>
      <w:pPr>
        <w:pStyle w:val="29"/>
        <w:spacing w:line="580" w:lineRule="exact"/>
        <w:rPr>
          <w:color w:val="000000" w:themeColor="text1"/>
        </w:rPr>
      </w:pPr>
      <w:bookmarkStart w:id="3" w:name="_Toc57195624"/>
      <w:bookmarkStart w:id="4" w:name="_Toc64542086"/>
      <w:bookmarkStart w:id="5" w:name="_Toc57194163"/>
      <w:bookmarkStart w:id="6" w:name="_Toc17123"/>
      <w:bookmarkStart w:id="7" w:name="_Toc8153"/>
      <w:r>
        <w:rPr>
          <w:rFonts w:hint="eastAsia"/>
          <w:color w:val="000000" w:themeColor="text1"/>
        </w:rPr>
        <w:t>第一篇  开启全面建设社会主义现代化新征程</w:t>
      </w:r>
      <w:bookmarkEnd w:id="3"/>
      <w:bookmarkEnd w:id="4"/>
      <w:bookmarkEnd w:id="5"/>
      <w:bookmarkEnd w:id="6"/>
      <w:bookmarkEnd w:id="7"/>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十四五”时期是我国全面建成小康社会、实现第一个百年奋斗目标之后，乘势而上开启全面建设社会主义现代化国家新征程、向第二个百年奋斗目标进军的第一个五年，也是南昌在全省“作示范、勇争先”上发挥核心引领作用、充分彰显省会担当的关键跨越期。我市将奋力开创高质量跨越式发展新局面，全面增强在全省的核心龙头作用，奋力在描绘好新时代江西改革发展新画卷中挑重担、走前列。</w:t>
      </w:r>
    </w:p>
    <w:p>
      <w:pPr>
        <w:pStyle w:val="31"/>
        <w:spacing w:line="580" w:lineRule="exact"/>
        <w:ind w:firstLine="640"/>
      </w:pPr>
    </w:p>
    <w:p>
      <w:pPr>
        <w:pStyle w:val="23"/>
        <w:spacing w:line="580" w:lineRule="exact"/>
        <w:rPr>
          <w:b w:val="0"/>
          <w:bCs/>
          <w:color w:val="000000" w:themeColor="text1"/>
        </w:rPr>
      </w:pPr>
      <w:bookmarkStart w:id="8" w:name="_Toc28091"/>
      <w:bookmarkStart w:id="9" w:name="_Toc64542087"/>
      <w:bookmarkStart w:id="10" w:name="_Toc22322"/>
      <w:bookmarkStart w:id="11" w:name="_Toc57194164"/>
      <w:bookmarkStart w:id="12" w:name="_Toc57195625"/>
      <w:r>
        <w:rPr>
          <w:rFonts w:hint="eastAsia"/>
          <w:b w:val="0"/>
          <w:bCs/>
          <w:color w:val="000000" w:themeColor="text1"/>
        </w:rPr>
        <w:t>第一章  发展基础</w:t>
      </w:r>
      <w:bookmarkEnd w:id="8"/>
      <w:bookmarkEnd w:id="9"/>
      <w:bookmarkEnd w:id="10"/>
      <w:bookmarkEnd w:id="11"/>
      <w:bookmarkEnd w:id="12"/>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十三五”时期，面对错综复杂的国内外环境和艰巨繁重的改革发展稳定任务，全市上下坚持以习近平新时代中国特色社会主义思想为指导，深入贯彻落实习近平总书记视察江西重要讲话精神，践行新发展理念，积极推进供给侧结构性改革，全力打好三大攻坚战，奋力夺取疫情防控和防汛抗洪救灾斗争伟大胜利，努力开创高质量跨越式发展新局面，总体完成“十三五”规划确定的目标任务，全面建成小康社会取得决定性胜利，为全面开启社会主义现代化建设新征程奠定了坚实基础。</w:t>
      </w:r>
    </w:p>
    <w:p>
      <w:pPr>
        <w:spacing w:line="580" w:lineRule="exact"/>
        <w:ind w:firstLine="643"/>
        <w:rPr>
          <w:rFonts w:ascii="仿宋_GB2312" w:eastAsia="仿宋_GB2312"/>
          <w:color w:val="000000" w:themeColor="text1"/>
          <w:kern w:val="0"/>
        </w:rPr>
      </w:pPr>
      <w:bookmarkStart w:id="13" w:name="_Hlk46065271"/>
      <w:r>
        <w:rPr>
          <w:rFonts w:hint="eastAsia" w:ascii="仿宋_GB2312" w:eastAsia="仿宋_GB2312"/>
          <w:b/>
          <w:color w:val="000000" w:themeColor="text1"/>
          <w:kern w:val="0"/>
        </w:rPr>
        <w:t>综合实力显著增强。</w:t>
      </w:r>
      <w:r>
        <w:rPr>
          <w:rFonts w:hint="eastAsia" w:ascii="仿宋_GB2312" w:eastAsia="仿宋_GB2312"/>
          <w:color w:val="000000" w:themeColor="text1"/>
          <w:kern w:val="0"/>
        </w:rPr>
        <w:t>2020年全市地区生产总值实现5745.51亿元，年均增长</w:t>
      </w:r>
      <w:r>
        <w:rPr>
          <w:rFonts w:ascii="仿宋_GB2312" w:eastAsia="仿宋_GB2312"/>
          <w:color w:val="000000" w:themeColor="text1"/>
          <w:kern w:val="0"/>
        </w:rPr>
        <w:t>7.</w:t>
      </w:r>
      <w:r>
        <w:rPr>
          <w:rFonts w:hint="eastAsia" w:ascii="仿宋_GB2312" w:eastAsia="仿宋_GB2312"/>
          <w:color w:val="000000" w:themeColor="text1"/>
          <w:kern w:val="0"/>
        </w:rPr>
        <w:t>6%，提前三年实现比2</w:t>
      </w:r>
      <w:r>
        <w:rPr>
          <w:rFonts w:ascii="仿宋_GB2312" w:eastAsia="仿宋_GB2312"/>
          <w:color w:val="000000" w:themeColor="text1"/>
          <w:kern w:val="0"/>
        </w:rPr>
        <w:t>010</w:t>
      </w:r>
      <w:r>
        <w:rPr>
          <w:rFonts w:hint="eastAsia" w:ascii="仿宋_GB2312" w:eastAsia="仿宋_GB2312"/>
          <w:color w:val="000000" w:themeColor="text1"/>
          <w:kern w:val="0"/>
        </w:rPr>
        <w:t>年翻番目标，人均生产总值接近1</w:t>
      </w:r>
      <w:r>
        <w:rPr>
          <w:rFonts w:ascii="仿宋_GB2312" w:eastAsia="仿宋_GB2312"/>
          <w:color w:val="000000" w:themeColor="text1"/>
          <w:kern w:val="0"/>
        </w:rPr>
        <w:t>.5</w:t>
      </w:r>
      <w:r>
        <w:rPr>
          <w:rFonts w:hint="eastAsia" w:ascii="仿宋_GB2312" w:eastAsia="仿宋_GB2312"/>
          <w:color w:val="000000" w:themeColor="text1"/>
          <w:kern w:val="0"/>
        </w:rPr>
        <w:t>万美元，财政总收入突破千亿大关，正式迈过高收入门槛。500万元及以上固定资产投资年均增长1</w:t>
      </w:r>
      <w:r>
        <w:rPr>
          <w:rFonts w:ascii="仿宋_GB2312" w:eastAsia="仿宋_GB2312"/>
          <w:color w:val="000000" w:themeColor="text1"/>
          <w:kern w:val="0"/>
        </w:rPr>
        <w:t>1</w:t>
      </w:r>
      <w:r>
        <w:rPr>
          <w:rFonts w:hint="eastAsia" w:ascii="仿宋_GB2312" w:eastAsia="仿宋_GB2312"/>
          <w:color w:val="000000" w:themeColor="text1"/>
          <w:kern w:val="0"/>
        </w:rPr>
        <w:t>.2%，社会消费品零售总额年均增长6.9%，规模以上工业增加值年均增长8</w:t>
      </w:r>
      <w:r>
        <w:rPr>
          <w:rFonts w:ascii="仿宋_GB2312" w:eastAsia="仿宋_GB2312"/>
          <w:color w:val="000000" w:themeColor="text1"/>
          <w:kern w:val="0"/>
        </w:rPr>
        <w:t>.</w:t>
      </w:r>
      <w:r>
        <w:rPr>
          <w:rFonts w:hint="eastAsia" w:ascii="仿宋_GB2312" w:eastAsia="仿宋_GB2312"/>
          <w:color w:val="000000" w:themeColor="text1"/>
          <w:kern w:val="0"/>
        </w:rPr>
        <w:t>3%，规模以上工业营业收入达到7346.91亿元，增速位居全国省会城市“第一方阵”和中部省</w:t>
      </w:r>
      <w:r>
        <w:rPr>
          <w:rFonts w:hint="eastAsia" w:ascii="仿宋_GB2312" w:eastAsia="仿宋_GB2312"/>
          <w:color w:val="000000" w:themeColor="text1"/>
          <w:spacing w:val="-6"/>
          <w:kern w:val="0"/>
        </w:rPr>
        <w:t>会城市前列。赣江新区成功获批，成为中部地区第二个国家级新区。</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产业结构不断优化。</w:t>
      </w:r>
      <w:r>
        <w:rPr>
          <w:rFonts w:hint="eastAsia" w:ascii="仿宋_GB2312" w:eastAsia="仿宋_GB2312"/>
          <w:color w:val="000000" w:themeColor="text1"/>
          <w:kern w:val="0"/>
        </w:rPr>
        <w:t>三次产业结构由</w:t>
      </w:r>
      <w:r>
        <w:rPr>
          <w:rFonts w:hint="eastAsia" w:ascii="仿宋_GB2312" w:eastAsia="仿宋_GB2312"/>
          <w:kern w:val="0"/>
        </w:rPr>
        <w:t>4</w:t>
      </w:r>
      <w:r>
        <w:rPr>
          <w:rFonts w:hint="eastAsia" w:ascii="仿宋_GB2312" w:eastAsia="仿宋_GB2312"/>
          <w:color w:val="000000" w:themeColor="text1"/>
          <w:kern w:val="0"/>
        </w:rPr>
        <w:t>.7︰52.5︰42.8调整为4.1︰46.6︰49.3，高新技术产业增加值占工业增加值比重达到42%。电子信息、汽车和新能源汽车、绿色食品、新型材料产业超千亿，机电装备制造产业超五百亿元，产业规模、集聚效应持续扩大。三个国家级开发区全部迈入“千亿”行列，县域经济发展态势蓬勃、产业特色鲜明。国家服务业综合改革试点取得积极成效，红谷滩金融商务区聚集80%以上省级金融机构，区域性现代金融、交通物流、创新创意、综合消费、总部营运五大中心基本成型。乡村振兴战略全面推进，都市现代农业“一环两谷四区”总体布局初步形成。</w:t>
      </w:r>
    </w:p>
    <w:p>
      <w:pPr>
        <w:spacing w:line="580" w:lineRule="exact"/>
        <w:ind w:firstLine="643"/>
        <w:rPr>
          <w:rFonts w:ascii="仿宋_GB2312" w:eastAsia="仿宋_GB2312"/>
          <w:color w:val="000000" w:themeColor="text1"/>
          <w:kern w:val="0"/>
        </w:rPr>
      </w:pPr>
      <w:r>
        <w:rPr>
          <w:rFonts w:ascii="仿宋_GB2312" w:eastAsia="仿宋_GB2312"/>
          <w:b/>
          <w:color w:val="000000" w:themeColor="text1"/>
          <w:kern w:val="0"/>
        </w:rPr>
        <w:t>创新驱动</w:t>
      </w:r>
      <w:r>
        <w:rPr>
          <w:rFonts w:hint="eastAsia" w:ascii="仿宋_GB2312" w:eastAsia="仿宋_GB2312"/>
          <w:b/>
          <w:color w:val="000000" w:themeColor="text1"/>
          <w:kern w:val="0"/>
        </w:rPr>
        <w:t>多点突破。</w:t>
      </w:r>
      <w:r>
        <w:rPr>
          <w:rFonts w:hint="eastAsia" w:ascii="仿宋_GB2312" w:eastAsia="仿宋_GB2312"/>
          <w:color w:val="000000" w:themeColor="text1"/>
          <w:kern w:val="0"/>
        </w:rPr>
        <w:t>赣江两岸科创大走廊全面推进。南昌航空科创城、中国（南昌）中医药科创城、南昌V</w:t>
      </w:r>
      <w:r>
        <w:rPr>
          <w:rFonts w:ascii="仿宋_GB2312" w:eastAsia="仿宋_GB2312"/>
          <w:color w:val="000000" w:themeColor="text1"/>
          <w:kern w:val="0"/>
        </w:rPr>
        <w:t>R</w:t>
      </w:r>
      <w:r>
        <w:rPr>
          <w:rFonts w:hint="eastAsia" w:ascii="仿宋_GB2312" w:eastAsia="仿宋_GB2312"/>
          <w:color w:val="000000" w:themeColor="text1"/>
          <w:kern w:val="0"/>
        </w:rPr>
        <w:t>科创城持续推进。中科院江西产业技术创新与育成中心、北京大学南昌创新研究院、浙江大学南昌研究院等成功落地。国家级重点实验室、国家级工程技术研究中心和省级重点实验室分别占全省80%、50%和77%。江西省高层次人才产业园正式开园。硅衬底高光效GaN（氮化镓）基蓝色发光二极管项目荣获国家技术发明一等奖，国家硅基L</w:t>
      </w:r>
      <w:r>
        <w:rPr>
          <w:rFonts w:ascii="仿宋_GB2312" w:eastAsia="仿宋_GB2312"/>
          <w:color w:val="000000" w:themeColor="text1"/>
          <w:kern w:val="0"/>
        </w:rPr>
        <w:t>ED工程技术研究中心</w:t>
      </w:r>
      <w:r>
        <w:rPr>
          <w:rFonts w:hint="eastAsia" w:ascii="仿宋_GB2312" w:eastAsia="仿宋_GB2312"/>
          <w:color w:val="000000" w:themeColor="text1"/>
          <w:kern w:val="0"/>
        </w:rPr>
        <w:t>高效黄光L</w:t>
      </w:r>
      <w:r>
        <w:rPr>
          <w:rFonts w:ascii="仿宋_GB2312" w:eastAsia="仿宋_GB2312"/>
          <w:color w:val="000000" w:themeColor="text1"/>
          <w:kern w:val="0"/>
        </w:rPr>
        <w:t>ED</w:t>
      </w:r>
      <w:r>
        <w:rPr>
          <w:rFonts w:hint="eastAsia" w:ascii="仿宋_GB2312" w:eastAsia="仿宋_GB2312"/>
          <w:color w:val="000000" w:themeColor="text1"/>
          <w:kern w:val="0"/>
        </w:rPr>
        <w:t>材料与</w:t>
      </w:r>
      <w:r>
        <w:rPr>
          <w:rFonts w:hint="eastAsia" w:ascii="仿宋_GB2312" w:eastAsia="仿宋_GB2312"/>
          <w:kern w:val="0"/>
        </w:rPr>
        <w:t>芯片</w:t>
      </w:r>
      <w:r>
        <w:rPr>
          <w:rFonts w:ascii="仿宋_GB2312" w:eastAsia="仿宋_GB2312"/>
          <w:kern w:val="0"/>
        </w:rPr>
        <w:t>制造技术</w:t>
      </w:r>
      <w:r>
        <w:rPr>
          <w:rFonts w:hint="eastAsia" w:ascii="仿宋_GB2312" w:eastAsia="仿宋_GB2312"/>
          <w:kern w:val="0"/>
        </w:rPr>
        <w:t>世界领先，全市</w:t>
      </w:r>
      <w:r>
        <w:rPr>
          <w:rFonts w:hint="eastAsia" w:ascii="仿宋_GB2312" w:eastAsia="仿宋_GB2312"/>
          <w:color w:val="000000" w:themeColor="text1"/>
          <w:kern w:val="0"/>
        </w:rPr>
        <w:t>高新技术企业由3</w:t>
      </w:r>
      <w:r>
        <w:rPr>
          <w:rFonts w:ascii="仿宋_GB2312" w:eastAsia="仿宋_GB2312"/>
          <w:color w:val="000000" w:themeColor="text1"/>
          <w:kern w:val="0"/>
        </w:rPr>
        <w:t>45</w:t>
      </w:r>
      <w:r>
        <w:rPr>
          <w:rFonts w:hint="eastAsia" w:ascii="仿宋_GB2312" w:eastAsia="仿宋_GB2312"/>
          <w:color w:val="000000" w:themeColor="text1"/>
          <w:kern w:val="0"/>
        </w:rPr>
        <w:t>家增加到</w:t>
      </w:r>
      <w:r>
        <w:rPr>
          <w:rFonts w:ascii="仿宋_GB2312" w:eastAsia="仿宋_GB2312"/>
          <w:color w:val="000000" w:themeColor="text1"/>
          <w:kern w:val="0"/>
        </w:rPr>
        <w:t>2000家</w:t>
      </w:r>
      <w:r>
        <w:rPr>
          <w:rFonts w:hint="eastAsia" w:ascii="仿宋_GB2312" w:eastAsia="仿宋_GB2312"/>
          <w:color w:val="000000" w:themeColor="text1"/>
          <w:kern w:val="0"/>
        </w:rPr>
        <w:t>以上。</w:t>
      </w:r>
    </w:p>
    <w:p>
      <w:pPr>
        <w:spacing w:line="580" w:lineRule="exact"/>
        <w:ind w:firstLine="643"/>
        <w:rPr>
          <w:rFonts w:ascii="仿宋_GB2312" w:eastAsia="仿宋_GB2312"/>
          <w:color w:val="000000" w:themeColor="text1"/>
          <w:kern w:val="0"/>
        </w:rPr>
      </w:pPr>
      <w:r>
        <w:rPr>
          <w:rFonts w:ascii="仿宋_GB2312" w:eastAsia="仿宋_GB2312"/>
          <w:b/>
          <w:color w:val="000000" w:themeColor="text1"/>
          <w:kern w:val="0"/>
        </w:rPr>
        <w:t>开放融合</w:t>
      </w:r>
      <w:r>
        <w:rPr>
          <w:rFonts w:hint="eastAsia" w:ascii="仿宋_GB2312" w:eastAsia="仿宋_GB2312"/>
          <w:b/>
          <w:color w:val="000000" w:themeColor="text1"/>
          <w:kern w:val="0"/>
        </w:rPr>
        <w:t>持续</w:t>
      </w:r>
      <w:r>
        <w:rPr>
          <w:rFonts w:ascii="仿宋_GB2312" w:eastAsia="仿宋_GB2312"/>
          <w:b/>
          <w:color w:val="000000" w:themeColor="text1"/>
          <w:kern w:val="0"/>
        </w:rPr>
        <w:t>深化。</w:t>
      </w:r>
      <w:r>
        <w:rPr>
          <w:rFonts w:hint="eastAsia" w:ascii="仿宋_GB2312" w:eastAsia="仿宋_GB2312"/>
          <w:color w:val="000000" w:themeColor="text1"/>
          <w:kern w:val="0"/>
        </w:rPr>
        <w:t>“十三五”时期实现进出口总额631.48亿美元，实际利用外资</w:t>
      </w:r>
      <w:r>
        <w:rPr>
          <w:rFonts w:ascii="仿宋_GB2312" w:eastAsia="仿宋_GB2312"/>
          <w:color w:val="000000" w:themeColor="text1"/>
          <w:kern w:val="0"/>
        </w:rPr>
        <w:t>年均增长</w:t>
      </w:r>
      <w:r>
        <w:rPr>
          <w:rFonts w:hint="eastAsia" w:ascii="仿宋_GB2312" w:eastAsia="仿宋_GB2312"/>
          <w:color w:val="000000" w:themeColor="text1"/>
          <w:kern w:val="0"/>
        </w:rPr>
        <w:t>9</w:t>
      </w:r>
      <w:r>
        <w:rPr>
          <w:rFonts w:ascii="仿宋_GB2312" w:eastAsia="仿宋_GB2312"/>
          <w:color w:val="000000" w:themeColor="text1"/>
          <w:kern w:val="0"/>
        </w:rPr>
        <w:t>.</w:t>
      </w:r>
      <w:r>
        <w:rPr>
          <w:rFonts w:hint="eastAsia" w:ascii="仿宋_GB2312" w:eastAsia="仿宋_GB2312"/>
          <w:color w:val="000000" w:themeColor="text1"/>
          <w:kern w:val="0"/>
        </w:rPr>
        <w:t>2%，增幅位居中部省会城市前列。引进世界500强投资项目80个、国内5</w:t>
      </w:r>
      <w:r>
        <w:rPr>
          <w:rFonts w:ascii="仿宋_GB2312" w:eastAsia="仿宋_GB2312"/>
          <w:color w:val="000000" w:themeColor="text1"/>
          <w:kern w:val="0"/>
        </w:rPr>
        <w:t>00强</w:t>
      </w:r>
      <w:r>
        <w:rPr>
          <w:rFonts w:hint="eastAsia" w:ascii="仿宋_GB2312" w:eastAsia="仿宋_GB2312"/>
          <w:color w:val="000000" w:themeColor="text1"/>
          <w:kern w:val="0"/>
        </w:rPr>
        <w:t>投资项目84个，</w:t>
      </w:r>
      <w:r>
        <w:rPr>
          <w:rFonts w:ascii="仿宋_GB2312" w:eastAsia="仿宋_GB2312"/>
          <w:color w:val="000000" w:themeColor="text1"/>
          <w:kern w:val="0"/>
        </w:rPr>
        <w:t>累计</w:t>
      </w:r>
      <w:r>
        <w:rPr>
          <w:rFonts w:hint="eastAsia" w:ascii="仿宋_GB2312" w:eastAsia="仿宋_GB2312"/>
          <w:color w:val="000000" w:themeColor="text1"/>
          <w:kern w:val="0"/>
        </w:rPr>
        <w:t>新批境外投资企业1</w:t>
      </w:r>
      <w:r>
        <w:rPr>
          <w:rFonts w:ascii="仿宋_GB2312" w:eastAsia="仿宋_GB2312"/>
          <w:color w:val="000000" w:themeColor="text1"/>
          <w:kern w:val="0"/>
        </w:rPr>
        <w:t>5</w:t>
      </w:r>
      <w:r>
        <w:rPr>
          <w:rFonts w:hint="eastAsia" w:ascii="仿宋_GB2312" w:eastAsia="仿宋_GB2312"/>
          <w:color w:val="000000" w:themeColor="text1"/>
          <w:kern w:val="0"/>
        </w:rPr>
        <w:t>6</w:t>
      </w:r>
      <w:r>
        <w:rPr>
          <w:rFonts w:ascii="仿宋_GB2312" w:eastAsia="仿宋_GB2312"/>
          <w:color w:val="000000" w:themeColor="text1"/>
          <w:kern w:val="0"/>
        </w:rPr>
        <w:t>家</w:t>
      </w:r>
      <w:r>
        <w:rPr>
          <w:rFonts w:hint="eastAsia" w:ascii="仿宋_GB2312" w:eastAsia="仿宋_GB2312"/>
          <w:color w:val="000000" w:themeColor="text1"/>
          <w:kern w:val="0"/>
        </w:rPr>
        <w:t>。对外直接投资、承包工程、劳务输出企业超380家，融入国家“一带一路”建设步伐不断加快</w:t>
      </w:r>
      <w:r>
        <w:rPr>
          <w:rFonts w:ascii="仿宋_GB2312" w:eastAsia="仿宋_GB2312"/>
          <w:color w:val="000000" w:themeColor="text1"/>
          <w:kern w:val="0"/>
        </w:rPr>
        <w:t>。</w:t>
      </w:r>
      <w:r>
        <w:rPr>
          <w:rFonts w:hint="eastAsia" w:ascii="仿宋_GB2312" w:eastAsia="仿宋_GB2312"/>
          <w:color w:val="000000" w:themeColor="text1"/>
          <w:kern w:val="0"/>
        </w:rPr>
        <w:t>中欧班列、铁海联运、南昌向塘国际陆港、昌北机场国际空港建设扎实推进，国家跨境电商综合试验区获批设立。昌北机场旅客吞吐量增长25.9%，晋升千万级枢纽机场，航空货邮吞吐量增长256.9%。</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城市能级蓄势攀升。</w:t>
      </w:r>
      <w:r>
        <w:rPr>
          <w:rFonts w:hint="eastAsia" w:ascii="仿宋_GB2312" w:eastAsia="仿宋_GB2312"/>
          <w:color w:val="000000" w:themeColor="text1"/>
          <w:kern w:val="0"/>
        </w:rPr>
        <w:t>全市户籍</w:t>
      </w:r>
      <w:r>
        <w:rPr>
          <w:rFonts w:ascii="仿宋_GB2312" w:eastAsia="仿宋_GB2312"/>
          <w:color w:val="000000" w:themeColor="text1"/>
          <w:kern w:val="0"/>
        </w:rPr>
        <w:t>人</w:t>
      </w:r>
      <w:r>
        <w:rPr>
          <w:rFonts w:hint="eastAsia" w:ascii="仿宋_GB2312" w:eastAsia="仿宋_GB2312"/>
          <w:color w:val="000000" w:themeColor="text1"/>
          <w:kern w:val="0"/>
        </w:rPr>
        <w:t>口达到540万，常住人口突破6</w:t>
      </w:r>
      <w:r>
        <w:rPr>
          <w:rFonts w:ascii="仿宋_GB2312" w:eastAsia="仿宋_GB2312"/>
          <w:color w:val="000000" w:themeColor="text1"/>
          <w:kern w:val="0"/>
        </w:rPr>
        <w:t>00</w:t>
      </w:r>
      <w:r>
        <w:rPr>
          <w:rFonts w:hint="eastAsia" w:ascii="仿宋_GB2312" w:eastAsia="仿宋_GB2312"/>
          <w:color w:val="000000" w:themeColor="text1"/>
          <w:kern w:val="0"/>
        </w:rPr>
        <w:t>万。正式设立红谷滩区，南昌空港新城、南昌向塘国际陆港新城、南昌高铁东站新区、九望新城、中国（南昌）现代职教城五大功能板块全面启动规划建设，正式开创“跨江临湖、揽山入城”的大南昌都市圈时代。综合交通体系日臻完善，“大”字型高铁网初步形成，“一环八射”高速公路网已形成，与珠三角、长三角实现双高速贯通。地铁1、2号线全线运行，3号线开通初期运营，4号线加快建设，地铁运营总里程达到88.8公里。“十纵十横”干线路网日趋完善，城市一环闭环通行、二环和三环加速推进。</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品质形象明显提升</w:t>
      </w:r>
      <w:r>
        <w:rPr>
          <w:rFonts w:hint="eastAsia" w:ascii="仿宋_GB2312" w:eastAsia="仿宋_GB2312"/>
          <w:color w:val="000000" w:themeColor="text1"/>
          <w:kern w:val="0"/>
        </w:rPr>
        <w:t>。深入实施“一江三河串十湖”水系连通工程，开工建设赣抚尾闾综合整治工程，城区绿道达到400公里、彩化道路150条。</w:t>
      </w:r>
      <w:r>
        <w:rPr>
          <w:rFonts w:ascii="仿宋_GB2312" w:eastAsia="仿宋_GB2312"/>
          <w:color w:val="000000" w:themeColor="text1"/>
          <w:kern w:val="0"/>
        </w:rPr>
        <w:t>滕王阁5A级景区创</w:t>
      </w:r>
      <w:r>
        <w:rPr>
          <w:rFonts w:hint="eastAsia" w:ascii="仿宋_GB2312" w:eastAsia="仿宋_GB2312"/>
          <w:color w:val="000000" w:themeColor="text1"/>
          <w:kern w:val="0"/>
        </w:rPr>
        <w:t>建成功，实现5A级景区“零”的突破，南昌汉代海昏侯国遗址公园顺利开园，成功获评全国文明城市。扎实推进老旧小区改造提升工程，城市棚旧改全面收官，超3万套棚改任务提前完成。“城市大脑”正式运行，开通5G基站8620个，</w:t>
      </w:r>
      <w:r>
        <w:rPr>
          <w:rFonts w:ascii="Times New Roman" w:hAnsi="Times New Roman" w:eastAsia="仿宋_GB2312"/>
          <w:color w:val="000000" w:themeColor="text1"/>
          <w:szCs w:val="32"/>
        </w:rPr>
        <w:t>主城区实现5G信号连续覆盖</w:t>
      </w:r>
      <w:r>
        <w:rPr>
          <w:rFonts w:hint="eastAsia" w:ascii="Times New Roman" w:hAnsi="Times New Roman" w:eastAsia="仿宋_GB2312"/>
          <w:color w:val="000000" w:themeColor="text1"/>
          <w:szCs w:val="32"/>
        </w:rPr>
        <w:t>；部署窄带物联网基站</w:t>
      </w:r>
      <w:r>
        <w:rPr>
          <w:rFonts w:hint="eastAsia" w:ascii="仿宋_GB2312" w:eastAsia="仿宋_GB2312"/>
          <w:color w:val="000000" w:themeColor="text1"/>
          <w:kern w:val="0"/>
        </w:rPr>
        <w:t>9865个</w:t>
      </w:r>
      <w:r>
        <w:rPr>
          <w:rFonts w:hint="eastAsia" w:ascii="Times New Roman" w:hAnsi="Times New Roman" w:eastAsia="仿宋_GB2312"/>
          <w:color w:val="000000" w:themeColor="text1"/>
          <w:szCs w:val="32"/>
        </w:rPr>
        <w:t>，</w:t>
      </w:r>
      <w:r>
        <w:rPr>
          <w:rFonts w:hint="eastAsia" w:ascii="仿宋_GB2312" w:eastAsia="仿宋_GB2312"/>
          <w:color w:val="000000" w:themeColor="text1"/>
          <w:kern w:val="0"/>
        </w:rPr>
        <w:t>实现市域全覆盖。成功举办世界</w:t>
      </w:r>
      <w:r>
        <w:rPr>
          <w:rFonts w:ascii="仿宋_GB2312" w:eastAsia="仿宋_GB2312"/>
          <w:color w:val="000000" w:themeColor="text1"/>
          <w:kern w:val="0"/>
        </w:rPr>
        <w:t>VR产业大会、南昌国际军乐节、南昌飞行大会、中国国际农产品交易会等</w:t>
      </w:r>
      <w:r>
        <w:rPr>
          <w:rFonts w:hint="eastAsia" w:ascii="仿宋_GB2312" w:eastAsia="仿宋_GB2312"/>
          <w:color w:val="000000" w:themeColor="text1"/>
          <w:kern w:val="0"/>
        </w:rPr>
        <w:t>，英雄城知名度、美誉度进一步提升。</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民生福祉不断改善。</w:t>
      </w:r>
      <w:r>
        <w:rPr>
          <w:rFonts w:hint="eastAsia" w:ascii="仿宋_GB2312" w:eastAsia="仿宋_GB2312"/>
          <w:color w:val="000000" w:themeColor="text1"/>
          <w:kern w:val="0"/>
        </w:rPr>
        <w:t>脱贫攻坚取得全面胜利，城乡居民收入实现翻番，现行标准线下农村贫困人口全面脱贫，城镇贫困群众实现整体性脱贫解困。基本公共服务均等化水平不断提升，城乡居民社会保障、医疗保障、公共就业服务实现全覆盖。城市公立医院综合改革全面推开，养老服务综合改革积极推进，居家和社区养老服务改革试点成效显著。教育强市建设深入推进，学前教育普惠度显著提升，普通高中特色发展成效初步显现，“学在南昌”品牌更加响亮。平安南昌、法治南昌加快建设，综治中心、“雪亮工程”建设经验全国推广，全国市域社会治理现代化示范城市创建全面启动，全市社会治安大局持续平稳。</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生态建设成效显著。</w:t>
      </w:r>
      <w:r>
        <w:rPr>
          <w:rFonts w:hint="eastAsia" w:ascii="仿宋_GB2312" w:eastAsia="仿宋_GB2312"/>
          <w:color w:val="000000" w:themeColor="text1"/>
          <w:kern w:val="0"/>
        </w:rPr>
        <w:t>空气质量优良率超过</w:t>
      </w:r>
      <w:r>
        <w:rPr>
          <w:rFonts w:ascii="仿宋_GB2312" w:eastAsia="仿宋_GB2312"/>
          <w:color w:val="000000" w:themeColor="text1"/>
          <w:kern w:val="0"/>
        </w:rPr>
        <w:t>90</w:t>
      </w:r>
      <w:r>
        <w:rPr>
          <w:rFonts w:hint="eastAsia" w:ascii="仿宋_GB2312" w:eastAsia="仿宋_GB2312"/>
          <w:color w:val="000000" w:themeColor="text1"/>
          <w:kern w:val="0"/>
        </w:rPr>
        <w:t>%，连续六年保持中部省会城市第一，“南昌蓝”成为城市靓丽名片。万元GDP能耗和水耗提前完成“十三五”规划目标。积极参与长江经济带“共抓大保护”攻坚行动，获评“全国水生态文明城市”。河（湖）长制、林长制全面落实，城区黑臭水体全面消除，劣</w:t>
      </w:r>
      <w:r>
        <w:rPr>
          <w:rFonts w:ascii="仿宋_GB2312" w:eastAsia="仿宋_GB2312"/>
          <w:color w:val="000000" w:themeColor="text1"/>
          <w:szCs w:val="32"/>
        </w:rPr>
        <w:t>V</w:t>
      </w:r>
      <w:r>
        <w:rPr>
          <w:rFonts w:hint="eastAsia" w:ascii="仿宋_GB2312" w:eastAsia="仿宋_GB2312"/>
          <w:color w:val="000000" w:themeColor="text1"/>
          <w:kern w:val="0"/>
        </w:rPr>
        <w:t>类水整治成效明显。南昌县获评“全国绿化模范县”，原湾里区入选“国家生态文明建设示范区”和“中国天然氧吧”，安义县入选“绿水青山就是金山银山”省级实践创新基地。</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重点</w:t>
      </w:r>
      <w:r>
        <w:rPr>
          <w:rFonts w:ascii="仿宋_GB2312" w:eastAsia="仿宋_GB2312"/>
          <w:b/>
          <w:color w:val="000000" w:themeColor="text1"/>
          <w:kern w:val="0"/>
        </w:rPr>
        <w:t>改革</w:t>
      </w:r>
      <w:r>
        <w:rPr>
          <w:rFonts w:hint="eastAsia" w:ascii="仿宋_GB2312" w:eastAsia="仿宋_GB2312"/>
          <w:b/>
          <w:color w:val="000000" w:themeColor="text1"/>
          <w:kern w:val="0"/>
        </w:rPr>
        <w:t>纵深推进。</w:t>
      </w:r>
      <w:r>
        <w:rPr>
          <w:rFonts w:hint="eastAsia" w:ascii="仿宋_GB2312" w:eastAsia="仿宋_GB2312"/>
          <w:color w:val="000000" w:themeColor="text1"/>
          <w:kern w:val="0"/>
        </w:rPr>
        <w:t>积极推进供给侧结构性改革，“放管服”改革持续深化，在全省率先成立行政审批局，“六多合一”集成审批模式获中央深改办全国推广，“1+10+</w:t>
      </w:r>
      <w:r>
        <w:rPr>
          <w:rFonts w:ascii="仿宋_GB2312" w:eastAsia="仿宋_GB2312"/>
          <w:color w:val="000000" w:themeColor="text1"/>
          <w:kern w:val="0"/>
        </w:rPr>
        <w:t>N</w:t>
      </w:r>
      <w:r>
        <w:rPr>
          <w:rFonts w:hint="eastAsia" w:ascii="仿宋_GB2312" w:eastAsia="仿宋_GB2312"/>
          <w:color w:val="000000" w:themeColor="text1"/>
          <w:kern w:val="0"/>
        </w:rPr>
        <w:t>”政策保障体系落细落实，“降成本、优环境”</w:t>
      </w:r>
      <w:r>
        <w:rPr>
          <w:rFonts w:ascii="仿宋_GB2312" w:eastAsia="仿宋_GB2312"/>
          <w:color w:val="000000" w:themeColor="text1"/>
          <w:kern w:val="0"/>
        </w:rPr>
        <w:t>工作成效明显</w:t>
      </w:r>
      <w:r>
        <w:rPr>
          <w:rFonts w:hint="eastAsia" w:ascii="仿宋_GB2312" w:eastAsia="仿宋_GB2312"/>
          <w:color w:val="000000" w:themeColor="text1"/>
          <w:kern w:val="0"/>
        </w:rPr>
        <w:t>。开放型经济新体制综合试点试验成效突出，“重资本轻资产”招商模式、大数据市场主体监管新模式等创新举措形成首批试点经验在全国推广。政府数字化转型着力推进，“赣服通”南昌分厅上线运行，“五型”政府建设初见成效。</w:t>
      </w:r>
    </w:p>
    <w:p>
      <w:pPr>
        <w:spacing w:line="580" w:lineRule="exact"/>
        <w:ind w:firstLine="643"/>
        <w:rPr>
          <w:rFonts w:ascii="仿宋_GB2312" w:eastAsia="仿宋_GB2312"/>
          <w:color w:val="000000" w:themeColor="text1"/>
          <w:kern w:val="0"/>
        </w:rPr>
      </w:pPr>
      <w:r>
        <w:rPr>
          <w:rFonts w:hint="eastAsia" w:ascii="仿宋_GB2312" w:hAnsi="仿宋_GB2312" w:eastAsia="仿宋_GB2312"/>
          <w:b/>
          <w:color w:val="000000" w:themeColor="text1"/>
        </w:rPr>
        <w:t>党的建设持续加强。</w:t>
      </w:r>
      <w:r>
        <w:rPr>
          <w:rFonts w:hint="eastAsia" w:ascii="仿宋_GB2312" w:eastAsia="仿宋_GB2312"/>
          <w:color w:val="000000" w:themeColor="text1"/>
          <w:kern w:val="0"/>
        </w:rPr>
        <w:t>坚决落实全面从严治党政治责任，深入学习贯彻习近平新时代中国特色社会主义思想，筑牢干部思想根基。扎实开展“不忘初心、牢记使命”主题教育和推动制度化常态化，严格落实民主集中制，严肃党内政治生活，基层党组织战斗堡垒作用得到有力发挥。持续深入整治“怕慢假庸散”等作风顽疾，始终保持反腐高压态势，坚决肃清苏荣案余毒，充分发挥巡察“利剑”作用，严肃查处违纪违法案件，创新监管制度机制，政治生态持续向上向好。</w:t>
      </w:r>
    </w:p>
    <w:bookmarkEnd w:id="13"/>
    <w:p>
      <w:pPr>
        <w:spacing w:line="580" w:lineRule="exact"/>
        <w:ind w:firstLine="640"/>
        <w:rPr>
          <w:color w:val="000000" w:themeColor="text1"/>
        </w:rPr>
      </w:pPr>
      <w:r>
        <w:rPr>
          <w:rFonts w:hint="eastAsia" w:ascii="Times New Roman" w:hAnsi="Times New Roman" w:eastAsia="仿宋_GB2312" w:cs="仿宋_GB2312"/>
          <w:color w:val="000000" w:themeColor="text1"/>
          <w:szCs w:val="34"/>
        </w:rPr>
        <w:t>五年来的发展成就，充分彰显了习近平新时代中国特色社会主义思想的强大真理伟力和中国特色社会主义的强大生机活力，必须始终增强“四个意识”、坚定“四个自信”、做到“两个维护”，朝着总书记指引的方向坚定前行；五年来的发展成就，充分证明了省委、省政府对南昌的一系列指示要求是科学的，充分证明了市委的一系列工作思路和部署是完全正确的，符合中央精神，契合省会实际，顺应人民对美好生活的向往，必须始终把“彰显省会担当”扛在肩上，发挥好辐射带动作用，做好全省高质量跨越式发展的“排头兵”，当好全省崛起的“火车头”；五年来的发展成就，充分体现了英雄城儿女敢于战斗、敢于胜利的奋斗精神和坚定不移、百折不挠的优秀品质，必须一以贯之坚持下去，传承红色基因，把全市人民的意志、智慧和力量凝聚到共同目标上来，为全面建设社会主义现代化国家贡献更大力量。</w:t>
      </w:r>
    </w:p>
    <w:p>
      <w:pPr>
        <w:spacing w:line="580" w:lineRule="exact"/>
        <w:ind w:firstLine="0" w:firstLineChars="0"/>
        <w:jc w:val="center"/>
        <w:rPr>
          <w:rFonts w:ascii="黑体" w:hAnsi="黑体" w:eastAsia="黑体" w:cs="黑体"/>
          <w:bCs/>
          <w:color w:val="000000" w:themeColor="text1"/>
          <w:kern w:val="0"/>
          <w:szCs w:val="32"/>
        </w:rPr>
      </w:pPr>
      <w:r>
        <w:rPr>
          <w:rFonts w:hint="eastAsia" w:ascii="黑体" w:hAnsi="黑体" w:eastAsia="黑体" w:cs="黑体"/>
          <w:bCs/>
          <w:color w:val="000000" w:themeColor="text1"/>
          <w:kern w:val="0"/>
          <w:sz w:val="18"/>
          <w:szCs w:val="18"/>
        </w:rPr>
        <w:br w:type="page"/>
      </w:r>
      <w:r>
        <w:rPr>
          <w:rFonts w:hint="eastAsia" w:ascii="黑体" w:hAnsi="黑体" w:eastAsia="黑体" w:cs="黑体"/>
          <w:bCs/>
          <w:color w:val="000000" w:themeColor="text1"/>
          <w:szCs w:val="32"/>
        </w:rPr>
        <w:t>表1：“十三五”规划主要指标完成情况</w:t>
      </w:r>
    </w:p>
    <w:tbl>
      <w:tblPr>
        <w:tblStyle w:val="3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3"/>
        <w:gridCol w:w="1750"/>
        <w:gridCol w:w="1750"/>
        <w:gridCol w:w="1024"/>
        <w:gridCol w:w="700"/>
        <w:gridCol w:w="892"/>
        <w:gridCol w:w="870"/>
        <w:gridCol w:w="891"/>
        <w:gridCol w:w="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blHeader/>
          <w:jc w:val="center"/>
        </w:trPr>
        <w:tc>
          <w:tcPr>
            <w:tcW w:w="633" w:type="dxa"/>
            <w:vMerge w:val="restart"/>
            <w:vAlign w:val="center"/>
          </w:tcPr>
          <w:p>
            <w:pPr>
              <w:spacing w:line="200" w:lineRule="exact"/>
              <w:ind w:firstLine="0" w:firstLineChars="0"/>
              <w:jc w:val="center"/>
              <w:rPr>
                <w:rFonts w:ascii="黑体" w:hAnsi="黑体" w:eastAsia="黑体" w:cs="黑体"/>
                <w:bCs/>
                <w:color w:val="000000" w:themeColor="text1"/>
                <w:kern w:val="0"/>
                <w:sz w:val="18"/>
                <w:szCs w:val="18"/>
              </w:rPr>
            </w:pPr>
            <w:r>
              <w:rPr>
                <w:rFonts w:hint="eastAsia" w:ascii="黑体" w:hAnsi="黑体" w:eastAsia="黑体" w:cs="黑体"/>
                <w:bCs/>
                <w:color w:val="000000" w:themeColor="text1"/>
                <w:kern w:val="0"/>
                <w:sz w:val="18"/>
                <w:szCs w:val="18"/>
              </w:rPr>
              <w:t>类别</w:t>
            </w:r>
          </w:p>
        </w:tc>
        <w:tc>
          <w:tcPr>
            <w:tcW w:w="3500" w:type="dxa"/>
            <w:gridSpan w:val="2"/>
            <w:vMerge w:val="restart"/>
            <w:vAlign w:val="center"/>
          </w:tcPr>
          <w:p>
            <w:pPr>
              <w:spacing w:line="200" w:lineRule="exact"/>
              <w:ind w:firstLine="0" w:firstLineChars="0"/>
              <w:jc w:val="center"/>
              <w:rPr>
                <w:rFonts w:ascii="黑体" w:hAnsi="黑体" w:eastAsia="黑体" w:cs="黑体"/>
                <w:bCs/>
                <w:color w:val="000000" w:themeColor="text1"/>
                <w:kern w:val="0"/>
                <w:sz w:val="18"/>
                <w:szCs w:val="18"/>
              </w:rPr>
            </w:pPr>
            <w:r>
              <w:rPr>
                <w:rFonts w:hint="eastAsia" w:ascii="黑体" w:hAnsi="黑体" w:eastAsia="黑体" w:cs="黑体"/>
                <w:bCs/>
                <w:color w:val="000000" w:themeColor="text1"/>
                <w:kern w:val="0"/>
                <w:sz w:val="18"/>
                <w:szCs w:val="18"/>
              </w:rPr>
              <w:t>指标名称</w:t>
            </w:r>
          </w:p>
        </w:tc>
        <w:tc>
          <w:tcPr>
            <w:tcW w:w="2616" w:type="dxa"/>
            <w:gridSpan w:val="3"/>
            <w:vAlign w:val="center"/>
          </w:tcPr>
          <w:p>
            <w:pPr>
              <w:spacing w:line="200" w:lineRule="exact"/>
              <w:ind w:firstLine="0" w:firstLineChars="0"/>
              <w:jc w:val="center"/>
              <w:rPr>
                <w:rFonts w:ascii="黑体" w:hAnsi="黑体" w:eastAsia="黑体" w:cs="黑体"/>
                <w:bCs/>
                <w:color w:val="000000" w:themeColor="text1"/>
                <w:kern w:val="0"/>
                <w:sz w:val="18"/>
                <w:szCs w:val="18"/>
              </w:rPr>
            </w:pPr>
            <w:r>
              <w:rPr>
                <w:rFonts w:hint="eastAsia" w:ascii="黑体" w:hAnsi="黑体" w:eastAsia="黑体" w:cs="黑体"/>
                <w:bCs/>
                <w:color w:val="000000" w:themeColor="text1"/>
                <w:kern w:val="0"/>
                <w:sz w:val="18"/>
                <w:szCs w:val="18"/>
              </w:rPr>
              <w:t>规划目标</w:t>
            </w:r>
          </w:p>
        </w:tc>
        <w:tc>
          <w:tcPr>
            <w:tcW w:w="1761" w:type="dxa"/>
            <w:gridSpan w:val="2"/>
            <w:vAlign w:val="center"/>
          </w:tcPr>
          <w:p>
            <w:pPr>
              <w:spacing w:line="200" w:lineRule="exact"/>
              <w:ind w:firstLine="0" w:firstLineChars="0"/>
              <w:jc w:val="center"/>
              <w:rPr>
                <w:rFonts w:ascii="黑体" w:hAnsi="黑体" w:eastAsia="黑体" w:cs="黑体"/>
                <w:bCs/>
                <w:color w:val="000000" w:themeColor="text1"/>
                <w:kern w:val="0"/>
                <w:sz w:val="18"/>
                <w:szCs w:val="18"/>
              </w:rPr>
            </w:pPr>
            <w:r>
              <w:rPr>
                <w:rFonts w:hint="eastAsia" w:ascii="黑体" w:hAnsi="黑体" w:eastAsia="黑体" w:cs="黑体"/>
                <w:bCs/>
                <w:color w:val="000000" w:themeColor="text1"/>
                <w:kern w:val="0"/>
                <w:sz w:val="18"/>
                <w:szCs w:val="18"/>
              </w:rPr>
              <w:t>完成情况</w:t>
            </w:r>
          </w:p>
        </w:tc>
        <w:tc>
          <w:tcPr>
            <w:tcW w:w="561" w:type="dxa"/>
            <w:vMerge w:val="restart"/>
            <w:vAlign w:val="center"/>
          </w:tcPr>
          <w:p>
            <w:pPr>
              <w:spacing w:line="200" w:lineRule="exact"/>
              <w:ind w:firstLine="0" w:firstLineChars="0"/>
              <w:jc w:val="center"/>
              <w:rPr>
                <w:rFonts w:ascii="黑体" w:hAnsi="黑体" w:eastAsia="黑体" w:cs="黑体"/>
                <w:bCs/>
                <w:color w:val="000000" w:themeColor="text1"/>
                <w:kern w:val="0"/>
                <w:sz w:val="18"/>
                <w:szCs w:val="18"/>
              </w:rPr>
            </w:pPr>
            <w:r>
              <w:rPr>
                <w:rFonts w:hint="eastAsia" w:ascii="黑体" w:hAnsi="黑体" w:eastAsia="黑体" w:cs="黑体"/>
                <w:bCs/>
                <w:color w:val="000000" w:themeColor="text1"/>
                <w:kern w:val="0"/>
                <w:sz w:val="18"/>
                <w:szCs w:val="18"/>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tblHeader/>
          <w:jc w:val="center"/>
        </w:trPr>
        <w:tc>
          <w:tcPr>
            <w:tcW w:w="633" w:type="dxa"/>
            <w:vMerge w:val="continue"/>
            <w:vAlign w:val="center"/>
          </w:tcPr>
          <w:p>
            <w:pPr>
              <w:spacing w:line="200" w:lineRule="exact"/>
              <w:ind w:firstLine="0" w:firstLineChars="0"/>
              <w:jc w:val="center"/>
              <w:rPr>
                <w:rFonts w:ascii="黑体" w:hAnsi="黑体" w:eastAsia="黑体" w:cs="黑体"/>
                <w:bCs/>
                <w:color w:val="000000" w:themeColor="text1"/>
                <w:kern w:val="0"/>
                <w:sz w:val="18"/>
                <w:szCs w:val="18"/>
              </w:rPr>
            </w:pPr>
          </w:p>
        </w:tc>
        <w:tc>
          <w:tcPr>
            <w:tcW w:w="3500" w:type="dxa"/>
            <w:gridSpan w:val="2"/>
            <w:vMerge w:val="continue"/>
            <w:vAlign w:val="center"/>
          </w:tcPr>
          <w:p>
            <w:pPr>
              <w:spacing w:line="200" w:lineRule="exact"/>
              <w:ind w:firstLine="0" w:firstLineChars="0"/>
              <w:jc w:val="center"/>
              <w:rPr>
                <w:rFonts w:ascii="黑体" w:hAnsi="黑体" w:eastAsia="黑体" w:cs="黑体"/>
                <w:bCs/>
                <w:color w:val="000000" w:themeColor="text1"/>
                <w:kern w:val="0"/>
                <w:sz w:val="18"/>
                <w:szCs w:val="18"/>
              </w:rPr>
            </w:pPr>
          </w:p>
        </w:tc>
        <w:tc>
          <w:tcPr>
            <w:tcW w:w="1024" w:type="dxa"/>
            <w:vAlign w:val="center"/>
          </w:tcPr>
          <w:p>
            <w:pPr>
              <w:spacing w:line="200" w:lineRule="exact"/>
              <w:ind w:firstLine="0" w:firstLineChars="0"/>
              <w:jc w:val="center"/>
              <w:rPr>
                <w:rFonts w:ascii="黑体" w:hAnsi="黑体" w:eastAsia="黑体" w:cs="黑体"/>
                <w:bCs/>
                <w:color w:val="000000" w:themeColor="text1"/>
                <w:kern w:val="0"/>
                <w:sz w:val="18"/>
                <w:szCs w:val="18"/>
              </w:rPr>
            </w:pPr>
            <w:r>
              <w:rPr>
                <w:rFonts w:hint="eastAsia" w:ascii="黑体" w:hAnsi="黑体" w:eastAsia="黑体" w:cs="黑体"/>
                <w:bCs/>
                <w:color w:val="000000" w:themeColor="text1"/>
                <w:kern w:val="0"/>
                <w:sz w:val="18"/>
                <w:szCs w:val="18"/>
              </w:rPr>
              <w:t>2015年</w:t>
            </w:r>
          </w:p>
          <w:p>
            <w:pPr>
              <w:spacing w:line="200" w:lineRule="exact"/>
              <w:ind w:firstLine="0" w:firstLineChars="0"/>
              <w:jc w:val="center"/>
              <w:rPr>
                <w:rFonts w:ascii="黑体" w:hAnsi="黑体" w:eastAsia="黑体" w:cs="黑体"/>
                <w:bCs/>
                <w:color w:val="000000" w:themeColor="text1"/>
                <w:kern w:val="0"/>
                <w:sz w:val="18"/>
                <w:szCs w:val="18"/>
              </w:rPr>
            </w:pPr>
            <w:r>
              <w:rPr>
                <w:rFonts w:hint="eastAsia" w:ascii="黑体" w:hAnsi="黑体" w:eastAsia="黑体" w:cs="黑体"/>
                <w:bCs/>
                <w:color w:val="000000" w:themeColor="text1"/>
                <w:kern w:val="0"/>
                <w:sz w:val="18"/>
                <w:szCs w:val="18"/>
              </w:rPr>
              <w:t>基数</w:t>
            </w:r>
          </w:p>
        </w:tc>
        <w:tc>
          <w:tcPr>
            <w:tcW w:w="700" w:type="dxa"/>
            <w:vAlign w:val="center"/>
          </w:tcPr>
          <w:p>
            <w:pPr>
              <w:spacing w:line="200" w:lineRule="exact"/>
              <w:ind w:firstLine="0" w:firstLineChars="0"/>
              <w:jc w:val="center"/>
              <w:rPr>
                <w:rFonts w:ascii="黑体" w:hAnsi="黑体" w:eastAsia="黑体" w:cs="黑体"/>
                <w:bCs/>
                <w:color w:val="000000" w:themeColor="text1"/>
                <w:kern w:val="0"/>
                <w:sz w:val="18"/>
                <w:szCs w:val="18"/>
              </w:rPr>
            </w:pPr>
            <w:r>
              <w:rPr>
                <w:rFonts w:hint="eastAsia" w:ascii="黑体" w:hAnsi="黑体" w:eastAsia="黑体" w:cs="黑体"/>
                <w:bCs/>
                <w:color w:val="000000" w:themeColor="text1"/>
                <w:kern w:val="0"/>
                <w:sz w:val="18"/>
                <w:szCs w:val="18"/>
              </w:rPr>
              <w:t>2020年</w:t>
            </w:r>
          </w:p>
          <w:p>
            <w:pPr>
              <w:spacing w:line="200" w:lineRule="exact"/>
              <w:ind w:firstLine="0" w:firstLineChars="0"/>
              <w:jc w:val="center"/>
              <w:rPr>
                <w:rFonts w:ascii="黑体" w:hAnsi="黑体" w:eastAsia="黑体" w:cs="黑体"/>
                <w:bCs/>
                <w:color w:val="000000" w:themeColor="text1"/>
                <w:kern w:val="0"/>
                <w:sz w:val="18"/>
                <w:szCs w:val="18"/>
              </w:rPr>
            </w:pPr>
            <w:r>
              <w:rPr>
                <w:rFonts w:hint="eastAsia" w:ascii="黑体" w:hAnsi="黑体" w:eastAsia="黑体" w:cs="黑体"/>
                <w:bCs/>
                <w:color w:val="000000" w:themeColor="text1"/>
                <w:kern w:val="0"/>
                <w:sz w:val="18"/>
                <w:szCs w:val="18"/>
              </w:rPr>
              <w:t>目标</w:t>
            </w:r>
          </w:p>
        </w:tc>
        <w:tc>
          <w:tcPr>
            <w:tcW w:w="892" w:type="dxa"/>
            <w:vAlign w:val="center"/>
          </w:tcPr>
          <w:p>
            <w:pPr>
              <w:spacing w:line="200" w:lineRule="exact"/>
              <w:ind w:firstLine="0" w:firstLineChars="0"/>
              <w:jc w:val="center"/>
              <w:rPr>
                <w:rFonts w:ascii="黑体" w:hAnsi="黑体" w:eastAsia="黑体" w:cs="黑体"/>
                <w:bCs/>
                <w:color w:val="000000" w:themeColor="text1"/>
                <w:kern w:val="0"/>
                <w:sz w:val="18"/>
                <w:szCs w:val="18"/>
              </w:rPr>
            </w:pPr>
            <w:r>
              <w:rPr>
                <w:rFonts w:hint="eastAsia" w:ascii="黑体" w:hAnsi="黑体" w:eastAsia="黑体" w:cs="黑体"/>
                <w:bCs/>
                <w:color w:val="000000" w:themeColor="text1"/>
                <w:kern w:val="0"/>
                <w:sz w:val="18"/>
                <w:szCs w:val="18"/>
              </w:rPr>
              <w:t>累计或年均增长（%）</w:t>
            </w:r>
          </w:p>
        </w:tc>
        <w:tc>
          <w:tcPr>
            <w:tcW w:w="870" w:type="dxa"/>
            <w:vAlign w:val="center"/>
          </w:tcPr>
          <w:p>
            <w:pPr>
              <w:spacing w:line="200" w:lineRule="exact"/>
              <w:ind w:firstLine="0" w:firstLineChars="0"/>
              <w:jc w:val="center"/>
              <w:rPr>
                <w:rFonts w:ascii="黑体" w:hAnsi="黑体" w:eastAsia="黑体" w:cs="黑体"/>
                <w:bCs/>
                <w:color w:val="000000" w:themeColor="text1"/>
                <w:kern w:val="0"/>
                <w:sz w:val="18"/>
                <w:szCs w:val="18"/>
              </w:rPr>
            </w:pPr>
            <w:r>
              <w:rPr>
                <w:rFonts w:hint="eastAsia" w:ascii="黑体" w:hAnsi="黑体" w:eastAsia="黑体" w:cs="黑体"/>
                <w:bCs/>
                <w:color w:val="000000" w:themeColor="text1"/>
                <w:kern w:val="0"/>
                <w:sz w:val="18"/>
                <w:szCs w:val="18"/>
              </w:rPr>
              <w:t>2020年</w:t>
            </w:r>
          </w:p>
          <w:p>
            <w:pPr>
              <w:spacing w:line="200" w:lineRule="exact"/>
              <w:ind w:firstLine="0" w:firstLineChars="0"/>
              <w:jc w:val="center"/>
              <w:rPr>
                <w:rFonts w:ascii="黑体" w:hAnsi="黑体" w:eastAsia="黑体" w:cs="黑体"/>
                <w:bCs/>
                <w:color w:val="000000" w:themeColor="text1"/>
                <w:kern w:val="0"/>
                <w:sz w:val="18"/>
                <w:szCs w:val="18"/>
              </w:rPr>
            </w:pPr>
            <w:r>
              <w:rPr>
                <w:rFonts w:hint="eastAsia" w:ascii="黑体" w:hAnsi="黑体" w:eastAsia="黑体" w:cs="黑体"/>
                <w:bCs/>
                <w:color w:val="000000" w:themeColor="text1"/>
                <w:kern w:val="0"/>
                <w:sz w:val="18"/>
                <w:szCs w:val="18"/>
              </w:rPr>
              <w:t>预期值</w:t>
            </w:r>
          </w:p>
        </w:tc>
        <w:tc>
          <w:tcPr>
            <w:tcW w:w="891" w:type="dxa"/>
            <w:vAlign w:val="center"/>
          </w:tcPr>
          <w:p>
            <w:pPr>
              <w:spacing w:line="200" w:lineRule="exact"/>
              <w:ind w:firstLine="0" w:firstLineChars="0"/>
              <w:rPr>
                <w:rFonts w:ascii="黑体" w:hAnsi="黑体" w:eastAsia="黑体" w:cs="黑体"/>
                <w:bCs/>
                <w:color w:val="000000" w:themeColor="text1"/>
                <w:kern w:val="0"/>
                <w:sz w:val="18"/>
                <w:szCs w:val="18"/>
              </w:rPr>
            </w:pPr>
            <w:r>
              <w:rPr>
                <w:rFonts w:hint="eastAsia" w:ascii="黑体" w:hAnsi="黑体" w:eastAsia="黑体" w:cs="黑体"/>
                <w:bCs/>
                <w:color w:val="000000" w:themeColor="text1"/>
                <w:kern w:val="0"/>
                <w:sz w:val="18"/>
                <w:szCs w:val="18"/>
              </w:rPr>
              <w:t>累计或年均增长（%）</w:t>
            </w:r>
          </w:p>
        </w:tc>
        <w:tc>
          <w:tcPr>
            <w:tcW w:w="561" w:type="dxa"/>
            <w:vMerge w:val="continue"/>
            <w:vAlign w:val="center"/>
          </w:tcPr>
          <w:p>
            <w:pPr>
              <w:spacing w:line="200" w:lineRule="exact"/>
              <w:ind w:firstLine="0" w:firstLineChars="0"/>
              <w:jc w:val="center"/>
              <w:rPr>
                <w:rFonts w:ascii="黑体" w:hAnsi="黑体" w:eastAsia="黑体" w:cs="黑体"/>
                <w:bCs/>
                <w:color w:val="000000" w:themeColor="text1"/>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restart"/>
            <w:vAlign w:val="center"/>
          </w:tcPr>
          <w:p>
            <w:pPr>
              <w:widowControl/>
              <w:spacing w:line="200" w:lineRule="exact"/>
              <w:ind w:firstLine="0" w:firstLineChars="0"/>
              <w:jc w:val="center"/>
              <w:rPr>
                <w:rFonts w:ascii="仿宋_GB2312" w:hAnsi="仿宋_GB2312" w:eastAsia="仿宋_GB2312" w:cs="仿宋_GB2312"/>
                <w:b/>
                <w:color w:val="000000" w:themeColor="text1"/>
                <w:kern w:val="0"/>
                <w:sz w:val="18"/>
                <w:szCs w:val="18"/>
              </w:rPr>
            </w:pPr>
            <w:r>
              <w:rPr>
                <w:rFonts w:hint="eastAsia" w:ascii="仿宋_GB2312" w:hAnsi="仿宋_GB2312" w:eastAsia="仿宋_GB2312" w:cs="仿宋_GB2312"/>
                <w:b/>
                <w:color w:val="000000" w:themeColor="text1"/>
                <w:kern w:val="0"/>
                <w:sz w:val="18"/>
                <w:szCs w:val="18"/>
              </w:rPr>
              <w:t>跨越</w:t>
            </w:r>
          </w:p>
          <w:p>
            <w:pPr>
              <w:widowControl/>
              <w:spacing w:line="200" w:lineRule="exact"/>
              <w:ind w:firstLine="0" w:firstLineChars="0"/>
              <w:jc w:val="center"/>
              <w:rPr>
                <w:rFonts w:ascii="仿宋_GB2312" w:hAnsi="仿宋_GB2312" w:eastAsia="仿宋_GB2312" w:cs="仿宋_GB2312"/>
                <w:b/>
                <w:color w:val="000000" w:themeColor="text1"/>
                <w:kern w:val="0"/>
                <w:sz w:val="18"/>
                <w:szCs w:val="18"/>
              </w:rPr>
            </w:pPr>
            <w:r>
              <w:rPr>
                <w:rFonts w:hint="eastAsia" w:ascii="仿宋_GB2312" w:hAnsi="仿宋_GB2312" w:eastAsia="仿宋_GB2312" w:cs="仿宋_GB2312"/>
                <w:b/>
                <w:color w:val="000000" w:themeColor="text1"/>
                <w:kern w:val="0"/>
                <w:sz w:val="18"/>
                <w:szCs w:val="18"/>
              </w:rPr>
              <w:t>升级</w:t>
            </w: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地区生产总值（亿元）</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3778.82</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&gt;7000</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9-10</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5745.51</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spacing w:val="-20"/>
                <w:kern w:val="0"/>
                <w:sz w:val="18"/>
                <w:szCs w:val="18"/>
              </w:rPr>
            </w:pPr>
            <w:r>
              <w:rPr>
                <w:rFonts w:hint="eastAsia" w:ascii="仿宋_GB2312" w:hAnsi="仿宋_GB2312" w:eastAsia="仿宋_GB2312" w:cs="仿宋_GB2312"/>
                <w:color w:val="000000" w:themeColor="text1"/>
                <w:spacing w:val="-20"/>
                <w:kern w:val="0"/>
                <w:sz w:val="18"/>
                <w:szCs w:val="18"/>
              </w:rPr>
              <w:t>7.6</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人均地区生产总值（元）</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71683</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124600</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10.4</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102000</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spacing w:val="-20"/>
                <w:kern w:val="0"/>
                <w:sz w:val="18"/>
                <w:szCs w:val="18"/>
              </w:rPr>
            </w:pPr>
            <w:r>
              <w:rPr>
                <w:rFonts w:hint="eastAsia" w:ascii="仿宋_GB2312" w:hAnsi="仿宋_GB2312" w:eastAsia="仿宋_GB2312" w:cs="仿宋_GB2312"/>
                <w:color w:val="000000" w:themeColor="text1"/>
                <w:spacing w:val="-20"/>
                <w:kern w:val="0"/>
                <w:sz w:val="18"/>
                <w:szCs w:val="18"/>
              </w:rPr>
              <w:t>6.1左右</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地区生产总值占全省比重（%）</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22.5</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约25</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[2.5]</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22.4</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spacing w:val="-20"/>
                <w:kern w:val="0"/>
                <w:sz w:val="18"/>
                <w:szCs w:val="18"/>
              </w:rPr>
            </w:pPr>
            <w:r>
              <w:rPr>
                <w:rFonts w:hint="eastAsia" w:ascii="仿宋_GB2312" w:hAnsi="仿宋_GB2312" w:eastAsia="仿宋_GB2312" w:cs="仿宋_GB2312"/>
                <w:color w:val="000000" w:themeColor="text1"/>
                <w:kern w:val="0"/>
                <w:sz w:val="18"/>
                <w:szCs w:val="18"/>
              </w:rPr>
              <w:t>[-0.1]</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三次产业结构</w:t>
            </w:r>
          </w:p>
        </w:tc>
        <w:tc>
          <w:tcPr>
            <w:tcW w:w="1024" w:type="dxa"/>
            <w:vAlign w:val="center"/>
          </w:tcPr>
          <w:p>
            <w:pPr>
              <w:widowControl/>
              <w:spacing w:line="200" w:lineRule="exact"/>
              <w:ind w:firstLine="0" w:firstLineChars="0"/>
              <w:jc w:val="center"/>
              <w:rPr>
                <w:rFonts w:ascii="仿宋_GB2312" w:hAnsi="仿宋_GB2312" w:eastAsia="仿宋_GB2312" w:cs="仿宋_GB2312"/>
                <w:spacing w:val="-14"/>
                <w:kern w:val="0"/>
                <w:sz w:val="15"/>
                <w:szCs w:val="15"/>
              </w:rPr>
            </w:pPr>
            <w:r>
              <w:rPr>
                <w:rFonts w:hint="eastAsia" w:ascii="仿宋_GB2312" w:hAnsi="仿宋_GB2312" w:eastAsia="仿宋_GB2312" w:cs="仿宋_GB2312"/>
                <w:spacing w:val="-14"/>
                <w:kern w:val="0"/>
                <w:sz w:val="15"/>
                <w:szCs w:val="15"/>
              </w:rPr>
              <w:t>4.7</w:t>
            </w:r>
            <w:r>
              <w:rPr>
                <w:rFonts w:hint="eastAsia" w:ascii="微软雅黑" w:hAnsi="微软雅黑" w:eastAsia="微软雅黑" w:cs="微软雅黑"/>
                <w:spacing w:val="-14"/>
                <w:kern w:val="0"/>
                <w:sz w:val="15"/>
                <w:szCs w:val="15"/>
              </w:rPr>
              <w:t>︰</w:t>
            </w:r>
            <w:r>
              <w:rPr>
                <w:rFonts w:hint="eastAsia" w:ascii="仿宋_GB2312" w:hAnsi="仿宋_GB2312" w:eastAsia="仿宋_GB2312" w:cs="仿宋_GB2312"/>
                <w:spacing w:val="-14"/>
                <w:kern w:val="0"/>
                <w:sz w:val="15"/>
                <w:szCs w:val="15"/>
              </w:rPr>
              <w:t>52.5</w:t>
            </w:r>
            <w:r>
              <w:rPr>
                <w:rFonts w:hint="eastAsia" w:ascii="微软雅黑" w:hAnsi="微软雅黑" w:eastAsia="微软雅黑" w:cs="微软雅黑"/>
                <w:spacing w:val="-14"/>
                <w:kern w:val="0"/>
                <w:sz w:val="15"/>
                <w:szCs w:val="15"/>
              </w:rPr>
              <w:t>︰</w:t>
            </w:r>
            <w:r>
              <w:rPr>
                <w:rFonts w:hint="eastAsia" w:ascii="仿宋_GB2312" w:hAnsi="仿宋_GB2312" w:eastAsia="仿宋_GB2312" w:cs="仿宋_GB2312"/>
                <w:spacing w:val="-14"/>
                <w:kern w:val="0"/>
                <w:sz w:val="15"/>
                <w:szCs w:val="15"/>
              </w:rPr>
              <w:t>42.8</w:t>
            </w:r>
          </w:p>
        </w:tc>
        <w:tc>
          <w:tcPr>
            <w:tcW w:w="1592" w:type="dxa"/>
            <w:gridSpan w:val="2"/>
            <w:vAlign w:val="center"/>
          </w:tcPr>
          <w:p>
            <w:pPr>
              <w:widowControl/>
              <w:spacing w:line="200" w:lineRule="exact"/>
              <w:ind w:firstLine="0" w:firstLineChars="0"/>
              <w:jc w:val="center"/>
              <w:rPr>
                <w:rFonts w:ascii="仿宋_GB2312" w:hAnsi="仿宋_GB2312" w:eastAsia="仿宋_GB2312" w:cs="仿宋_GB2312"/>
                <w:kern w:val="0"/>
                <w:sz w:val="15"/>
                <w:szCs w:val="15"/>
              </w:rPr>
            </w:pPr>
            <w:r>
              <w:rPr>
                <w:rFonts w:hint="eastAsia" w:ascii="仿宋_GB2312" w:hAnsi="仿宋_GB2312" w:eastAsia="仿宋_GB2312" w:cs="仿宋_GB2312"/>
                <w:kern w:val="0"/>
                <w:sz w:val="15"/>
                <w:szCs w:val="15"/>
              </w:rPr>
              <w:t>3.5</w:t>
            </w:r>
            <w:r>
              <w:rPr>
                <w:rFonts w:hint="eastAsia" w:ascii="微软雅黑" w:hAnsi="微软雅黑" w:eastAsia="微软雅黑" w:cs="微软雅黑"/>
                <w:kern w:val="0"/>
                <w:sz w:val="15"/>
                <w:szCs w:val="15"/>
              </w:rPr>
              <w:t>︰</w:t>
            </w:r>
            <w:r>
              <w:rPr>
                <w:rFonts w:hint="eastAsia" w:ascii="仿宋_GB2312" w:hAnsi="仿宋_GB2312" w:eastAsia="仿宋_GB2312" w:cs="仿宋_GB2312"/>
                <w:kern w:val="0"/>
                <w:sz w:val="15"/>
                <w:szCs w:val="15"/>
              </w:rPr>
              <w:t>49</w:t>
            </w:r>
            <w:r>
              <w:rPr>
                <w:rFonts w:hint="eastAsia" w:ascii="微软雅黑" w:hAnsi="微软雅黑" w:eastAsia="微软雅黑" w:cs="微软雅黑"/>
                <w:kern w:val="0"/>
                <w:sz w:val="15"/>
                <w:szCs w:val="15"/>
              </w:rPr>
              <w:t>︰</w:t>
            </w:r>
            <w:r>
              <w:rPr>
                <w:rFonts w:hint="eastAsia" w:ascii="仿宋_GB2312" w:hAnsi="仿宋_GB2312" w:eastAsia="仿宋_GB2312" w:cs="仿宋_GB2312"/>
                <w:kern w:val="0"/>
                <w:sz w:val="15"/>
                <w:szCs w:val="15"/>
              </w:rPr>
              <w:t>47.5</w:t>
            </w:r>
          </w:p>
        </w:tc>
        <w:tc>
          <w:tcPr>
            <w:tcW w:w="1761" w:type="dxa"/>
            <w:gridSpan w:val="2"/>
            <w:vAlign w:val="center"/>
          </w:tcPr>
          <w:p>
            <w:pPr>
              <w:widowControl/>
              <w:spacing w:line="200" w:lineRule="exact"/>
              <w:ind w:firstLine="0" w:firstLineChars="0"/>
              <w:jc w:val="center"/>
              <w:rPr>
                <w:rFonts w:ascii="仿宋_GB2312" w:hAnsi="仿宋_GB2312" w:eastAsia="仿宋_GB2312" w:cs="仿宋_GB2312"/>
                <w:kern w:val="0"/>
                <w:sz w:val="15"/>
                <w:szCs w:val="15"/>
              </w:rPr>
            </w:pPr>
            <w:r>
              <w:rPr>
                <w:rFonts w:hint="eastAsia" w:ascii="仿宋_GB2312" w:hAnsi="仿宋_GB2312" w:eastAsia="仿宋_GB2312" w:cs="仿宋_GB2312"/>
                <w:kern w:val="0"/>
                <w:sz w:val="15"/>
                <w:szCs w:val="15"/>
              </w:rPr>
              <w:t>4.1︰46.6︰49.3</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工业营业收入（亿元）</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5569.43</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10000</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12.8</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7346.91</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5.8</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战略性新兴产业增加值（亿元）</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五年翻番</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[41.5]</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高新技术产业增加值占工业增加值比重（%）</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23.8</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27</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[3.2]</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42</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[18.2]</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服务业增加值（亿元）</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1616.72</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&gt;3300</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五年翻番</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2833.35</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spacing w:val="-20"/>
                <w:kern w:val="0"/>
                <w:sz w:val="18"/>
                <w:szCs w:val="18"/>
              </w:rPr>
            </w:pPr>
            <w:r>
              <w:rPr>
                <w:rFonts w:hint="eastAsia" w:ascii="仿宋_GB2312" w:hAnsi="仿宋_GB2312" w:eastAsia="仿宋_GB2312" w:cs="仿宋_GB2312"/>
                <w:color w:val="000000" w:themeColor="text1"/>
                <w:spacing w:val="-20"/>
                <w:kern w:val="0"/>
                <w:sz w:val="18"/>
                <w:szCs w:val="18"/>
              </w:rPr>
              <w:t>8.3</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合同外资5000万美元及立项投资10亿元以上的招商引资项目数（个）</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[400]</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[613]</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出口总额（亿美元）</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85.01</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&gt;100</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&gt;3</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102.97</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3.9</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地方一般公共预算收入（亿元）</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389</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620</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&gt;10</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483.9</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4.5</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500万元以上固定资产投资（亿元）</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4000.07</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8000</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五年翻番</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spacing w:val="-20"/>
                <w:kern w:val="0"/>
                <w:sz w:val="18"/>
                <w:szCs w:val="18"/>
              </w:rPr>
            </w:pPr>
            <w:r>
              <w:rPr>
                <w:rFonts w:hint="eastAsia" w:ascii="仿宋_GB2312" w:hAnsi="仿宋_GB2312" w:eastAsia="仿宋_GB2312" w:cs="仿宋_GB2312"/>
                <w:color w:val="000000" w:themeColor="text1"/>
                <w:spacing w:val="-20"/>
                <w:kern w:val="0"/>
                <w:sz w:val="18"/>
                <w:szCs w:val="18"/>
              </w:rPr>
              <w:t>11 .2</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全社会劳动生产率（万元/人）</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11.42</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18.88</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9.5</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17.5左右</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spacing w:val="-20"/>
                <w:kern w:val="0"/>
                <w:sz w:val="18"/>
                <w:szCs w:val="18"/>
              </w:rPr>
            </w:pPr>
            <w:r>
              <w:rPr>
                <w:rFonts w:hint="eastAsia" w:ascii="仿宋_GB2312" w:hAnsi="仿宋_GB2312" w:eastAsia="仿宋_GB2312" w:cs="仿宋_GB2312"/>
                <w:color w:val="000000" w:themeColor="text1"/>
                <w:spacing w:val="-20"/>
                <w:kern w:val="0"/>
                <w:sz w:val="18"/>
                <w:szCs w:val="18"/>
              </w:rPr>
              <w:t>7.6左右</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全社会R&amp;D支出占地区生产总值比重（%）</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1.59</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2.5</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[0.91]</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1.95</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[0.36]</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互联网普及率（%）</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85</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90</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90</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新增劳动力平均受教育年限（年）</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13.5</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14</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[0.5]</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14.05</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[0.55]</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城市人口（万人）</w:t>
            </w:r>
          </w:p>
        </w:tc>
        <w:tc>
          <w:tcPr>
            <w:tcW w:w="1024" w:type="dxa"/>
            <w:vAlign w:val="center"/>
          </w:tcPr>
          <w:p>
            <w:pPr>
              <w:widowControl/>
              <w:spacing w:line="200" w:lineRule="exact"/>
              <w:ind w:firstLine="0" w:firstLineChars="0"/>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379.48</w:t>
            </w:r>
          </w:p>
        </w:tc>
        <w:tc>
          <w:tcPr>
            <w:tcW w:w="700" w:type="dxa"/>
            <w:vAlign w:val="center"/>
          </w:tcPr>
          <w:p>
            <w:pPr>
              <w:widowControl/>
              <w:spacing w:line="200" w:lineRule="exact"/>
              <w:ind w:firstLine="0" w:firstLineChars="0"/>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&gt;410</w:t>
            </w:r>
          </w:p>
        </w:tc>
        <w:tc>
          <w:tcPr>
            <w:tcW w:w="892" w:type="dxa"/>
            <w:vAlign w:val="center"/>
          </w:tcPr>
          <w:p>
            <w:pPr>
              <w:widowControl/>
              <w:spacing w:line="200" w:lineRule="exact"/>
              <w:ind w:firstLine="0" w:firstLineChars="0"/>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[约30]</w:t>
            </w:r>
          </w:p>
        </w:tc>
        <w:tc>
          <w:tcPr>
            <w:tcW w:w="870" w:type="dxa"/>
            <w:vAlign w:val="center"/>
          </w:tcPr>
          <w:p>
            <w:pPr>
              <w:widowControl/>
              <w:spacing w:line="200" w:lineRule="exact"/>
              <w:ind w:firstLine="0" w:firstLineChars="0"/>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428</w:t>
            </w:r>
          </w:p>
        </w:tc>
        <w:tc>
          <w:tcPr>
            <w:tcW w:w="891" w:type="dxa"/>
            <w:vAlign w:val="center"/>
          </w:tcPr>
          <w:p>
            <w:pPr>
              <w:widowControl/>
              <w:spacing w:line="200" w:lineRule="exact"/>
              <w:ind w:firstLine="0" w:firstLineChars="0"/>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[48.52]</w:t>
            </w:r>
          </w:p>
        </w:tc>
        <w:tc>
          <w:tcPr>
            <w:tcW w:w="561" w:type="dxa"/>
            <w:vAlign w:val="center"/>
          </w:tcPr>
          <w:p>
            <w:pPr>
              <w:widowControl/>
              <w:spacing w:line="200" w:lineRule="exact"/>
              <w:ind w:firstLine="0" w:firstLineChars="0"/>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城市建成区面积（平方公里）</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335</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&gt;430</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[约100]</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366.02</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spacing w:val="-20"/>
                <w:kern w:val="0"/>
                <w:sz w:val="18"/>
                <w:szCs w:val="18"/>
              </w:rPr>
            </w:pPr>
            <w:r>
              <w:rPr>
                <w:rFonts w:hint="eastAsia" w:ascii="仿宋_GB2312" w:hAnsi="仿宋_GB2312" w:eastAsia="仿宋_GB2312" w:cs="仿宋_GB2312"/>
                <w:color w:val="000000" w:themeColor="text1"/>
                <w:spacing w:val="-20"/>
                <w:kern w:val="0"/>
                <w:sz w:val="18"/>
                <w:szCs w:val="18"/>
              </w:rPr>
              <w:t>[31.02]</w:t>
            </w:r>
          </w:p>
        </w:tc>
        <w:tc>
          <w:tcPr>
            <w:tcW w:w="561" w:type="dxa"/>
            <w:vAlign w:val="center"/>
          </w:tcPr>
          <w:p>
            <w:pPr>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restart"/>
            <w:vAlign w:val="center"/>
          </w:tcPr>
          <w:p>
            <w:pPr>
              <w:widowControl/>
              <w:spacing w:line="200" w:lineRule="exact"/>
              <w:ind w:firstLine="0" w:firstLineChars="0"/>
              <w:jc w:val="center"/>
              <w:rPr>
                <w:rFonts w:ascii="仿宋_GB2312" w:hAnsi="仿宋_GB2312" w:eastAsia="仿宋_GB2312" w:cs="仿宋_GB2312"/>
                <w:b/>
                <w:color w:val="000000" w:themeColor="text1"/>
                <w:kern w:val="0"/>
                <w:sz w:val="18"/>
                <w:szCs w:val="18"/>
              </w:rPr>
            </w:pPr>
            <w:r>
              <w:rPr>
                <w:rFonts w:hint="eastAsia" w:ascii="仿宋_GB2312" w:hAnsi="仿宋_GB2312" w:eastAsia="仿宋_GB2312" w:cs="仿宋_GB2312"/>
                <w:b/>
                <w:color w:val="000000" w:themeColor="text1"/>
                <w:kern w:val="0"/>
                <w:sz w:val="18"/>
                <w:szCs w:val="18"/>
              </w:rPr>
              <w:t>生态</w:t>
            </w:r>
          </w:p>
          <w:p>
            <w:pPr>
              <w:widowControl/>
              <w:spacing w:line="200" w:lineRule="exact"/>
              <w:ind w:firstLine="0" w:firstLineChars="0"/>
              <w:jc w:val="center"/>
              <w:rPr>
                <w:rFonts w:ascii="仿宋_GB2312" w:hAnsi="仿宋_GB2312" w:eastAsia="仿宋_GB2312" w:cs="仿宋_GB2312"/>
                <w:b/>
                <w:color w:val="000000" w:themeColor="text1"/>
                <w:kern w:val="0"/>
                <w:sz w:val="18"/>
                <w:szCs w:val="18"/>
              </w:rPr>
            </w:pPr>
            <w:r>
              <w:rPr>
                <w:rFonts w:hint="eastAsia" w:ascii="仿宋_GB2312" w:hAnsi="仿宋_GB2312" w:eastAsia="仿宋_GB2312" w:cs="仿宋_GB2312"/>
                <w:b/>
                <w:color w:val="000000" w:themeColor="text1"/>
                <w:kern w:val="0"/>
                <w:sz w:val="18"/>
                <w:szCs w:val="18"/>
              </w:rPr>
              <w:t>宜居</w:t>
            </w: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森林覆盖率（%）</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22.88</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23.1</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[0.22]</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21.27</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spacing w:val="-20"/>
                <w:kern w:val="0"/>
                <w:sz w:val="18"/>
                <w:szCs w:val="18"/>
              </w:rPr>
            </w:pPr>
            <w:r>
              <w:rPr>
                <w:rFonts w:hint="eastAsia" w:ascii="仿宋_GB2312" w:hAnsi="仿宋_GB2312" w:eastAsia="仿宋_GB2312" w:cs="仿宋_GB2312"/>
                <w:color w:val="000000" w:themeColor="text1"/>
                <w:spacing w:val="-20"/>
                <w:kern w:val="0"/>
                <w:sz w:val="18"/>
                <w:szCs w:val="18"/>
              </w:rPr>
              <w:t>[-1.61]</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森林蓄积量（万立方米）</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590</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700</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[110]</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700</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[110]</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城市绿化覆盖率（%）</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41.8</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45</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[3.2]</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41.3</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[-0.5]</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耕地保有量（万公顷）</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24.7</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24.7</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25.89</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[1.19]</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城乡建设用地规模（公顷）</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94367</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97111</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0.57</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97111</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0.57</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人均城市建设用地（平方米）</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105</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108</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108</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万元GDP用水量（吨）</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80</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70</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[-10]</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51.9</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[-28.1]</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万元GDP能耗（吨标准煤/万元）</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0.369</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[-16]</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0.291</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[-20.3]</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煤炭消费总量（万吨标准煤）</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709.77</w:t>
            </w:r>
          </w:p>
        </w:tc>
        <w:tc>
          <w:tcPr>
            <w:tcW w:w="1592"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省下达的目标</w:t>
            </w:r>
          </w:p>
        </w:tc>
        <w:tc>
          <w:tcPr>
            <w:tcW w:w="1761"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省未下达目标，</w:t>
            </w:r>
          </w:p>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视为完成</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restart"/>
            <w:vAlign w:val="center"/>
          </w:tcPr>
          <w:p>
            <w:pPr>
              <w:widowControl/>
              <w:spacing w:line="200" w:lineRule="exact"/>
              <w:ind w:firstLine="0" w:firstLineChars="0"/>
              <w:jc w:val="center"/>
              <w:rPr>
                <w:rFonts w:ascii="仿宋_GB2312" w:hAnsi="仿宋_GB2312" w:eastAsia="仿宋_GB2312" w:cs="仿宋_GB2312"/>
                <w:b/>
                <w:color w:val="000000" w:themeColor="text1"/>
                <w:kern w:val="0"/>
                <w:sz w:val="18"/>
                <w:szCs w:val="18"/>
              </w:rPr>
            </w:pPr>
            <w:r>
              <w:rPr>
                <w:rFonts w:hint="eastAsia" w:ascii="仿宋_GB2312" w:hAnsi="仿宋_GB2312" w:eastAsia="仿宋_GB2312" w:cs="仿宋_GB2312"/>
                <w:b/>
                <w:color w:val="000000" w:themeColor="text1"/>
                <w:kern w:val="0"/>
                <w:sz w:val="18"/>
                <w:szCs w:val="18"/>
              </w:rPr>
              <w:t>生态</w:t>
            </w:r>
          </w:p>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b/>
                <w:color w:val="000000" w:themeColor="text1"/>
                <w:kern w:val="0"/>
                <w:sz w:val="18"/>
                <w:szCs w:val="18"/>
              </w:rPr>
              <w:t>宜居</w:t>
            </w: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万元GDP二氧化碳排放（吨/万元）</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0.786</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[-21]</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0.586</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[-25]</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二氧化碳排放总量（万吨）</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3144.9</w:t>
            </w:r>
          </w:p>
        </w:tc>
        <w:tc>
          <w:tcPr>
            <w:tcW w:w="1592"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省下达的目标</w:t>
            </w:r>
          </w:p>
        </w:tc>
        <w:tc>
          <w:tcPr>
            <w:tcW w:w="1761"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省未下达目标，</w:t>
            </w:r>
          </w:p>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视为完成</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主要河流监测断面I-Ⅲ类以上水质比率（%）</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92</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92</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100</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spacing w:val="-6"/>
                <w:kern w:val="0"/>
                <w:sz w:val="18"/>
                <w:szCs w:val="18"/>
              </w:rPr>
              <w:t>江河湖泊水功能区水质达标率（%）</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83</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85</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93</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[10]</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空气质量达标率（%）</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82.2</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85</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[2.8]</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91.5</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[9.3]</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城区污水处理率（%）</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93</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95</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95</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化学需氧量累计减少（%）</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[7.2]</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[4.3]</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[4.3]</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pStyle w:val="50"/>
              <w:spacing w:line="200" w:lineRule="exact"/>
              <w:ind w:firstLine="0" w:firstLineChars="0"/>
              <w:jc w:val="center"/>
              <w:rPr>
                <w:rFonts w:ascii="仿宋_GB2312" w:hAnsi="仿宋_GB2312" w:eastAsia="仿宋_GB2312" w:cs="仿宋_GB2312"/>
                <w:color w:val="000000" w:themeColor="text1"/>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氨氮累计减少（%）</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[11]</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[3.8]</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[3.8]</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二氧化硫累计减少（%）</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[11]</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[24]</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[24]</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氮氧化物累计减少（%）</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[16]</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[6.01]</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[6.01]</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挥发性有机污染物累计减少（%）</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1592"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省下达的目标</w:t>
            </w:r>
          </w:p>
        </w:tc>
        <w:tc>
          <w:tcPr>
            <w:tcW w:w="1761"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省未下达目标，</w:t>
            </w:r>
          </w:p>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视为完成</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一般工业固</w:t>
            </w:r>
            <w:r>
              <w:rPr>
                <w:rFonts w:hint="eastAsia" w:ascii="仿宋_GB2312" w:hAnsi="仿宋_GB2312" w:eastAsia="仿宋_GB2312" w:cs="仿宋_GB2312"/>
                <w:color w:val="000000" w:themeColor="text1"/>
                <w:spacing w:val="-6"/>
                <w:kern w:val="0"/>
                <w:sz w:val="18"/>
                <w:szCs w:val="18"/>
              </w:rPr>
              <w:t>体废物处理处置率（%）</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95</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95</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95</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中心城公共交通出行比例（%）</w:t>
            </w:r>
          </w:p>
        </w:tc>
        <w:tc>
          <w:tcPr>
            <w:tcW w:w="1024" w:type="dxa"/>
            <w:vAlign w:val="center"/>
          </w:tcPr>
          <w:p>
            <w:pPr>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50</w:t>
            </w:r>
          </w:p>
        </w:tc>
        <w:tc>
          <w:tcPr>
            <w:tcW w:w="700" w:type="dxa"/>
            <w:vAlign w:val="center"/>
          </w:tcPr>
          <w:p>
            <w:pPr>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65</w:t>
            </w:r>
          </w:p>
        </w:tc>
        <w:tc>
          <w:tcPr>
            <w:tcW w:w="892" w:type="dxa"/>
            <w:vAlign w:val="center"/>
          </w:tcPr>
          <w:p>
            <w:pPr>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[15]</w:t>
            </w:r>
          </w:p>
        </w:tc>
        <w:tc>
          <w:tcPr>
            <w:tcW w:w="870" w:type="dxa"/>
            <w:vAlign w:val="center"/>
          </w:tcPr>
          <w:p>
            <w:pPr>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65</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[15]</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restart"/>
            <w:vAlign w:val="center"/>
          </w:tcPr>
          <w:p>
            <w:pPr>
              <w:widowControl/>
              <w:spacing w:line="200" w:lineRule="exact"/>
              <w:ind w:firstLine="0" w:firstLineChars="0"/>
              <w:jc w:val="center"/>
              <w:rPr>
                <w:rFonts w:ascii="仿宋_GB2312" w:hAnsi="仿宋_GB2312" w:eastAsia="仿宋_GB2312" w:cs="仿宋_GB2312"/>
                <w:b/>
                <w:color w:val="000000" w:themeColor="text1"/>
                <w:kern w:val="0"/>
                <w:sz w:val="18"/>
                <w:szCs w:val="18"/>
              </w:rPr>
            </w:pPr>
            <w:r>
              <w:rPr>
                <w:rFonts w:hint="eastAsia" w:ascii="仿宋_GB2312" w:hAnsi="仿宋_GB2312" w:eastAsia="仿宋_GB2312" w:cs="仿宋_GB2312"/>
                <w:b/>
                <w:color w:val="000000" w:themeColor="text1"/>
                <w:kern w:val="0"/>
                <w:sz w:val="18"/>
                <w:szCs w:val="18"/>
              </w:rPr>
              <w:t>社会</w:t>
            </w:r>
          </w:p>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b/>
                <w:color w:val="000000" w:themeColor="text1"/>
                <w:kern w:val="0"/>
                <w:sz w:val="18"/>
                <w:szCs w:val="18"/>
              </w:rPr>
              <w:t>和谐</w:t>
            </w: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城镇居民年人均可支配收入（元）</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31942</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51500</w:t>
            </w:r>
          </w:p>
        </w:tc>
        <w:tc>
          <w:tcPr>
            <w:tcW w:w="892" w:type="dxa"/>
            <w:vAlign w:val="center"/>
          </w:tcPr>
          <w:p>
            <w:pPr>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10</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46796</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7.9</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农村居民年人均可支配收入（元）</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13693</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23000</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11</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20921</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8.8</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户籍人口城镇化率（%）</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54.24</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62-64</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[8-10]</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56.05</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spacing w:val="-20"/>
                <w:kern w:val="0"/>
                <w:sz w:val="18"/>
                <w:szCs w:val="18"/>
              </w:rPr>
            </w:pPr>
            <w:r>
              <w:rPr>
                <w:rFonts w:hint="eastAsia" w:ascii="仿宋_GB2312" w:hAnsi="仿宋_GB2312" w:eastAsia="仿宋_GB2312" w:cs="仿宋_GB2312"/>
                <w:color w:val="000000" w:themeColor="text1"/>
                <w:kern w:val="0"/>
                <w:sz w:val="18"/>
                <w:szCs w:val="18"/>
              </w:rPr>
              <w:t>[1.81]</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贫困发生率（%）</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3.1</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0.5</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[-2.6]</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0</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[-3.1]</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spacing w:val="-11"/>
                <w:kern w:val="0"/>
                <w:sz w:val="18"/>
                <w:szCs w:val="18"/>
              </w:rPr>
              <w:t>城镇常住人口保障性住房覆盖率（%）</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21.5</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23以上</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[1.5]</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28.2</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spacing w:val="-20"/>
                <w:kern w:val="0"/>
                <w:sz w:val="18"/>
                <w:szCs w:val="18"/>
              </w:rPr>
            </w:pPr>
            <w:r>
              <w:rPr>
                <w:rFonts w:hint="eastAsia" w:ascii="仿宋_GB2312" w:hAnsi="仿宋_GB2312" w:eastAsia="仿宋_GB2312" w:cs="仿宋_GB2312"/>
                <w:color w:val="000000" w:themeColor="text1"/>
                <w:kern w:val="0"/>
                <w:sz w:val="18"/>
                <w:szCs w:val="18"/>
              </w:rPr>
              <w:t>[6.7]</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城镇登记失业率（%）</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3.5</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3.5</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2.93</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spacing w:val="-20"/>
                <w:kern w:val="0"/>
                <w:sz w:val="18"/>
                <w:szCs w:val="18"/>
              </w:rPr>
            </w:pPr>
            <w:r>
              <w:rPr>
                <w:rFonts w:hint="eastAsia" w:ascii="仿宋_GB2312" w:hAnsi="仿宋_GB2312" w:eastAsia="仿宋_GB2312" w:cs="仿宋_GB2312"/>
                <w:color w:val="000000" w:themeColor="text1"/>
                <w:kern w:val="0"/>
                <w:sz w:val="18"/>
                <w:szCs w:val="18"/>
              </w:rPr>
              <w:t>——</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农村安全饮用水普及率（%）</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88</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95</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[7]</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95</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[7]</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每千人口拥有医疗卫生机构床位数（张）</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5.8</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[2.2]</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[2.2]</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每千名老年人口拥有养老床位数（张）</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21.5</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45</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[23.5]</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45</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[23.5]</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1750" w:type="dxa"/>
            <w:vMerge w:val="restart"/>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基层民主参选率（%）</w:t>
            </w:r>
          </w:p>
        </w:tc>
        <w:tc>
          <w:tcPr>
            <w:tcW w:w="175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村委会</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95</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97</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95</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561" w:type="dxa"/>
            <w:vMerge w:val="restart"/>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1750"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175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居委会</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85</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88</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80</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w:t>
            </w:r>
          </w:p>
        </w:tc>
        <w:tc>
          <w:tcPr>
            <w:tcW w:w="561"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注册志愿者占国民人口比例（%）</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5.5</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7.5</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8.5</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重点食品安全抽样检测合格率（%）</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95</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98</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98</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33" w:type="dxa"/>
            <w:vMerge w:val="continue"/>
            <w:vAlign w:val="center"/>
          </w:tcPr>
          <w:p>
            <w:pPr>
              <w:widowControl/>
              <w:spacing w:line="200" w:lineRule="exact"/>
              <w:ind w:firstLine="360"/>
              <w:jc w:val="center"/>
              <w:rPr>
                <w:rFonts w:ascii="仿宋_GB2312" w:hAnsi="仿宋_GB2312" w:eastAsia="仿宋_GB2312" w:cs="仿宋_GB2312"/>
                <w:color w:val="000000" w:themeColor="text1"/>
                <w:kern w:val="0"/>
                <w:sz w:val="18"/>
                <w:szCs w:val="18"/>
              </w:rPr>
            </w:pPr>
          </w:p>
        </w:tc>
        <w:tc>
          <w:tcPr>
            <w:tcW w:w="3500" w:type="dxa"/>
            <w:gridSpan w:val="2"/>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亿元GDP生产安全事故死亡率（%）</w:t>
            </w:r>
          </w:p>
        </w:tc>
        <w:tc>
          <w:tcPr>
            <w:tcW w:w="1024"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0.065</w:t>
            </w:r>
          </w:p>
        </w:tc>
        <w:tc>
          <w:tcPr>
            <w:tcW w:w="70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0.038</w:t>
            </w:r>
          </w:p>
        </w:tc>
        <w:tc>
          <w:tcPr>
            <w:tcW w:w="892"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-10</w:t>
            </w:r>
          </w:p>
        </w:tc>
        <w:tc>
          <w:tcPr>
            <w:tcW w:w="870"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0.038</w:t>
            </w:r>
          </w:p>
        </w:tc>
        <w:tc>
          <w:tcPr>
            <w:tcW w:w="89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-10</w:t>
            </w:r>
          </w:p>
        </w:tc>
        <w:tc>
          <w:tcPr>
            <w:tcW w:w="561" w:type="dxa"/>
            <w:vAlign w:val="center"/>
          </w:tcPr>
          <w:p>
            <w:pPr>
              <w:widowControl/>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9071" w:type="dxa"/>
            <w:gridSpan w:val="9"/>
            <w:vAlign w:val="center"/>
          </w:tcPr>
          <w:p>
            <w:pPr>
              <w:widowControl/>
              <w:spacing w:line="200" w:lineRule="exact"/>
              <w:ind w:firstLine="180" w:firstLineChars="100"/>
              <w:jc w:val="left"/>
              <w:rPr>
                <w:rFonts w:hint="eastAsia"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注：</w:t>
            </w:r>
            <w:r>
              <w:rPr>
                <w:rFonts w:ascii="仿宋_GB2312" w:hAnsi="仿宋_GB2312" w:eastAsia="仿宋_GB2312" w:cs="仿宋_GB2312"/>
                <w:color w:val="000000" w:themeColor="text1"/>
                <w:kern w:val="0"/>
                <w:sz w:val="18"/>
                <w:szCs w:val="18"/>
              </w:rPr>
              <w:t>[ ]为五年累计值。</w:t>
            </w:r>
          </w:p>
        </w:tc>
      </w:tr>
    </w:tbl>
    <w:p>
      <w:pPr>
        <w:spacing w:before="217" w:beforeLines="50"/>
        <w:ind w:firstLine="480"/>
        <w:rPr>
          <w:rFonts w:ascii="楷体_GB2312" w:hAnsi="楷体_GB2312" w:eastAsia="楷体_GB2312" w:cs="楷体_GB2312"/>
          <w:sz w:val="24"/>
        </w:rPr>
      </w:pPr>
      <w:bookmarkStart w:id="14" w:name="_Toc57194165"/>
      <w:bookmarkStart w:id="15" w:name="_Toc1906"/>
      <w:bookmarkStart w:id="16" w:name="_Toc57195626"/>
    </w:p>
    <w:p>
      <w:pPr>
        <w:pStyle w:val="2"/>
        <w:ind w:firstLine="320"/>
      </w:pPr>
    </w:p>
    <w:p>
      <w:pPr>
        <w:pStyle w:val="23"/>
        <w:spacing w:line="580" w:lineRule="exact"/>
        <w:rPr>
          <w:b w:val="0"/>
          <w:bCs/>
          <w:color w:val="000000" w:themeColor="text1"/>
        </w:rPr>
      </w:pPr>
      <w:bookmarkStart w:id="17" w:name="_Toc5116"/>
      <w:bookmarkStart w:id="18" w:name="_Toc64542088"/>
    </w:p>
    <w:p>
      <w:pPr>
        <w:pStyle w:val="23"/>
        <w:spacing w:line="580" w:lineRule="exact"/>
        <w:rPr>
          <w:b w:val="0"/>
          <w:bCs/>
          <w:color w:val="000000" w:themeColor="text1"/>
        </w:rPr>
      </w:pPr>
      <w:r>
        <w:rPr>
          <w:rFonts w:hint="eastAsia"/>
          <w:b w:val="0"/>
          <w:bCs/>
          <w:color w:val="000000" w:themeColor="text1"/>
        </w:rPr>
        <w:t>第二章  发展环境</w:t>
      </w:r>
      <w:bookmarkEnd w:id="14"/>
      <w:bookmarkEnd w:id="15"/>
      <w:bookmarkEnd w:id="16"/>
      <w:bookmarkEnd w:id="17"/>
      <w:bookmarkEnd w:id="18"/>
    </w:p>
    <w:p>
      <w:pPr>
        <w:spacing w:line="580" w:lineRule="exact"/>
        <w:ind w:firstLine="640"/>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当前和今后一个时期，中华民族伟大复兴的战略全局与世界百年未有之大变局相互作用、相互激荡，我国进入新发展阶段，南昌面临一系列新机遇和新挑战。</w:t>
      </w:r>
    </w:p>
    <w:p>
      <w:pPr>
        <w:spacing w:line="580" w:lineRule="exact"/>
        <w:ind w:firstLine="640"/>
        <w:rPr>
          <w:rFonts w:ascii="华文楷体" w:hAnsi="华文楷体" w:eastAsia="楷体_GB2312"/>
          <w:color w:val="000000" w:themeColor="text1"/>
          <w:kern w:val="0"/>
        </w:rPr>
      </w:pPr>
      <w:r>
        <w:rPr>
          <w:rFonts w:hint="eastAsia" w:ascii="华文楷体" w:hAnsi="华文楷体" w:eastAsia="楷体_GB2312"/>
          <w:color w:val="000000" w:themeColor="text1"/>
          <w:kern w:val="0"/>
        </w:rPr>
        <w:t>（一）发展机遇</w:t>
      </w:r>
      <w:bookmarkStart w:id="19" w:name="OLE_LINK3"/>
      <w:bookmarkStart w:id="20" w:name="OLE_LINK4"/>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践行领袖嘱托带来新机遇。</w:t>
      </w:r>
      <w:r>
        <w:rPr>
          <w:rFonts w:hint="eastAsia" w:ascii="仿宋_GB2312" w:eastAsia="仿宋_GB2312"/>
          <w:color w:val="000000" w:themeColor="text1"/>
          <w:kern w:val="0"/>
        </w:rPr>
        <w:t>党的十八大以来，习近平总书记先后两次亲临江西视察指导，对江西提出了“作示范、勇争先”目标定位和“五个推进”更高要求，专门为我市举办的首届世界VR产业大会发来贺信，为我省我市发展把脉定向、擘画蓝图。习近平总书记的重要嘱托，省委赋予南昌“彰显省会担当”的时代使命，为我市发展提供根本遵循、注入强大动力。</w:t>
      </w:r>
    </w:p>
    <w:p>
      <w:pPr>
        <w:spacing w:line="580" w:lineRule="exact"/>
        <w:ind w:firstLine="643"/>
      </w:pPr>
      <w:r>
        <w:rPr>
          <w:rFonts w:hint="eastAsia" w:ascii="仿宋_GB2312" w:eastAsia="仿宋_GB2312"/>
          <w:b/>
          <w:color w:val="000000" w:themeColor="text1"/>
          <w:kern w:val="0"/>
        </w:rPr>
        <w:t>新发展格局带来新机遇。</w:t>
      </w:r>
      <w:r>
        <w:rPr>
          <w:rFonts w:hint="eastAsia" w:ascii="仿宋_GB2312" w:eastAsia="仿宋_GB2312"/>
          <w:color w:val="000000" w:themeColor="text1"/>
          <w:kern w:val="0"/>
        </w:rPr>
        <w:t>以国内大循环为主体、国内国际双循环相互促进的新发展格局正在形成，扩大内需成为战略基点，生产力布局面临调整，为我市打通产业链、供应链淤点和堵点，</w:t>
      </w:r>
      <w:r>
        <w:rPr>
          <w:rFonts w:hint="eastAsia" w:ascii="仿宋_GB2312" w:eastAsia="仿宋_GB2312"/>
          <w:color w:val="000000" w:themeColor="text1"/>
          <w:spacing w:val="-6"/>
          <w:kern w:val="0"/>
        </w:rPr>
        <w:t>构建更加完整、富有韧性的产业链供应链体系提供了重大历史机遇。</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国家战略叠加带来新机遇。</w:t>
      </w:r>
      <w:r>
        <w:rPr>
          <w:rFonts w:hint="eastAsia" w:ascii="仿宋_GB2312" w:eastAsia="仿宋_GB2312"/>
          <w:bCs/>
          <w:color w:val="000000" w:themeColor="text1"/>
          <w:kern w:val="0"/>
        </w:rPr>
        <w:t>“</w:t>
      </w:r>
      <w:r>
        <w:rPr>
          <w:rFonts w:hint="eastAsia" w:ascii="仿宋_GB2312" w:eastAsia="仿宋_GB2312"/>
          <w:color w:val="000000" w:themeColor="text1"/>
          <w:kern w:val="0"/>
        </w:rPr>
        <w:t>十四五</w:t>
      </w:r>
      <w:r>
        <w:rPr>
          <w:rFonts w:hint="eastAsia" w:ascii="仿宋_GB2312" w:eastAsia="仿宋_GB2312"/>
          <w:bCs/>
          <w:color w:val="000000" w:themeColor="text1"/>
          <w:kern w:val="0"/>
        </w:rPr>
        <w:t>”</w:t>
      </w:r>
      <w:r>
        <w:rPr>
          <w:rFonts w:hint="eastAsia" w:ascii="仿宋_GB2312" w:eastAsia="仿宋_GB2312"/>
          <w:color w:val="000000" w:themeColor="text1"/>
          <w:kern w:val="0"/>
        </w:rPr>
        <w:t>时期，国家将纵深推进“一带一路”和长江经济带发展，全面实施京津冀协同发展、长三角一体化、粤港澳大湾区、成渝地区双城经济圈等重大战略。南昌承东启西、连南接北的枢纽地位将进一步凸显，特别是国务院批复同意江西设立内陆开放型经济试验区，将极大增强我市对高端生产要素的吸附力和承载力。</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科技产业变革带来新机遇。</w:t>
      </w:r>
      <w:r>
        <w:rPr>
          <w:rFonts w:hint="eastAsia" w:ascii="仿宋_GB2312" w:eastAsia="仿宋_GB2312"/>
          <w:color w:val="000000" w:themeColor="text1"/>
          <w:kern w:val="0"/>
        </w:rPr>
        <w:t>新一轮科技革命和产业变革方兴未艾，以5G、人工智能、物联网、大数据、区块链等为代表的新一代信息技术加速突破应用，正在重构全球创新版图，重塑全球经济结构。有利于我市发挥后发优势，加快搭建高能级创新平台，发力新基建、新技术、新制造，形成新增长点、增长极，攀升产业链供应链价值链高端。</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大都市圈带来新机遇。</w:t>
      </w:r>
      <w:r>
        <w:rPr>
          <w:rFonts w:hint="eastAsia" w:ascii="仿宋_GB2312" w:eastAsia="仿宋_GB2312"/>
          <w:color w:val="000000" w:themeColor="text1"/>
          <w:kern w:val="0"/>
        </w:rPr>
        <w:t>全国区域经济发展空间格局正在发生深刻变化，中心城市和城市群成为承载发展要素的主要空间形式，省委省政府将做优做强大南昌都市圈摆到前所未有的高度，加快推进以南昌为核心的大都市圈一体化建设，将增强我市集聚能力，推动新一轮大投入、大建设、大发展。</w:t>
      </w:r>
      <w:bookmarkEnd w:id="19"/>
      <w:bookmarkEnd w:id="20"/>
    </w:p>
    <w:p>
      <w:pPr>
        <w:spacing w:line="580" w:lineRule="exact"/>
        <w:ind w:firstLine="640"/>
        <w:rPr>
          <w:rFonts w:ascii="华文楷体" w:hAnsi="华文楷体" w:eastAsia="楷体_GB2312"/>
          <w:color w:val="000000" w:themeColor="text1"/>
          <w:kern w:val="0"/>
        </w:rPr>
      </w:pPr>
      <w:r>
        <w:rPr>
          <w:rFonts w:hint="eastAsia" w:ascii="华文楷体" w:hAnsi="华文楷体" w:eastAsia="楷体_GB2312"/>
          <w:color w:val="000000" w:themeColor="text1"/>
          <w:kern w:val="0"/>
        </w:rPr>
        <w:t>（二）面临挑战</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全球经济下行带来新挑战。</w:t>
      </w:r>
      <w:r>
        <w:rPr>
          <w:rFonts w:hint="eastAsia" w:ascii="仿宋_GB2312" w:eastAsia="仿宋_GB2312"/>
          <w:color w:val="000000" w:themeColor="text1"/>
          <w:kern w:val="0"/>
        </w:rPr>
        <w:t>全球经济和贸易正处于深度调整期，受大国之间博弈加剧、贸易保护主义抬头以及新冠肺炎疫情蔓延等影响，全球经济复苏的内生动力持续弱化，全球产业链供应链加速重构，世界经济面临长期衰退风险，对我市“低基数”叠加“低增速”带来经济增长承压加剧，迫切需要加快构建新发展引擎，大力提升产业发展掌控力。</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区域竞争加剧带来新挑战。</w:t>
      </w:r>
      <w:r>
        <w:rPr>
          <w:rFonts w:hint="eastAsia" w:ascii="仿宋_GB2312" w:eastAsia="仿宋_GB2312"/>
          <w:color w:val="000000" w:themeColor="text1"/>
          <w:kern w:val="0"/>
        </w:rPr>
        <w:t>在国际产业分工重新调整、全球</w:t>
      </w:r>
      <w:r>
        <w:rPr>
          <w:rFonts w:hint="eastAsia" w:ascii="仿宋_GB2312" w:eastAsia="仿宋_GB2312"/>
          <w:color w:val="000000" w:themeColor="text1"/>
          <w:spacing w:val="-6"/>
          <w:kern w:val="0"/>
        </w:rPr>
        <w:t>产业链进一步重塑的同时，我国区域经济发展分化态势明显，城市“极化”和“分化”现象突出，在日趋激烈的竞争形势下，我市还将面临周边大城市、城市群在人才、技术、资金、市场等多个层面的挤压。</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人口结构变化带来新挑战。</w:t>
      </w:r>
      <w:r>
        <w:rPr>
          <w:rFonts w:hint="eastAsia" w:ascii="仿宋_GB2312" w:eastAsia="仿宋_GB2312"/>
          <w:bCs/>
          <w:color w:val="000000" w:themeColor="text1"/>
          <w:kern w:val="0"/>
        </w:rPr>
        <w:t>“</w:t>
      </w:r>
      <w:r>
        <w:rPr>
          <w:rFonts w:hint="eastAsia" w:ascii="仿宋_GB2312" w:eastAsia="仿宋_GB2312"/>
          <w:color w:val="000000" w:themeColor="text1"/>
          <w:kern w:val="0"/>
        </w:rPr>
        <w:t>十四五</w:t>
      </w:r>
      <w:r>
        <w:rPr>
          <w:rFonts w:hint="eastAsia" w:ascii="仿宋_GB2312" w:eastAsia="仿宋_GB2312"/>
          <w:bCs/>
          <w:color w:val="000000" w:themeColor="text1"/>
          <w:kern w:val="0"/>
        </w:rPr>
        <w:t>”</w:t>
      </w:r>
      <w:r>
        <w:rPr>
          <w:rFonts w:hint="eastAsia" w:ascii="仿宋_GB2312" w:eastAsia="仿宋_GB2312"/>
          <w:color w:val="000000" w:themeColor="text1"/>
          <w:kern w:val="0"/>
        </w:rPr>
        <w:t>时期我市人口老龄化将进一步加速，老龄化比例预计达</w:t>
      </w:r>
      <w:r>
        <w:rPr>
          <w:rFonts w:ascii="仿宋_GB2312" w:eastAsia="仿宋_GB2312"/>
          <w:color w:val="000000" w:themeColor="text1"/>
          <w:kern w:val="0"/>
        </w:rPr>
        <w:t>20%以上，</w:t>
      </w:r>
      <w:r>
        <w:rPr>
          <w:rFonts w:hint="eastAsia" w:ascii="仿宋_GB2312" w:eastAsia="仿宋_GB2312"/>
          <w:color w:val="000000" w:themeColor="text1"/>
          <w:kern w:val="0"/>
        </w:rPr>
        <w:t>“</w:t>
      </w:r>
      <w:r>
        <w:rPr>
          <w:rFonts w:ascii="仿宋_GB2312" w:eastAsia="仿宋_GB2312"/>
          <w:color w:val="000000" w:themeColor="text1"/>
          <w:kern w:val="0"/>
        </w:rPr>
        <w:t>未富先老</w:t>
      </w:r>
      <w:r>
        <w:rPr>
          <w:rFonts w:hint="eastAsia" w:ascii="仿宋_GB2312" w:eastAsia="仿宋_GB2312"/>
          <w:color w:val="000000" w:themeColor="text1"/>
          <w:kern w:val="0"/>
        </w:rPr>
        <w:t>”</w:t>
      </w:r>
      <w:r>
        <w:rPr>
          <w:rFonts w:ascii="仿宋_GB2312" w:eastAsia="仿宋_GB2312"/>
          <w:color w:val="000000" w:themeColor="text1"/>
          <w:kern w:val="0"/>
        </w:rPr>
        <w:t>压力日趋加重，老龄化引起的供需失衡日益突出，人口红利逐渐消退，人才红利</w:t>
      </w:r>
      <w:r>
        <w:rPr>
          <w:rFonts w:hint="eastAsia" w:ascii="仿宋_GB2312" w:eastAsia="仿宋_GB2312"/>
          <w:color w:val="000000" w:themeColor="text1"/>
          <w:kern w:val="0"/>
        </w:rPr>
        <w:t>尚未显现</w:t>
      </w:r>
      <w:r>
        <w:rPr>
          <w:rFonts w:ascii="仿宋_GB2312" w:eastAsia="仿宋_GB2312"/>
          <w:color w:val="000000" w:themeColor="text1"/>
          <w:kern w:val="0"/>
        </w:rPr>
        <w:t>，与发展不充分</w:t>
      </w:r>
      <w:r>
        <w:rPr>
          <w:rFonts w:hint="eastAsia" w:ascii="仿宋_GB2312" w:eastAsia="仿宋_GB2312"/>
          <w:color w:val="000000" w:themeColor="text1"/>
          <w:kern w:val="0"/>
        </w:rPr>
        <w:t>不平衡问题</w:t>
      </w:r>
      <w:r>
        <w:rPr>
          <w:rFonts w:ascii="仿宋_GB2312" w:eastAsia="仿宋_GB2312"/>
          <w:color w:val="000000" w:themeColor="text1"/>
          <w:kern w:val="0"/>
        </w:rPr>
        <w:t>交织叠加，给我市经济社会高质量发展带来巨大压力与挑战。</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矛盾风险易发带来新挑战。</w:t>
      </w:r>
      <w:r>
        <w:rPr>
          <w:rFonts w:hint="eastAsia" w:ascii="仿宋_GB2312" w:eastAsia="仿宋_GB2312"/>
          <w:color w:val="000000" w:themeColor="text1"/>
          <w:kern w:val="0"/>
        </w:rPr>
        <w:t>当前和今后一个时期，是各类矛盾和风险易发时期，不可预见性和突发性风险因素明显增多。社会结构正在发生深刻变化，互联网深刻改变人类交往方式，快速城市化带来的“大城市病”开始显现，各种风险隐患内外交织、相互共振，对社会稳定带来潜在挑战，迫切需要统筹发展和安全两件大事，守住安全稳定底线。</w:t>
      </w:r>
    </w:p>
    <w:p>
      <w:pPr>
        <w:spacing w:line="580" w:lineRule="exact"/>
        <w:ind w:firstLine="640"/>
        <w:rPr>
          <w:rFonts w:ascii="Times New Roman" w:hAnsi="Times New Roman" w:eastAsia="仿宋_GB2312" w:cs="Times New Roman"/>
          <w:color w:val="000000" w:themeColor="text1"/>
          <w:szCs w:val="34"/>
        </w:rPr>
      </w:pPr>
      <w:r>
        <w:rPr>
          <w:rFonts w:hint="eastAsia" w:ascii="Times New Roman" w:hAnsi="Times New Roman" w:eastAsia="仿宋_GB2312" w:cs="仿宋_GB2312"/>
          <w:color w:val="000000" w:themeColor="text1"/>
          <w:szCs w:val="34"/>
        </w:rPr>
        <w:t>“十四五”时期我市总体上将处于大有可为但充满挑战的战略机遇期，也到了爬坡过坎、转型升级的关键阶段，尤其面临“五期叠加”，即外部环境深度调整的变革期，面临全球化“逆风”与世界经济体系重构的双重变局；发展转型升级的迭代期，承受着摆脱传统路径依赖与抢抓未来发展机遇的双重压力；城市能级上升的突破期，肩负着规模总量扩张与内在品质蝶变的双重任务；全面融入区域发展大局的考验期，扮演着江西高质量跨越式发展核心龙头与国家战略重要参与者的双重角色；改革开放走深走实的攻坚期，面临着破除制约高质量发展高品质生活体制机制障碍与统筹国际国内两个市场两种资源的双重要求。全市上下要站在“两个大局”的战略高度，深刻认识错综复杂的国际环境带来的新矛盾新挑战，深刻认识我国社会主要矛盾变化带来的新特征新要求，保持战略定力，发扬斗争精神，树立底线思维，准确识变、科学应变、主动求变，努力在危机中育先机，于变局中开新局</w:t>
      </w:r>
      <w:r>
        <w:rPr>
          <w:rFonts w:hint="eastAsia" w:ascii="Times New Roman" w:hAnsi="Times New Roman" w:eastAsia="仿宋_GB2312" w:cs="Times New Roman"/>
          <w:color w:val="000000" w:themeColor="text1"/>
          <w:szCs w:val="34"/>
        </w:rPr>
        <w:t>。</w:t>
      </w:r>
    </w:p>
    <w:p>
      <w:pPr>
        <w:pStyle w:val="31"/>
        <w:ind w:firstLine="640"/>
      </w:pPr>
    </w:p>
    <w:p>
      <w:pPr>
        <w:pStyle w:val="23"/>
        <w:spacing w:line="580" w:lineRule="exact"/>
        <w:rPr>
          <w:b w:val="0"/>
          <w:bCs/>
          <w:color w:val="000000" w:themeColor="text1"/>
        </w:rPr>
      </w:pPr>
      <w:bookmarkStart w:id="21" w:name="_Toc64542089"/>
      <w:bookmarkStart w:id="22" w:name="_Toc8988"/>
      <w:bookmarkStart w:id="23" w:name="_Toc13449"/>
      <w:r>
        <w:rPr>
          <w:rFonts w:hint="eastAsia"/>
          <w:b w:val="0"/>
          <w:bCs/>
          <w:color w:val="000000" w:themeColor="text1"/>
        </w:rPr>
        <w:t>第三章  远景目标</w:t>
      </w:r>
      <w:bookmarkEnd w:id="21"/>
      <w:bookmarkEnd w:id="22"/>
      <w:bookmarkEnd w:id="23"/>
    </w:p>
    <w:p>
      <w:pPr>
        <w:spacing w:line="580" w:lineRule="exact"/>
        <w:ind w:firstLine="616"/>
        <w:rPr>
          <w:rFonts w:ascii="仿宋_GB2312" w:eastAsia="仿宋_GB2312"/>
          <w:color w:val="000000" w:themeColor="text1"/>
          <w:spacing w:val="-6"/>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展望二〇三五年，南昌将在全省率先基本实现社会主义现代化，富强民主文明和谐美丽现代化新南昌基本建成，大南昌都市圈成为全国重要增长板块。综合实力大幅提升，全市经济总量和城乡居民收入迈上新的大台阶，在全省率先建立现代化经济体系，基本实现新型工业化、信息化、城镇化、农业现代化，成为中部地区重要的创新中心、智造中心、金融中心、消费中心和全国新发展格局的战略枢纽，跻身国家中心城市行列。市域治理现代化基本实现，法治南昌基本建成，治理体系和治理能力建设成为全国样板。文化强市、教育强市、人才强市、交通强市、体育强市和健康南昌、文明南昌建设取得更大成效，市民素质和社会文明程度达到新高度。生态环境质量稳居全国省会城市前列，广泛形成绿色生产生活方式，人与自然和谐共生，全面建成绿色循环低碳城市，树立美丽中国“江西样板”南昌标杆。建成内陆开放型经济试验区核心城市，形成市场化、法治化、国际化对外开放新格局，在参与国际国内合作竞争中形成更大优势。人均地区生产总值达到中等发达国家水平，中等收入群体显著扩大，基本公共服务实现均等化，居民生活品质差异显著缩小。平安南昌建设达到更高水平，社会充满活力又和谐有序。人民生活更加美好，人的全面发展、全体人民共同富裕取得实质性进展。</w:t>
      </w:r>
    </w:p>
    <w:p>
      <w:pPr>
        <w:pStyle w:val="31"/>
        <w:ind w:firstLine="640"/>
      </w:pPr>
    </w:p>
    <w:p>
      <w:pPr>
        <w:pStyle w:val="23"/>
        <w:spacing w:line="580" w:lineRule="exact"/>
        <w:rPr>
          <w:rFonts w:ascii="楷体_GB2312" w:eastAsia="楷体_GB2312"/>
          <w:color w:val="000000" w:themeColor="text1"/>
        </w:rPr>
      </w:pPr>
      <w:bookmarkStart w:id="24" w:name="_Toc12046"/>
      <w:bookmarkStart w:id="25" w:name="_Toc57195627"/>
      <w:bookmarkStart w:id="26" w:name="_Toc18120"/>
      <w:bookmarkStart w:id="27" w:name="_Toc64542090"/>
      <w:bookmarkStart w:id="28" w:name="_Toc57194166"/>
      <w:r>
        <w:rPr>
          <w:rFonts w:hint="eastAsia"/>
          <w:b w:val="0"/>
          <w:bCs/>
          <w:color w:val="000000" w:themeColor="text1"/>
        </w:rPr>
        <w:t>第四章  总体要求</w:t>
      </w:r>
      <w:bookmarkEnd w:id="24"/>
      <w:bookmarkEnd w:id="25"/>
      <w:bookmarkEnd w:id="26"/>
      <w:bookmarkEnd w:id="27"/>
      <w:bookmarkEnd w:id="28"/>
      <w:bookmarkStart w:id="29" w:name="_Toc57194167"/>
      <w:bookmarkStart w:id="30" w:name="_Toc57195628"/>
      <w:bookmarkStart w:id="31" w:name="_Toc477"/>
    </w:p>
    <w:p>
      <w:pPr>
        <w:pStyle w:val="74"/>
        <w:spacing w:line="580" w:lineRule="exact"/>
        <w:rPr>
          <w:rFonts w:ascii="楷体_GB2312" w:eastAsia="楷体_GB2312"/>
          <w:color w:val="000000" w:themeColor="text1"/>
        </w:rPr>
      </w:pPr>
      <w:bookmarkStart w:id="32" w:name="_Toc64542091"/>
      <w:bookmarkStart w:id="33" w:name="_Toc839"/>
      <w:r>
        <w:rPr>
          <w:rFonts w:hint="eastAsia" w:ascii="楷体_GB2312" w:eastAsia="楷体_GB2312"/>
          <w:color w:val="000000" w:themeColor="text1"/>
        </w:rPr>
        <w:t>第一节  指导思想</w:t>
      </w:r>
      <w:bookmarkEnd w:id="29"/>
      <w:bookmarkEnd w:id="30"/>
      <w:bookmarkEnd w:id="31"/>
      <w:bookmarkEnd w:id="32"/>
      <w:bookmarkEnd w:id="33"/>
    </w:p>
    <w:p>
      <w:pPr>
        <w:spacing w:line="580" w:lineRule="exact"/>
        <w:ind w:firstLine="643"/>
        <w:rPr>
          <w:rFonts w:ascii="仿宋_GB2312" w:eastAsia="仿宋_GB2312"/>
          <w:b/>
          <w:color w:val="000000" w:themeColor="text1"/>
          <w:kern w:val="0"/>
        </w:rPr>
      </w:pP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“十四五”时期南昌经济社会发展的指导思想：</w:t>
      </w:r>
      <w:r>
        <w:rPr>
          <w:rFonts w:hint="eastAsia" w:ascii="仿宋_GB2312" w:eastAsia="仿宋_GB2312"/>
          <w:color w:val="000000" w:themeColor="text1"/>
          <w:kern w:val="0"/>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统筹推进“五位一体”总体布局，协调推进“四个全面”战略布局，坚定不移贯彻新发展理念，坚持稳中求进工作总基调，以推动高质量跨越式发展为主题，以深化供给侧结构性改革为主线，以改革开放创新为根本动力，以满足人民日益增长的美好生活需要为根本目的，聚焦“作示范、勇争先”目标定位和“彰显省会担当”新要求，统筹发展和安全，把南昌高质量发展大厦建立在坚实的科技创新与实体经济基础之上，着力建设现代化经济体系，积极融入构建“双循环”新发展格局，加快推进市域治理体系和治理能力现代化，不断开创“五城”</w:t>
      </w:r>
      <w:r>
        <w:rPr>
          <w:rStyle w:val="38"/>
          <w:rFonts w:ascii="仿宋_GB2312" w:eastAsia="仿宋_GB2312"/>
          <w:color w:val="000000" w:themeColor="text1"/>
          <w:kern w:val="0"/>
        </w:rPr>
        <w:footnoteReference w:id="0"/>
      </w:r>
      <w:r>
        <w:rPr>
          <w:rFonts w:hint="eastAsia" w:ascii="仿宋_GB2312" w:eastAsia="仿宋_GB2312"/>
          <w:color w:val="000000" w:themeColor="text1"/>
          <w:kern w:val="0"/>
        </w:rPr>
        <w:t>建设新局面，实现经济行稳致远，社会安定和谐，确保全面建设社会主义现代化开好</w:t>
      </w:r>
      <w:r>
        <w:rPr>
          <w:rFonts w:hint="eastAsia" w:ascii="仿宋_GB2312" w:eastAsia="仿宋_GB2312"/>
          <w:color w:val="000000" w:themeColor="text1"/>
          <w:spacing w:val="-6"/>
          <w:kern w:val="21"/>
        </w:rPr>
        <w:t>局、起好步，在描绘好新时代江西改革发展新画卷中展现南昌作为。</w:t>
      </w:r>
    </w:p>
    <w:p>
      <w:pPr>
        <w:pStyle w:val="31"/>
        <w:ind w:firstLine="640"/>
      </w:pPr>
    </w:p>
    <w:p>
      <w:pPr>
        <w:pStyle w:val="74"/>
        <w:spacing w:line="580" w:lineRule="exact"/>
        <w:rPr>
          <w:rFonts w:ascii="楷体_GB2312" w:eastAsia="楷体_GB2312"/>
          <w:color w:val="000000" w:themeColor="text1"/>
        </w:rPr>
      </w:pPr>
      <w:bookmarkStart w:id="34" w:name="_Toc11055"/>
      <w:bookmarkStart w:id="35" w:name="_Toc57195629"/>
      <w:bookmarkStart w:id="36" w:name="_Toc18248"/>
      <w:bookmarkStart w:id="37" w:name="_Toc64542092"/>
      <w:bookmarkStart w:id="38" w:name="_Toc57194168"/>
      <w:r>
        <w:rPr>
          <w:rFonts w:hint="eastAsia" w:ascii="楷体_GB2312" w:eastAsia="楷体_GB2312"/>
          <w:color w:val="000000" w:themeColor="text1"/>
        </w:rPr>
        <w:t>第二节  基本原则</w:t>
      </w:r>
      <w:bookmarkEnd w:id="34"/>
      <w:bookmarkEnd w:id="35"/>
      <w:bookmarkEnd w:id="36"/>
      <w:bookmarkEnd w:id="37"/>
      <w:bookmarkEnd w:id="38"/>
    </w:p>
    <w:p>
      <w:pPr>
        <w:spacing w:line="580" w:lineRule="exact"/>
        <w:ind w:firstLine="643"/>
        <w:rPr>
          <w:rFonts w:ascii="仿宋_GB2312" w:eastAsia="仿宋_GB2312"/>
          <w:b/>
          <w:color w:val="000000" w:themeColor="text1"/>
          <w:kern w:val="0"/>
        </w:rPr>
      </w:pP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坚持党的全面领导。</w:t>
      </w:r>
      <w:r>
        <w:rPr>
          <w:rFonts w:hint="eastAsia" w:ascii="仿宋_GB2312" w:eastAsia="仿宋_GB2312"/>
          <w:color w:val="000000" w:themeColor="text1"/>
          <w:kern w:val="0"/>
        </w:rPr>
        <w:t>始终坚持党对一切工作的领导，坚决维护党中央权威和集中统一领导，健全完善上下一致、总揽全局、协调各方的党的领导制度体系，大力推进红色基因传承，不断提高贯彻新发展理念、构建新发展格局能力和水平，为实现高质量跨越式发展提供根本保证。</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坚持以人民为中心。</w:t>
      </w:r>
      <w:r>
        <w:rPr>
          <w:rFonts w:hint="eastAsia" w:ascii="仿宋_GB2312" w:eastAsia="仿宋_GB2312"/>
          <w:color w:val="000000" w:themeColor="text1"/>
          <w:kern w:val="0"/>
        </w:rPr>
        <w:t>坚持人民主体地位，坚持共同富裕方向，始终做到发展为了人民、发展依靠人民、发展成果由人民共享，维护人民根本利益，激发全体人民积极性、主动性、创造性，促进社会公平，增进民生福祉，不断实现人民对美好生活的向往，切实增强英雄城人民获得感、幸福感、安全感。</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坚持新发展理念。</w:t>
      </w:r>
      <w:r>
        <w:rPr>
          <w:rFonts w:hint="eastAsia" w:ascii="仿宋_GB2312" w:eastAsia="仿宋_GB2312"/>
          <w:color w:val="000000" w:themeColor="text1"/>
          <w:kern w:val="0"/>
        </w:rPr>
        <w:t>把新发展理念贯穿发展全过程和各领域，加快推动质量变革、效率变革、动力变革，努力保持经济较高速度增长和高质量发展同步，实现更高质量、更有效率、更加公平、更可持续、更为安全的发展，挺起全省高质量发展的脊梁。</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坚持改革开放创新。</w:t>
      </w:r>
      <w:r>
        <w:rPr>
          <w:rFonts w:hint="eastAsia" w:ascii="仿宋_GB2312" w:eastAsia="仿宋_GB2312"/>
          <w:color w:val="000000" w:themeColor="text1"/>
          <w:kern w:val="0"/>
        </w:rPr>
        <w:t>坚定不移推进改革开放走深走实，</w:t>
      </w:r>
      <w:r>
        <w:rPr>
          <w:rFonts w:hint="eastAsia" w:ascii="仿宋_GB2312" w:eastAsia="仿宋_GB2312"/>
          <w:color w:val="000000" w:themeColor="text1"/>
          <w:spacing w:val="-6"/>
          <w:kern w:val="0"/>
        </w:rPr>
        <w:t>坚定不移强化创新“第一动力”作用，加强市域治理体系和治理能力现代化建设，破除制约高质量发展、高品质生活的体制机制障碍，强化有利于提高资源配置效率、有利于调动全社会积极性的重大改革开放举措，持续增强经济社会发展动力、活力、创造力。</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坚持系统观念。</w:t>
      </w:r>
      <w:r>
        <w:rPr>
          <w:rFonts w:hint="eastAsia" w:ascii="仿宋_GB2312" w:eastAsia="仿宋_GB2312"/>
          <w:color w:val="000000" w:themeColor="text1"/>
          <w:kern w:val="0"/>
        </w:rPr>
        <w:t>加强前瞻性思考、全局性谋划、战略性布局、整体性推进，统筹国内国际两个大局，办好发展和安全两件大事，坚持全国一盘棋，在新格局中找定位，在新阶段中谋发展，在全省发展大局中强担当，着力固根基、扬优势、补短板、强弱项，注重防范化解重大风险挑战，实现发展质量、结构、规模、速度、效益、安全相统一。</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坚持解放思想担当实干。</w:t>
      </w:r>
      <w:r>
        <w:rPr>
          <w:rFonts w:ascii="仿宋_GB2312" w:eastAsia="仿宋_GB2312"/>
          <w:color w:val="000000" w:themeColor="text1"/>
          <w:kern w:val="0"/>
        </w:rPr>
        <w:t>坚持</w:t>
      </w:r>
      <w:r>
        <w:rPr>
          <w:rFonts w:hint="eastAsia" w:ascii="仿宋_GB2312" w:eastAsia="仿宋_GB2312"/>
          <w:color w:val="000000" w:themeColor="text1"/>
          <w:kern w:val="0"/>
        </w:rPr>
        <w:t>“</w:t>
      </w:r>
      <w:r>
        <w:rPr>
          <w:rFonts w:ascii="仿宋_GB2312" w:eastAsia="仿宋_GB2312"/>
          <w:color w:val="000000" w:themeColor="text1"/>
          <w:kern w:val="0"/>
        </w:rPr>
        <w:t>不以南昌为世界，而以世界谋南昌</w:t>
      </w:r>
      <w:r>
        <w:rPr>
          <w:rFonts w:hint="eastAsia" w:ascii="仿宋_GB2312" w:eastAsia="仿宋_GB2312"/>
          <w:color w:val="000000" w:themeColor="text1"/>
          <w:kern w:val="0"/>
        </w:rPr>
        <w:t>”</w:t>
      </w:r>
      <w:r>
        <w:rPr>
          <w:rFonts w:ascii="仿宋_GB2312" w:eastAsia="仿宋_GB2312"/>
          <w:color w:val="000000" w:themeColor="text1"/>
          <w:kern w:val="0"/>
        </w:rPr>
        <w:t>的国际化视野，</w:t>
      </w:r>
      <w:r>
        <w:rPr>
          <w:rFonts w:hint="eastAsia" w:ascii="仿宋_GB2312" w:eastAsia="仿宋_GB2312"/>
          <w:color w:val="000000" w:themeColor="text1"/>
          <w:kern w:val="0"/>
        </w:rPr>
        <w:t>进一步增强竞争意识、前列意识、主动意识，向好的学、同强的比、与快的赛，扛起新时期省会历史责任，以思想破冰引领改革突围，大胆闯、大胆试，</w:t>
      </w:r>
      <w:r>
        <w:rPr>
          <w:rFonts w:ascii="仿宋_GB2312" w:eastAsia="仿宋_GB2312"/>
          <w:color w:val="000000" w:themeColor="text1"/>
          <w:kern w:val="0"/>
        </w:rPr>
        <w:t>带头担当、带头实干，</w:t>
      </w:r>
      <w:r>
        <w:rPr>
          <w:rFonts w:hint="eastAsia" w:ascii="仿宋_GB2312" w:eastAsia="仿宋_GB2312"/>
          <w:color w:val="000000" w:themeColor="text1"/>
          <w:kern w:val="0"/>
        </w:rPr>
        <w:t>求真务实、锐意进取，努力</w:t>
      </w:r>
      <w:r>
        <w:rPr>
          <w:rFonts w:ascii="仿宋_GB2312" w:eastAsia="仿宋_GB2312"/>
          <w:color w:val="000000" w:themeColor="text1"/>
          <w:kern w:val="0"/>
        </w:rPr>
        <w:t>将宏伟蓝图变为美好现实。</w:t>
      </w: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39" w:name="_Toc57195630"/>
      <w:bookmarkStart w:id="40" w:name="_Toc21816"/>
      <w:bookmarkStart w:id="41" w:name="_Toc30956"/>
      <w:bookmarkStart w:id="42" w:name="_Toc64542093"/>
      <w:bookmarkStart w:id="43" w:name="_Toc57194169"/>
      <w:r>
        <w:rPr>
          <w:rFonts w:hint="eastAsia" w:ascii="楷体_GB2312" w:eastAsia="楷体_GB2312"/>
          <w:color w:val="000000" w:themeColor="text1"/>
        </w:rPr>
        <w:t>第三节  发展定位</w:t>
      </w:r>
      <w:bookmarkEnd w:id="39"/>
      <w:bookmarkEnd w:id="40"/>
      <w:bookmarkEnd w:id="41"/>
      <w:bookmarkEnd w:id="42"/>
      <w:bookmarkEnd w:id="43"/>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b/>
          <w:color w:val="000000" w:themeColor="text1"/>
          <w:kern w:val="0"/>
        </w:rPr>
      </w:pPr>
      <w:r>
        <w:rPr>
          <w:rFonts w:hint="eastAsia" w:ascii="仿宋_GB2312" w:eastAsia="仿宋_GB2312"/>
          <w:color w:val="000000" w:themeColor="text1"/>
          <w:kern w:val="0"/>
        </w:rPr>
        <w:t>锚定到二〇三五年率先基本实现社会主义现代化的战略目标，今后五年南昌发展总的定位是：围绕</w:t>
      </w:r>
      <w:r>
        <w:rPr>
          <w:rFonts w:hint="eastAsia" w:ascii="仿宋_GB2312" w:eastAsia="仿宋_GB2312"/>
          <w:b/>
          <w:color w:val="000000" w:themeColor="text1"/>
          <w:kern w:val="0"/>
        </w:rPr>
        <w:t>“富有创新活力和文化魅力，令人向往的中国智造新城、山水名城”</w:t>
      </w:r>
      <w:r>
        <w:rPr>
          <w:rFonts w:hint="eastAsia" w:ascii="仿宋_GB2312" w:eastAsia="仿宋_GB2312"/>
          <w:color w:val="000000" w:themeColor="text1"/>
          <w:kern w:val="0"/>
        </w:rPr>
        <w:t>城市愿景，努力打造</w:t>
      </w:r>
      <w:r>
        <w:rPr>
          <w:rFonts w:hint="eastAsia" w:ascii="仿宋_GB2312" w:eastAsia="仿宋_GB2312"/>
          <w:b/>
          <w:color w:val="000000" w:themeColor="text1"/>
          <w:kern w:val="0"/>
        </w:rPr>
        <w:t>国际</w:t>
      </w:r>
      <w:r>
        <w:rPr>
          <w:rFonts w:hint="eastAsia" w:ascii="仿宋_GB2312" w:eastAsia="仿宋_GB2312"/>
          <w:b/>
          <w:color w:val="000000" w:themeColor="text1"/>
          <w:spacing w:val="-6"/>
          <w:kern w:val="0"/>
        </w:rPr>
        <w:t>先进制造业集聚区、全国数字经济发展先行区、全国绿色低碳发展示范区、全国市域治理现代化试验区、国家现代流通体系重要枢纽。</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国际先进制造业集聚区。</w:t>
      </w:r>
      <w:r>
        <w:rPr>
          <w:rFonts w:hint="eastAsia" w:ascii="仿宋_GB2312" w:eastAsia="仿宋_GB2312"/>
          <w:color w:val="000000" w:themeColor="text1"/>
          <w:kern w:val="0"/>
        </w:rPr>
        <w:t>坚守实体经济不动摇，突出智能制造转型，深入推进产业链、供应链、价值链、创新链融合发展，加快建设电子信息、生命健康和高端装备三大国际性产业集群，着力培育若干标志性产业链，打造全国传统产业转型升级和新兴产业培育发展高地。</w:t>
      </w:r>
    </w:p>
    <w:p>
      <w:pPr>
        <w:spacing w:line="580" w:lineRule="exact"/>
        <w:ind w:firstLine="643"/>
        <w:rPr>
          <w:rFonts w:ascii="仿宋_GB2312" w:eastAsia="仿宋_GB2312"/>
          <w:b/>
          <w:color w:val="000000" w:themeColor="text1"/>
          <w:kern w:val="0"/>
        </w:rPr>
      </w:pPr>
      <w:r>
        <w:rPr>
          <w:rFonts w:hint="eastAsia" w:ascii="仿宋_GB2312" w:eastAsia="仿宋_GB2312"/>
          <w:b/>
          <w:color w:val="000000" w:themeColor="text1"/>
          <w:kern w:val="0"/>
        </w:rPr>
        <w:t>全国数字经济发展先行区。</w:t>
      </w:r>
      <w:r>
        <w:rPr>
          <w:rFonts w:hint="eastAsia" w:ascii="仿宋_GB2312" w:eastAsia="仿宋_GB2312"/>
          <w:color w:val="000000" w:themeColor="text1"/>
          <w:kern w:val="0"/>
        </w:rPr>
        <w:t>加快构建全领域的数字城市，着力建设以全国数字经济发展样板区、全国新型智慧城市示范区、世界V</w:t>
      </w:r>
      <w:r>
        <w:rPr>
          <w:rFonts w:ascii="仿宋_GB2312" w:eastAsia="仿宋_GB2312"/>
          <w:color w:val="000000" w:themeColor="text1"/>
          <w:kern w:val="0"/>
        </w:rPr>
        <w:t>R</w:t>
      </w:r>
      <w:r>
        <w:rPr>
          <w:rFonts w:hint="eastAsia" w:ascii="仿宋_GB2312" w:eastAsia="仿宋_GB2312"/>
          <w:color w:val="000000" w:themeColor="text1"/>
          <w:kern w:val="0"/>
        </w:rPr>
        <w:t>产业发展引领区、全国数字经济体制机制创新先导区为定位的全国数字经济强市。</w:t>
      </w:r>
    </w:p>
    <w:p>
      <w:pPr>
        <w:spacing w:line="580" w:lineRule="exact"/>
        <w:ind w:firstLine="618"/>
        <w:rPr>
          <w:rFonts w:ascii="仿宋_GB2312" w:eastAsia="仿宋_GB2312"/>
          <w:color w:val="000000" w:themeColor="text1"/>
          <w:spacing w:val="-6"/>
          <w:kern w:val="0"/>
        </w:rPr>
      </w:pPr>
      <w:r>
        <w:rPr>
          <w:rFonts w:hint="eastAsia" w:ascii="仿宋_GB2312" w:eastAsia="仿宋_GB2312"/>
          <w:b/>
          <w:color w:val="000000" w:themeColor="text1"/>
          <w:spacing w:val="-6"/>
          <w:kern w:val="0"/>
        </w:rPr>
        <w:t>全国绿色低碳发展示范区。</w:t>
      </w:r>
      <w:r>
        <w:rPr>
          <w:rFonts w:hint="eastAsia" w:ascii="仿宋_GB2312" w:eastAsia="仿宋_GB2312"/>
          <w:color w:val="000000" w:themeColor="text1"/>
          <w:spacing w:val="-6"/>
          <w:kern w:val="0"/>
        </w:rPr>
        <w:t>扎实践行“绿水青山就是金山银山”发展理念，深入推进国家生态文明试验区建设，大力倡导绿色生产生活方式，加快推动绿色崛起，促进人与自然和谐共生，实现生态环境“高颜值”、经济发展“高素质”。</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全</w:t>
      </w:r>
      <w:r>
        <w:rPr>
          <w:rFonts w:hint="eastAsia" w:ascii="仿宋_GB2312" w:eastAsia="仿宋_GB2312"/>
          <w:b/>
          <w:color w:val="000000" w:themeColor="text1"/>
          <w:spacing w:val="-11"/>
          <w:kern w:val="0"/>
        </w:rPr>
        <w:t>国市域治理现代化试验区。</w:t>
      </w:r>
      <w:r>
        <w:rPr>
          <w:rFonts w:hint="eastAsia" w:ascii="仿宋_GB2312" w:eastAsia="仿宋_GB2312"/>
          <w:color w:val="000000" w:themeColor="text1"/>
          <w:spacing w:val="-11"/>
          <w:kern w:val="0"/>
        </w:rPr>
        <w:t>强化党建引领，健全自治、法治、德治相结合的城乡基层治理体系，完善共建共治共享社会治理制度，深入推进平安南昌、法治南昌和“五型”政府建设，发挥“城市大脑”治理效能，打造“昌治久安”市域治理样板。</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国家现代流通体系重要枢纽。</w:t>
      </w:r>
      <w:r>
        <w:rPr>
          <w:rFonts w:hint="eastAsia" w:ascii="仿宋_GB2312" w:eastAsia="仿宋_GB2312"/>
          <w:color w:val="000000" w:themeColor="text1"/>
          <w:kern w:val="0"/>
        </w:rPr>
        <w:t>立足新发展格局，突出大通道、大枢纽、大网络规划建设，发挥南昌区位和交通优势，实现公铁水空齐头并进，促进人流、物流、信息流、技术流、资金流汇聚流通，各类要素高效流动、高效配置、高效服务，成为国家现代流通体系重要枢纽。</w:t>
      </w: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44" w:name="_Toc57194170"/>
      <w:bookmarkStart w:id="45" w:name="_Toc64542094"/>
      <w:bookmarkStart w:id="46" w:name="_Toc57195631"/>
      <w:bookmarkStart w:id="47" w:name="_Toc2622"/>
      <w:bookmarkStart w:id="48" w:name="_Toc26059"/>
      <w:r>
        <w:rPr>
          <w:rFonts w:hint="eastAsia" w:ascii="楷体_GB2312" w:eastAsia="楷体_GB2312"/>
          <w:color w:val="000000" w:themeColor="text1"/>
        </w:rPr>
        <w:t>第四节  主要目标</w:t>
      </w:r>
      <w:bookmarkEnd w:id="44"/>
      <w:bookmarkEnd w:id="45"/>
      <w:bookmarkEnd w:id="46"/>
      <w:bookmarkEnd w:id="47"/>
      <w:bookmarkEnd w:id="48"/>
      <w:bookmarkStart w:id="49" w:name="_Toc57195633"/>
      <w:bookmarkStart w:id="50" w:name="_Toc57194172"/>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到2025年，高质量跨越式发展步伐更加坚实，经济实力、创新能力、发展活力、文化引力和生态魅力迈上新台阶，在全国的影响进一步增强，在全省的核心龙头地位更加突出，居民获得感、幸福感、安全感明显提高，谱写出新时代“五城”建设新篇章。</w:t>
      </w: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综合考虑我市发展基础和环境条件，具体目标确定为：</w:t>
      </w:r>
    </w:p>
    <w:p>
      <w:pPr>
        <w:spacing w:line="580" w:lineRule="exact"/>
        <w:ind w:firstLine="618"/>
        <w:rPr>
          <w:rFonts w:ascii="仿宋_GB2312" w:eastAsia="仿宋_GB2312"/>
          <w:color w:val="000000" w:themeColor="text1"/>
          <w:spacing w:val="-6"/>
          <w:kern w:val="0"/>
        </w:rPr>
      </w:pPr>
      <w:r>
        <w:rPr>
          <w:rFonts w:hint="eastAsia" w:ascii="仿宋_GB2312" w:eastAsia="仿宋_GB2312"/>
          <w:b/>
          <w:bCs/>
          <w:color w:val="000000" w:themeColor="text1"/>
          <w:spacing w:val="-6"/>
          <w:kern w:val="0"/>
        </w:rPr>
        <w:t>综合实力迈上新台阶。</w:t>
      </w:r>
      <w:r>
        <w:rPr>
          <w:rFonts w:hint="eastAsia" w:ascii="仿宋_GB2312" w:eastAsia="仿宋_GB2312"/>
          <w:color w:val="000000" w:themeColor="text1"/>
          <w:spacing w:val="-6"/>
          <w:kern w:val="0"/>
        </w:rPr>
        <w:t>在质量效益明显提升的基础上经济保持较快发展，主要经济指标增速保持全国省会城市前列，力争地区生产总值</w:t>
      </w:r>
      <w:r>
        <w:rPr>
          <w:rFonts w:ascii="仿宋_GB2312" w:eastAsia="仿宋_GB2312"/>
          <w:color w:val="000000" w:themeColor="text1"/>
          <w:spacing w:val="-6"/>
          <w:kern w:val="0"/>
        </w:rPr>
        <w:t>8</w:t>
      </w:r>
      <w:r>
        <w:rPr>
          <w:rFonts w:hint="eastAsia" w:ascii="仿宋_GB2312" w:eastAsia="仿宋_GB2312"/>
          <w:color w:val="000000" w:themeColor="text1"/>
          <w:spacing w:val="-6"/>
          <w:kern w:val="0"/>
        </w:rPr>
        <w:t>2</w:t>
      </w:r>
      <w:r>
        <w:rPr>
          <w:rFonts w:ascii="仿宋_GB2312" w:eastAsia="仿宋_GB2312"/>
          <w:color w:val="000000" w:themeColor="text1"/>
          <w:spacing w:val="-6"/>
          <w:kern w:val="0"/>
        </w:rPr>
        <w:t>00</w:t>
      </w:r>
      <w:r>
        <w:rPr>
          <w:rFonts w:hint="eastAsia" w:ascii="仿宋_GB2312" w:eastAsia="仿宋_GB2312"/>
          <w:color w:val="000000" w:themeColor="text1"/>
          <w:spacing w:val="-6"/>
          <w:kern w:val="0"/>
        </w:rPr>
        <w:t>亿元，人均地区生产总值突破</w:t>
      </w:r>
      <w:r>
        <w:rPr>
          <w:rFonts w:ascii="仿宋_GB2312" w:eastAsia="仿宋_GB2312"/>
          <w:color w:val="000000" w:themeColor="text1"/>
          <w:spacing w:val="-6"/>
          <w:kern w:val="0"/>
        </w:rPr>
        <w:t>1.8</w:t>
      </w:r>
      <w:r>
        <w:rPr>
          <w:rFonts w:hint="eastAsia" w:ascii="仿宋_GB2312" w:eastAsia="仿宋_GB2312"/>
          <w:color w:val="000000" w:themeColor="text1"/>
          <w:spacing w:val="-6"/>
          <w:kern w:val="0"/>
        </w:rPr>
        <w:t>万美元。全员劳动生产率达到</w:t>
      </w:r>
      <w:r>
        <w:rPr>
          <w:rFonts w:ascii="仿宋_GB2312" w:eastAsia="仿宋_GB2312"/>
          <w:color w:val="000000" w:themeColor="text1"/>
          <w:spacing w:val="-6"/>
          <w:kern w:val="0"/>
        </w:rPr>
        <w:t>23.3</w:t>
      </w:r>
      <w:r>
        <w:rPr>
          <w:rFonts w:hint="eastAsia" w:ascii="仿宋_GB2312" w:eastAsia="仿宋_GB2312"/>
          <w:color w:val="000000" w:themeColor="text1"/>
          <w:spacing w:val="-6"/>
          <w:kern w:val="0"/>
        </w:rPr>
        <w:t>万元</w:t>
      </w:r>
      <w:r>
        <w:rPr>
          <w:rFonts w:ascii="仿宋_GB2312" w:eastAsia="仿宋_GB2312"/>
          <w:color w:val="000000" w:themeColor="text1"/>
          <w:spacing w:val="-6"/>
          <w:kern w:val="0"/>
        </w:rPr>
        <w:t>/人。</w:t>
      </w:r>
      <w:r>
        <w:rPr>
          <w:rFonts w:hint="eastAsia" w:ascii="仿宋_GB2312" w:eastAsia="仿宋_GB2312"/>
          <w:color w:val="000000" w:themeColor="text1"/>
          <w:spacing w:val="-6"/>
          <w:kern w:val="0"/>
        </w:rPr>
        <w:t>投资质量明显提升，固定资产投资年均增速在</w:t>
      </w:r>
      <w:r>
        <w:rPr>
          <w:rFonts w:ascii="仿宋_GB2312" w:eastAsia="仿宋_GB2312"/>
          <w:color w:val="000000" w:themeColor="text1"/>
          <w:spacing w:val="-6"/>
          <w:kern w:val="0"/>
        </w:rPr>
        <w:t>8%左右。消费贡献显著增强，社会消费品零售总额达到3</w:t>
      </w:r>
      <w:r>
        <w:rPr>
          <w:rFonts w:hint="eastAsia" w:ascii="仿宋_GB2312" w:eastAsia="仿宋_GB2312"/>
          <w:color w:val="000000" w:themeColor="text1"/>
          <w:spacing w:val="-6"/>
          <w:kern w:val="0"/>
        </w:rPr>
        <w:t>60</w:t>
      </w:r>
      <w:r>
        <w:rPr>
          <w:rFonts w:ascii="仿宋_GB2312" w:eastAsia="仿宋_GB2312"/>
          <w:color w:val="000000" w:themeColor="text1"/>
          <w:spacing w:val="-6"/>
          <w:kern w:val="0"/>
        </w:rPr>
        <w:t>0</w:t>
      </w:r>
      <w:r>
        <w:rPr>
          <w:rFonts w:hint="eastAsia" w:ascii="仿宋_GB2312" w:eastAsia="仿宋_GB2312"/>
          <w:color w:val="000000" w:themeColor="text1"/>
          <w:spacing w:val="-6"/>
          <w:kern w:val="0"/>
        </w:rPr>
        <w:t>亿元。规模以上工业增加值增速年均7.5%左右。第三产业占比达到53%左右。常住人口城镇化率达到</w:t>
      </w:r>
      <w:r>
        <w:rPr>
          <w:rFonts w:ascii="仿宋_GB2312" w:eastAsia="仿宋_GB2312"/>
          <w:color w:val="000000" w:themeColor="text1"/>
          <w:spacing w:val="-6"/>
          <w:kern w:val="0"/>
        </w:rPr>
        <w:t>78%</w:t>
      </w:r>
      <w:r>
        <w:rPr>
          <w:rFonts w:hint="eastAsia" w:ascii="仿宋_GB2312" w:eastAsia="仿宋_GB2312"/>
          <w:color w:val="000000" w:themeColor="text1"/>
          <w:spacing w:val="-6"/>
          <w:kern w:val="0"/>
        </w:rPr>
        <w:t>左右</w:t>
      </w:r>
      <w:r>
        <w:rPr>
          <w:rFonts w:ascii="仿宋_GB2312" w:eastAsia="仿宋_GB2312"/>
          <w:color w:val="000000" w:themeColor="text1"/>
          <w:spacing w:val="-6"/>
          <w:kern w:val="0"/>
        </w:rPr>
        <w:t>。</w:t>
      </w:r>
    </w:p>
    <w:p>
      <w:pPr>
        <w:spacing w:line="580" w:lineRule="exact"/>
        <w:ind w:firstLine="643"/>
        <w:rPr>
          <w:rFonts w:ascii="仿宋_GB2312" w:eastAsia="仿宋_GB2312"/>
          <w:color w:val="000000" w:themeColor="text1"/>
          <w:kern w:val="0"/>
        </w:rPr>
      </w:pPr>
      <w:r>
        <w:rPr>
          <w:rFonts w:hint="eastAsia" w:ascii="仿宋_GB2312" w:eastAsia="仿宋_GB2312"/>
          <w:b/>
          <w:bCs/>
          <w:color w:val="000000" w:themeColor="text1"/>
          <w:kern w:val="0"/>
        </w:rPr>
        <w:t>创新驱动迸发新势能。</w:t>
      </w:r>
      <w:r>
        <w:rPr>
          <w:rFonts w:hint="eastAsia" w:ascii="仿宋_GB2312" w:eastAsia="仿宋_GB2312"/>
          <w:bCs/>
          <w:color w:val="000000" w:themeColor="text1"/>
          <w:kern w:val="0"/>
        </w:rPr>
        <w:t>基本建成赣江两岸科创大走廊，</w:t>
      </w:r>
      <w:r>
        <w:rPr>
          <w:rFonts w:hint="eastAsia" w:ascii="仿宋_GB2312" w:eastAsia="仿宋_GB2312"/>
          <w:color w:val="000000" w:themeColor="text1"/>
          <w:kern w:val="0"/>
        </w:rPr>
        <w:t>创新体系更加完善，国家重大创新平台建设取得重大突破，重点领域关键核心技术取得重大成果，建成更高水平的创新型城市。研发经费投入强度达到2.5%左右，每万人口发明专利拥有量达到18件。科技创新对经济发展驱动力明显增强，数字经济核心产业增加值占GDP比重达到8%左右。高新技术企业达到</w:t>
      </w:r>
      <w:r>
        <w:rPr>
          <w:rFonts w:ascii="仿宋_GB2312" w:eastAsia="仿宋_GB2312"/>
          <w:color w:val="000000" w:themeColor="text1"/>
          <w:kern w:val="0"/>
        </w:rPr>
        <w:t>3500</w:t>
      </w:r>
      <w:r>
        <w:rPr>
          <w:rFonts w:hint="eastAsia" w:ascii="仿宋_GB2312" w:eastAsia="仿宋_GB2312"/>
          <w:color w:val="000000" w:themeColor="text1"/>
          <w:kern w:val="0"/>
        </w:rPr>
        <w:t>家。</w:t>
      </w:r>
    </w:p>
    <w:p>
      <w:pPr>
        <w:spacing w:line="580" w:lineRule="exact"/>
        <w:ind w:firstLine="643"/>
        <w:rPr>
          <w:rFonts w:ascii="仿宋_GB2312" w:eastAsia="仿宋_GB2312"/>
          <w:color w:val="000000" w:themeColor="text1"/>
          <w:kern w:val="0"/>
        </w:rPr>
      </w:pPr>
      <w:r>
        <w:rPr>
          <w:rFonts w:hint="eastAsia" w:ascii="仿宋_GB2312" w:eastAsia="仿宋_GB2312"/>
          <w:b/>
          <w:bCs/>
          <w:color w:val="000000" w:themeColor="text1"/>
          <w:kern w:val="0"/>
        </w:rPr>
        <w:t>改革开放开创新境界。</w:t>
      </w:r>
      <w:r>
        <w:rPr>
          <w:rFonts w:hint="eastAsia" w:ascii="仿宋_GB2312" w:eastAsia="仿宋_GB2312"/>
          <w:color w:val="000000" w:themeColor="text1"/>
          <w:kern w:val="0"/>
        </w:rPr>
        <w:t>社会主义市场经济体制更加完善，要素市场化配置体制机制基本建立，市场主体活力得到充分激发，“放管服”系统化改革持续深入，政务服务水平全面提升，营商环境达到国内一流水平。大南昌都市圈引领辐射能力显著增强，基本建成内陆高水平开放高地，贸易投资自由化便利化基本实现，更高水平开放型经济新体制基本建立，服务国家开放大局的能力进一步提升，进出口总额年均增速达到5%左右，实际利用外资额突破5</w:t>
      </w:r>
      <w:r>
        <w:rPr>
          <w:rFonts w:ascii="仿宋_GB2312" w:eastAsia="仿宋_GB2312"/>
          <w:color w:val="000000" w:themeColor="text1"/>
          <w:kern w:val="0"/>
        </w:rPr>
        <w:t>3</w:t>
      </w:r>
      <w:r>
        <w:rPr>
          <w:rFonts w:hint="eastAsia" w:ascii="仿宋_GB2312" w:eastAsia="仿宋_GB2312"/>
          <w:color w:val="000000" w:themeColor="text1"/>
          <w:kern w:val="0"/>
        </w:rPr>
        <w:t>亿美元。</w:t>
      </w:r>
    </w:p>
    <w:p>
      <w:pPr>
        <w:spacing w:line="580" w:lineRule="exact"/>
        <w:ind w:firstLine="643"/>
        <w:rPr>
          <w:rFonts w:ascii="仿宋_GB2312" w:eastAsia="仿宋_GB2312"/>
          <w:color w:val="000000" w:themeColor="text1"/>
          <w:kern w:val="0"/>
        </w:rPr>
      </w:pPr>
      <w:r>
        <w:rPr>
          <w:rFonts w:hint="eastAsia" w:ascii="仿宋_GB2312" w:eastAsia="仿宋_GB2312"/>
          <w:b/>
          <w:bCs/>
          <w:color w:val="000000" w:themeColor="text1"/>
          <w:kern w:val="0"/>
        </w:rPr>
        <w:t>城市品质实现新跨越。</w:t>
      </w:r>
      <w:r>
        <w:rPr>
          <w:rFonts w:hint="eastAsia" w:ascii="仿宋_GB2312" w:eastAsia="仿宋_GB2312"/>
          <w:bCs/>
          <w:color w:val="000000" w:themeColor="text1"/>
          <w:kern w:val="0"/>
        </w:rPr>
        <w:t>城市功能不断完善，风貌颜值持续提升，公共服务日臻便利，基础设施日益健全，安全韧性稳步提高，历史文脉接替延续，生态文明深入人心，城乡区域发展协调性明显增强，可持续发展能力大幅提升，</w:t>
      </w:r>
      <w:r>
        <w:rPr>
          <w:rFonts w:hint="eastAsia" w:ascii="仿宋_GB2312" w:eastAsia="仿宋_GB2312"/>
          <w:color w:val="000000" w:themeColor="text1"/>
          <w:kern w:val="0"/>
        </w:rPr>
        <w:t>宜居、绿色、韧性、智慧、人文的新型城市基本建成。</w:t>
      </w:r>
      <w:r>
        <w:rPr>
          <w:rFonts w:hint="eastAsia" w:ascii="仿宋_GB2312" w:eastAsia="仿宋_GB2312"/>
          <w:color w:val="000000" w:themeColor="text1"/>
          <w:kern w:val="0"/>
          <w:szCs w:val="32"/>
        </w:rPr>
        <w:t>生态环境质量继续保持全国省会城市一流水平，国考地表水达到或好于</w:t>
      </w:r>
      <w:r>
        <w:rPr>
          <w:rFonts w:hint="eastAsia" w:ascii="仿宋_GB2312" w:hAnsi="仿宋_GB2312" w:eastAsia="仿宋_GB2312" w:cs="仿宋_GB2312"/>
          <w:color w:val="000000" w:themeColor="text1"/>
          <w:w w:val="90"/>
          <w:kern w:val="0"/>
          <w:szCs w:val="32"/>
        </w:rPr>
        <w:t>III</w:t>
      </w:r>
      <w:r>
        <w:rPr>
          <w:rFonts w:hint="eastAsia" w:ascii="仿宋_GB2312" w:eastAsia="仿宋_GB2312"/>
          <w:color w:val="000000" w:themeColor="text1"/>
          <w:kern w:val="0"/>
          <w:szCs w:val="32"/>
        </w:rPr>
        <w:t>类水体比例保持稳定，空气质量优良天数比例不低于</w:t>
      </w:r>
      <w:r>
        <w:rPr>
          <w:rFonts w:ascii="仿宋_GB2312" w:eastAsia="仿宋_GB2312"/>
          <w:color w:val="000000" w:themeColor="text1"/>
          <w:kern w:val="0"/>
          <w:szCs w:val="32"/>
        </w:rPr>
        <w:t>90</w:t>
      </w:r>
      <w:r>
        <w:rPr>
          <w:rFonts w:hint="eastAsia" w:ascii="仿宋_GB2312" w:eastAsia="仿宋_GB2312"/>
          <w:color w:val="000000" w:themeColor="text1"/>
          <w:kern w:val="0"/>
          <w:szCs w:val="32"/>
        </w:rPr>
        <w:t>%。森林覆盖率保持稳定，绿色发展水平走在全国前列。</w:t>
      </w:r>
    </w:p>
    <w:p>
      <w:pPr>
        <w:spacing w:line="580" w:lineRule="exact"/>
        <w:ind w:firstLine="643"/>
        <w:rPr>
          <w:rFonts w:ascii="仿宋_GB2312" w:eastAsia="仿宋_GB2312"/>
          <w:color w:val="000000" w:themeColor="text1"/>
          <w:kern w:val="0"/>
        </w:rPr>
      </w:pPr>
      <w:r>
        <w:rPr>
          <w:rFonts w:hint="eastAsia" w:ascii="仿宋_GB2312" w:eastAsia="仿宋_GB2312"/>
          <w:b/>
          <w:bCs/>
          <w:color w:val="000000" w:themeColor="text1"/>
          <w:kern w:val="0"/>
        </w:rPr>
        <w:t>社会文明达到新高度。</w:t>
      </w:r>
      <w:r>
        <w:rPr>
          <w:rFonts w:hint="eastAsia" w:ascii="仿宋_GB2312" w:eastAsia="仿宋_GB2312"/>
          <w:color w:val="000000" w:themeColor="text1"/>
          <w:kern w:val="0"/>
        </w:rPr>
        <w:t>党的创新理论成果深入人心，红色基因更好传承与弘扬，英雄城文化魅力充分彰显。文明城市常态长效，人民思想道德素质、科学文化素质和身心健康素质明显提高。公共文化服务体系和文化产业体系更加健全，人民精神文化生活日益丰富，文化魅力进一步彰显。</w:t>
      </w:r>
    </w:p>
    <w:p>
      <w:pPr>
        <w:spacing w:line="580" w:lineRule="exact"/>
        <w:ind w:firstLine="643"/>
        <w:rPr>
          <w:rFonts w:ascii="仿宋_GB2312" w:eastAsia="仿宋_GB2312"/>
          <w:color w:val="000000" w:themeColor="text1"/>
          <w:kern w:val="0"/>
        </w:rPr>
      </w:pPr>
      <w:r>
        <w:rPr>
          <w:rFonts w:hint="eastAsia" w:ascii="仿宋_GB2312" w:eastAsia="仿宋_GB2312"/>
          <w:b/>
          <w:bCs/>
          <w:color w:val="000000" w:themeColor="text1"/>
        </w:rPr>
        <w:t>民生福祉得到新提升。</w:t>
      </w:r>
      <w:r>
        <w:rPr>
          <w:rFonts w:hint="eastAsia" w:ascii="仿宋_GB2312" w:eastAsia="仿宋_GB2312"/>
          <w:color w:val="000000" w:themeColor="text1"/>
          <w:kern w:val="0"/>
        </w:rPr>
        <w:t>实现更加充分更高质量就业，居民收入与经济增长基本同步，城乡居民收入比控制在2.</w:t>
      </w:r>
      <w:r>
        <w:rPr>
          <w:rFonts w:ascii="仿宋_GB2312" w:eastAsia="仿宋_GB2312"/>
          <w:color w:val="000000" w:themeColor="text1"/>
          <w:kern w:val="0"/>
        </w:rPr>
        <w:t>2</w:t>
      </w:r>
      <w:r>
        <w:rPr>
          <w:rFonts w:hint="eastAsia" w:ascii="仿宋_GB2312" w:eastAsia="仿宋_GB2312"/>
          <w:color w:val="000000" w:themeColor="text1"/>
          <w:kern w:val="0"/>
        </w:rPr>
        <w:t>左右，城镇登记失业率控制在4.5%以内。乡村振兴战略全面推进，覆盖城乡的教育、医疗、养老等公共服务体系更加完善，基本公共服务均衡化、优质化水平显著提高。全民受教育程度明显提升，新增劳动年龄人口平均受教育年限达到</w:t>
      </w:r>
      <w:r>
        <w:rPr>
          <w:rFonts w:ascii="仿宋_GB2312" w:eastAsia="仿宋_GB2312"/>
          <w:color w:val="000000" w:themeColor="text1"/>
          <w:kern w:val="0"/>
        </w:rPr>
        <w:t>14.3</w:t>
      </w:r>
      <w:r>
        <w:rPr>
          <w:rFonts w:hint="eastAsia" w:ascii="仿宋_GB2312" w:eastAsia="仿宋_GB2312"/>
          <w:color w:val="000000" w:themeColor="text1"/>
          <w:kern w:val="0"/>
        </w:rPr>
        <w:t>年。卫生健康体系更加完善，每千人口拥有执业（助理）医师数达到3.5人，改革发展成果更多更公平地惠及全市人民。</w:t>
      </w:r>
    </w:p>
    <w:p>
      <w:pPr>
        <w:spacing w:line="580" w:lineRule="exact"/>
        <w:ind w:firstLine="618"/>
        <w:rPr>
          <w:rFonts w:eastAsia="仿宋_GB2312"/>
          <w:color w:val="000000" w:themeColor="text1"/>
          <w:spacing w:val="-6"/>
          <w:szCs w:val="34"/>
        </w:rPr>
      </w:pPr>
      <w:r>
        <w:rPr>
          <w:rFonts w:hint="eastAsia" w:ascii="仿宋_GB2312" w:eastAsia="仿宋_GB2312"/>
          <w:b/>
          <w:bCs/>
          <w:color w:val="000000" w:themeColor="text1"/>
          <w:spacing w:val="-6"/>
          <w:kern w:val="0"/>
        </w:rPr>
        <w:t>市域治理谱写新篇章。</w:t>
      </w:r>
      <w:r>
        <w:rPr>
          <w:rFonts w:hint="eastAsia" w:eastAsia="仿宋_GB2312"/>
          <w:color w:val="000000" w:themeColor="text1"/>
          <w:spacing w:val="-6"/>
          <w:szCs w:val="34"/>
        </w:rPr>
        <w:t>社会主义民主法治更加健全，社会公平正义进一步彰显。“五型”政府加快建设，政府治理体系不断完善。社会治理成效稳居全国一流，基层治理水平明显提高，平安南昌建设向更高水平、更高质量迈进。防范化解重大风险体制机制不断健全，公共卫生应急管理、自然灾害防御等关键性短板领域得到明显增强，发展安全保障更加有力。</w:t>
      </w:r>
    </w:p>
    <w:p>
      <w:pPr>
        <w:pStyle w:val="41"/>
        <w:autoSpaceDE/>
        <w:autoSpaceDN/>
        <w:spacing w:line="580" w:lineRule="exact"/>
        <w:rPr>
          <w:rFonts w:eastAsia="仿宋_GB2312"/>
          <w:color w:val="000000" w:themeColor="text1"/>
          <w:spacing w:val="-6"/>
          <w:szCs w:val="34"/>
        </w:rPr>
      </w:pPr>
    </w:p>
    <w:p>
      <w:pPr>
        <w:ind w:firstLine="640"/>
        <w:rPr>
          <w:rFonts w:ascii="黑体" w:hAnsi="黑体" w:eastAsia="黑体" w:cs="黑体"/>
          <w:bCs/>
          <w:color w:val="000000" w:themeColor="text1"/>
          <w:szCs w:val="32"/>
        </w:rPr>
      </w:pPr>
      <w:r>
        <w:rPr>
          <w:rFonts w:hint="eastAsia" w:ascii="黑体" w:hAnsi="黑体" w:eastAsia="黑体" w:cs="黑体"/>
          <w:bCs/>
          <w:color w:val="000000" w:themeColor="text1"/>
          <w:szCs w:val="32"/>
        </w:rPr>
        <w:br w:type="page"/>
      </w:r>
    </w:p>
    <w:p>
      <w:pPr>
        <w:pStyle w:val="41"/>
        <w:jc w:val="center"/>
        <w:rPr>
          <w:rFonts w:ascii="黑体" w:hAnsi="黑体" w:eastAsia="黑体" w:cs="黑体"/>
          <w:bCs/>
          <w:color w:val="000000" w:themeColor="text1"/>
          <w:spacing w:val="-6"/>
          <w:sz w:val="32"/>
          <w:szCs w:val="32"/>
        </w:rPr>
      </w:pPr>
      <w:r>
        <w:rPr>
          <w:rFonts w:hint="eastAsia" w:ascii="黑体" w:hAnsi="黑体" w:eastAsia="黑体" w:cs="黑体"/>
          <w:bCs/>
          <w:color w:val="000000" w:themeColor="text1"/>
          <w:sz w:val="32"/>
          <w:szCs w:val="32"/>
        </w:rPr>
        <w:t>表2：南昌市“十四五”规划主要指标</w:t>
      </w:r>
    </w:p>
    <w:tbl>
      <w:tblPr>
        <w:tblStyle w:val="32"/>
        <w:tblW w:w="9071" w:type="dxa"/>
        <w:jc w:val="center"/>
        <w:tblLayout w:type="fixed"/>
        <w:tblCellMar>
          <w:top w:w="0" w:type="dxa"/>
          <w:left w:w="108" w:type="dxa"/>
          <w:bottom w:w="0" w:type="dxa"/>
          <w:right w:w="108" w:type="dxa"/>
        </w:tblCellMar>
      </w:tblPr>
      <w:tblGrid>
        <w:gridCol w:w="896"/>
        <w:gridCol w:w="3758"/>
        <w:gridCol w:w="1005"/>
        <w:gridCol w:w="1305"/>
        <w:gridCol w:w="1339"/>
        <w:gridCol w:w="768"/>
      </w:tblGrid>
      <w:tr>
        <w:tblPrEx>
          <w:tblCellMar>
            <w:top w:w="0" w:type="dxa"/>
            <w:left w:w="108" w:type="dxa"/>
            <w:bottom w:w="0" w:type="dxa"/>
            <w:right w:w="108" w:type="dxa"/>
          </w:tblCellMar>
        </w:tblPrEx>
        <w:trPr>
          <w:trHeight w:val="81" w:hRule="atLeast"/>
          <w:jc w:val="center"/>
        </w:trPr>
        <w:tc>
          <w:tcPr>
            <w:tcW w:w="89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黑体" w:hAnsi="黑体" w:eastAsia="黑体" w:cs="黑体"/>
                <w:color w:val="000000" w:themeColor="text1"/>
                <w:kern w:val="0"/>
                <w:sz w:val="18"/>
                <w:szCs w:val="18"/>
              </w:rPr>
            </w:pPr>
            <w:r>
              <w:rPr>
                <w:rFonts w:hint="eastAsia" w:ascii="黑体" w:hAnsi="黑体" w:eastAsia="黑体" w:cs="黑体"/>
                <w:color w:val="000000" w:themeColor="text1"/>
                <w:kern w:val="0"/>
                <w:sz w:val="18"/>
                <w:szCs w:val="18"/>
              </w:rPr>
              <w:t>类别</w:t>
            </w: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黑体" w:hAnsi="黑体" w:eastAsia="黑体" w:cs="黑体"/>
                <w:color w:val="000000" w:themeColor="text1"/>
                <w:kern w:val="0"/>
                <w:sz w:val="18"/>
                <w:szCs w:val="18"/>
              </w:rPr>
            </w:pPr>
            <w:r>
              <w:rPr>
                <w:rFonts w:hint="eastAsia" w:ascii="黑体" w:hAnsi="黑体" w:eastAsia="黑体" w:cs="黑体"/>
                <w:color w:val="000000" w:themeColor="text1"/>
                <w:kern w:val="0"/>
                <w:sz w:val="18"/>
                <w:szCs w:val="18"/>
              </w:rPr>
              <w:t>指标名称</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黑体" w:hAnsi="黑体" w:eastAsia="黑体" w:cs="黑体"/>
                <w:color w:val="000000" w:themeColor="text1"/>
                <w:kern w:val="0"/>
                <w:sz w:val="18"/>
                <w:szCs w:val="18"/>
              </w:rPr>
            </w:pPr>
            <w:r>
              <w:rPr>
                <w:rFonts w:hint="eastAsia" w:ascii="黑体" w:hAnsi="黑体" w:eastAsia="黑体" w:cs="黑体"/>
                <w:color w:val="000000" w:themeColor="text1"/>
                <w:kern w:val="0"/>
                <w:sz w:val="18"/>
                <w:szCs w:val="18"/>
              </w:rPr>
              <w:t>2020年</w:t>
            </w:r>
          </w:p>
          <w:p>
            <w:pPr>
              <w:widowControl/>
              <w:snapToGrid w:val="0"/>
              <w:spacing w:line="240" w:lineRule="atLeast"/>
              <w:ind w:firstLine="0" w:firstLineChars="0"/>
              <w:jc w:val="center"/>
              <w:rPr>
                <w:rFonts w:ascii="黑体" w:hAnsi="黑体" w:eastAsia="黑体" w:cs="黑体"/>
                <w:color w:val="000000" w:themeColor="text1"/>
                <w:kern w:val="0"/>
                <w:sz w:val="18"/>
                <w:szCs w:val="18"/>
              </w:rPr>
            </w:pPr>
            <w:r>
              <w:rPr>
                <w:rFonts w:hint="eastAsia" w:ascii="黑体" w:hAnsi="黑体" w:eastAsia="黑体" w:cs="黑体"/>
                <w:color w:val="000000" w:themeColor="text1"/>
                <w:kern w:val="0"/>
                <w:sz w:val="18"/>
                <w:szCs w:val="18"/>
              </w:rPr>
              <w:t>基期值</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黑体" w:hAnsi="黑体" w:eastAsia="黑体" w:cs="黑体"/>
                <w:color w:val="000000" w:themeColor="text1"/>
                <w:kern w:val="0"/>
                <w:sz w:val="18"/>
                <w:szCs w:val="18"/>
              </w:rPr>
            </w:pPr>
            <w:r>
              <w:rPr>
                <w:rFonts w:hint="eastAsia" w:ascii="黑体" w:hAnsi="黑体" w:eastAsia="黑体" w:cs="黑体"/>
                <w:color w:val="000000" w:themeColor="text1"/>
                <w:kern w:val="0"/>
                <w:sz w:val="18"/>
                <w:szCs w:val="18"/>
              </w:rPr>
              <w:t>2025年</w:t>
            </w:r>
          </w:p>
          <w:p>
            <w:pPr>
              <w:widowControl/>
              <w:snapToGrid w:val="0"/>
              <w:spacing w:line="240" w:lineRule="atLeast"/>
              <w:ind w:firstLine="0" w:firstLineChars="0"/>
              <w:jc w:val="center"/>
              <w:rPr>
                <w:rFonts w:ascii="黑体" w:hAnsi="黑体" w:eastAsia="黑体" w:cs="黑体"/>
                <w:color w:val="000000" w:themeColor="text1"/>
                <w:kern w:val="0"/>
                <w:sz w:val="18"/>
                <w:szCs w:val="18"/>
              </w:rPr>
            </w:pPr>
            <w:r>
              <w:rPr>
                <w:rFonts w:hint="eastAsia" w:ascii="黑体" w:hAnsi="黑体" w:eastAsia="黑体" w:cs="黑体"/>
                <w:color w:val="000000" w:themeColor="text1"/>
                <w:kern w:val="0"/>
                <w:sz w:val="18"/>
                <w:szCs w:val="18"/>
              </w:rPr>
              <w:t>目标值</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黑体" w:hAnsi="黑体" w:eastAsia="黑体" w:cs="黑体"/>
                <w:color w:val="000000" w:themeColor="text1"/>
                <w:kern w:val="0"/>
                <w:sz w:val="18"/>
                <w:szCs w:val="18"/>
              </w:rPr>
            </w:pPr>
            <w:r>
              <w:rPr>
                <w:rFonts w:hint="eastAsia" w:ascii="黑体" w:hAnsi="黑体" w:eastAsia="黑体" w:cs="黑体"/>
                <w:color w:val="000000" w:themeColor="text1"/>
                <w:kern w:val="0"/>
                <w:sz w:val="18"/>
                <w:szCs w:val="18"/>
              </w:rPr>
              <w:t>年均或</w:t>
            </w:r>
          </w:p>
          <w:p>
            <w:pPr>
              <w:widowControl/>
              <w:snapToGrid w:val="0"/>
              <w:spacing w:line="240" w:lineRule="atLeast"/>
              <w:ind w:firstLine="0" w:firstLineChars="0"/>
              <w:jc w:val="center"/>
              <w:rPr>
                <w:rFonts w:ascii="黑体" w:hAnsi="黑体" w:eastAsia="黑体" w:cs="黑体"/>
                <w:color w:val="000000" w:themeColor="text1"/>
                <w:kern w:val="0"/>
                <w:sz w:val="18"/>
                <w:szCs w:val="18"/>
              </w:rPr>
            </w:pPr>
            <w:r>
              <w:rPr>
                <w:rFonts w:hint="eastAsia" w:ascii="黑体" w:hAnsi="黑体" w:eastAsia="黑体" w:cs="黑体"/>
                <w:color w:val="000000" w:themeColor="text1"/>
                <w:kern w:val="0"/>
                <w:sz w:val="18"/>
                <w:szCs w:val="18"/>
              </w:rPr>
              <w:t>累计增长</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黑体" w:hAnsi="黑体" w:eastAsia="黑体" w:cs="黑体"/>
                <w:color w:val="000000" w:themeColor="text1"/>
                <w:kern w:val="0"/>
                <w:sz w:val="18"/>
                <w:szCs w:val="18"/>
              </w:rPr>
            </w:pPr>
            <w:r>
              <w:rPr>
                <w:rFonts w:hint="eastAsia" w:ascii="黑体" w:hAnsi="黑体" w:eastAsia="黑体" w:cs="黑体"/>
                <w:color w:val="000000" w:themeColor="text1"/>
                <w:kern w:val="0"/>
                <w:sz w:val="18"/>
                <w:szCs w:val="18"/>
              </w:rPr>
              <w:t>属 性</w:t>
            </w:r>
          </w:p>
        </w:tc>
      </w:tr>
      <w:tr>
        <w:tblPrEx>
          <w:tblCellMar>
            <w:top w:w="0" w:type="dxa"/>
            <w:left w:w="108" w:type="dxa"/>
            <w:bottom w:w="0" w:type="dxa"/>
            <w:right w:w="108" w:type="dxa"/>
          </w:tblCellMar>
        </w:tblPrEx>
        <w:trPr>
          <w:trHeight w:val="369" w:hRule="exact"/>
          <w:jc w:val="center"/>
        </w:trPr>
        <w:tc>
          <w:tcPr>
            <w:tcW w:w="896"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b/>
                <w:color w:val="000000" w:themeColor="text1"/>
                <w:kern w:val="0"/>
                <w:sz w:val="18"/>
                <w:szCs w:val="18"/>
              </w:rPr>
            </w:pPr>
            <w:r>
              <w:rPr>
                <w:rFonts w:hint="eastAsia" w:ascii="仿宋_GB2312" w:hAnsi="仿宋_GB2312" w:eastAsia="仿宋_GB2312" w:cs="仿宋_GB2312"/>
                <w:b/>
                <w:color w:val="000000" w:themeColor="text1"/>
                <w:kern w:val="0"/>
                <w:sz w:val="18"/>
                <w:szCs w:val="18"/>
              </w:rPr>
              <w:t>综合</w:t>
            </w:r>
          </w:p>
          <w:p>
            <w:pPr>
              <w:widowControl/>
              <w:snapToGrid w:val="0"/>
              <w:spacing w:line="240" w:lineRule="atLeast"/>
              <w:ind w:firstLine="0" w:firstLineChars="0"/>
              <w:jc w:val="center"/>
              <w:rPr>
                <w:rFonts w:ascii="仿宋_GB2312" w:hAnsi="仿宋_GB2312" w:eastAsia="仿宋_GB2312" w:cs="仿宋_GB2312"/>
                <w:b/>
                <w:color w:val="000000" w:themeColor="text1"/>
                <w:kern w:val="0"/>
                <w:sz w:val="18"/>
                <w:szCs w:val="18"/>
              </w:rPr>
            </w:pPr>
            <w:r>
              <w:rPr>
                <w:rFonts w:hint="eastAsia" w:ascii="仿宋_GB2312" w:hAnsi="仿宋_GB2312" w:eastAsia="仿宋_GB2312" w:cs="仿宋_GB2312"/>
                <w:b/>
                <w:color w:val="000000" w:themeColor="text1"/>
                <w:kern w:val="0"/>
                <w:sz w:val="18"/>
                <w:szCs w:val="18"/>
              </w:rPr>
              <w:t>质效</w:t>
            </w: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地区生产总值（亿元）</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5745.51</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8200</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7.5左右</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CellMar>
            <w:top w:w="0" w:type="dxa"/>
            <w:left w:w="108" w:type="dxa"/>
            <w:bottom w:w="0" w:type="dxa"/>
            <w:right w:w="108" w:type="dxa"/>
          </w:tblCellMar>
        </w:tblPrEx>
        <w:trPr>
          <w:trHeight w:val="369"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全员劳动生产率（万元/人）</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17.5</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23.3</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5.8左右</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CellMar>
            <w:top w:w="0" w:type="dxa"/>
            <w:left w:w="108" w:type="dxa"/>
            <w:bottom w:w="0" w:type="dxa"/>
            <w:right w:w="108" w:type="dxa"/>
          </w:tblCellMar>
        </w:tblPrEx>
        <w:trPr>
          <w:trHeight w:val="369"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规模以上工业增加值增速（%）</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[8.3]</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7.5左右</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CellMar>
            <w:top w:w="0" w:type="dxa"/>
            <w:left w:w="108" w:type="dxa"/>
            <w:bottom w:w="0" w:type="dxa"/>
            <w:right w:w="108" w:type="dxa"/>
          </w:tblCellMar>
        </w:tblPrEx>
        <w:trPr>
          <w:trHeight w:val="369"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固定资产投资增速（%）</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[11.2]</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8左右</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CellMar>
            <w:top w:w="0" w:type="dxa"/>
            <w:left w:w="108" w:type="dxa"/>
            <w:bottom w:w="0" w:type="dxa"/>
            <w:right w:w="108" w:type="dxa"/>
          </w:tblCellMar>
        </w:tblPrEx>
        <w:trPr>
          <w:trHeight w:val="369"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社会消费品零售总额（亿元）</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2452.74</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3600</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8左右</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CellMar>
            <w:top w:w="0" w:type="dxa"/>
            <w:left w:w="108" w:type="dxa"/>
            <w:bottom w:w="0" w:type="dxa"/>
            <w:right w:w="108" w:type="dxa"/>
          </w:tblCellMar>
        </w:tblPrEx>
        <w:trPr>
          <w:trHeight w:val="369"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粮食综合生产能力（亿斤）</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42</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42</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保持稳定</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CellMar>
            <w:top w:w="0" w:type="dxa"/>
            <w:left w:w="108" w:type="dxa"/>
            <w:bottom w:w="0" w:type="dxa"/>
            <w:right w:w="108" w:type="dxa"/>
          </w:tblCellMar>
        </w:tblPrEx>
        <w:trPr>
          <w:trHeight w:val="369"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文化产业增加值占GDP比重（%）</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CellMar>
            <w:top w:w="0" w:type="dxa"/>
            <w:left w:w="108" w:type="dxa"/>
            <w:bottom w:w="0" w:type="dxa"/>
            <w:right w:w="108" w:type="dxa"/>
          </w:tblCellMar>
        </w:tblPrEx>
        <w:trPr>
          <w:trHeight w:val="369" w:hRule="exact"/>
          <w:jc w:val="center"/>
        </w:trPr>
        <w:tc>
          <w:tcPr>
            <w:tcW w:w="896"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b/>
                <w:color w:val="000000" w:themeColor="text1"/>
                <w:kern w:val="0"/>
                <w:sz w:val="18"/>
                <w:szCs w:val="18"/>
              </w:rPr>
            </w:pPr>
            <w:r>
              <w:rPr>
                <w:rFonts w:hint="eastAsia" w:ascii="仿宋_GB2312" w:hAnsi="仿宋_GB2312" w:eastAsia="仿宋_GB2312" w:cs="仿宋_GB2312"/>
                <w:b/>
                <w:color w:val="000000" w:themeColor="text1"/>
                <w:kern w:val="0"/>
                <w:sz w:val="18"/>
                <w:szCs w:val="18"/>
              </w:rPr>
              <w:t>创新</w:t>
            </w:r>
          </w:p>
          <w:p>
            <w:pPr>
              <w:widowControl/>
              <w:snapToGrid w:val="0"/>
              <w:spacing w:line="240" w:lineRule="atLeast"/>
              <w:ind w:firstLine="0" w:firstLineChars="0"/>
              <w:jc w:val="center"/>
              <w:rPr>
                <w:rFonts w:ascii="仿宋_GB2312" w:hAnsi="仿宋_GB2312" w:eastAsia="仿宋_GB2312" w:cs="仿宋_GB2312"/>
                <w:b/>
                <w:color w:val="000000" w:themeColor="text1"/>
                <w:kern w:val="0"/>
                <w:sz w:val="18"/>
                <w:szCs w:val="18"/>
              </w:rPr>
            </w:pPr>
            <w:r>
              <w:rPr>
                <w:rFonts w:hint="eastAsia" w:ascii="仿宋_GB2312" w:hAnsi="仿宋_GB2312" w:eastAsia="仿宋_GB2312" w:cs="仿宋_GB2312"/>
                <w:b/>
                <w:color w:val="000000" w:themeColor="text1"/>
                <w:kern w:val="0"/>
                <w:sz w:val="18"/>
                <w:szCs w:val="18"/>
              </w:rPr>
              <w:t>驱动</w:t>
            </w: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研发支出占地区生产总值比重（%）</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1.95</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2.5左右</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[0.55]</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CellMar>
            <w:top w:w="0" w:type="dxa"/>
            <w:left w:w="108" w:type="dxa"/>
            <w:bottom w:w="0" w:type="dxa"/>
            <w:right w:w="108" w:type="dxa"/>
          </w:tblCellMar>
        </w:tblPrEx>
        <w:trPr>
          <w:trHeight w:val="369"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数字经济核心产业增加值占GDP比重（%）</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8左右</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CellMar>
            <w:top w:w="0" w:type="dxa"/>
            <w:left w:w="108" w:type="dxa"/>
            <w:bottom w:w="0" w:type="dxa"/>
            <w:right w:w="108" w:type="dxa"/>
          </w:tblCellMar>
        </w:tblPrEx>
        <w:trPr>
          <w:trHeight w:val="369"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每万人口发明专利拥有量（件）</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12.3</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18</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[5.7]</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CellMar>
            <w:top w:w="0" w:type="dxa"/>
            <w:left w:w="108" w:type="dxa"/>
            <w:bottom w:w="0" w:type="dxa"/>
            <w:right w:w="108" w:type="dxa"/>
          </w:tblCellMar>
        </w:tblPrEx>
        <w:trPr>
          <w:trHeight w:val="369" w:hRule="exact"/>
          <w:jc w:val="center"/>
        </w:trPr>
        <w:tc>
          <w:tcPr>
            <w:tcW w:w="896"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b/>
                <w:color w:val="000000" w:themeColor="text1"/>
                <w:kern w:val="0"/>
                <w:sz w:val="18"/>
                <w:szCs w:val="18"/>
              </w:rPr>
            </w:pPr>
            <w:r>
              <w:rPr>
                <w:rFonts w:hint="eastAsia" w:ascii="仿宋_GB2312" w:hAnsi="仿宋_GB2312" w:eastAsia="仿宋_GB2312" w:cs="仿宋_GB2312"/>
                <w:b/>
                <w:color w:val="000000" w:themeColor="text1"/>
                <w:kern w:val="0"/>
                <w:sz w:val="18"/>
                <w:szCs w:val="18"/>
              </w:rPr>
              <w:t>协调</w:t>
            </w:r>
          </w:p>
          <w:p>
            <w:pPr>
              <w:widowControl/>
              <w:snapToGrid w:val="0"/>
              <w:spacing w:line="240" w:lineRule="atLeast"/>
              <w:ind w:firstLine="0" w:firstLineChars="0"/>
              <w:jc w:val="center"/>
              <w:rPr>
                <w:rFonts w:ascii="仿宋_GB2312" w:hAnsi="仿宋_GB2312" w:eastAsia="仿宋_GB2312" w:cs="仿宋_GB2312"/>
                <w:b/>
                <w:color w:val="000000" w:themeColor="text1"/>
                <w:kern w:val="0"/>
                <w:sz w:val="18"/>
                <w:szCs w:val="18"/>
              </w:rPr>
            </w:pPr>
            <w:r>
              <w:rPr>
                <w:rFonts w:hint="eastAsia" w:ascii="仿宋_GB2312" w:hAnsi="仿宋_GB2312" w:eastAsia="仿宋_GB2312" w:cs="仿宋_GB2312"/>
                <w:b/>
                <w:color w:val="000000" w:themeColor="text1"/>
                <w:kern w:val="0"/>
                <w:sz w:val="18"/>
                <w:szCs w:val="18"/>
              </w:rPr>
              <w:t>发展</w:t>
            </w: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城乡居民人均可支配收入比</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2.24</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2.2左右</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CellMar>
            <w:top w:w="0" w:type="dxa"/>
            <w:left w:w="108" w:type="dxa"/>
            <w:bottom w:w="0" w:type="dxa"/>
            <w:right w:w="108" w:type="dxa"/>
          </w:tblCellMar>
        </w:tblPrEx>
        <w:trPr>
          <w:trHeight w:val="369"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b/>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常住人口城镇化率（%）</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76</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78左右</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CellMar>
            <w:top w:w="0" w:type="dxa"/>
            <w:left w:w="108" w:type="dxa"/>
            <w:bottom w:w="0" w:type="dxa"/>
            <w:right w:w="108" w:type="dxa"/>
          </w:tblCellMar>
        </w:tblPrEx>
        <w:trPr>
          <w:trHeight w:val="369"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b/>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服务业增加值占GDP比重（%）</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49.3</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53左右</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[3.7]</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CellMar>
            <w:top w:w="0" w:type="dxa"/>
            <w:left w:w="108" w:type="dxa"/>
            <w:bottom w:w="0" w:type="dxa"/>
            <w:right w:w="108" w:type="dxa"/>
          </w:tblCellMar>
        </w:tblPrEx>
        <w:trPr>
          <w:trHeight w:val="369" w:hRule="exact"/>
          <w:jc w:val="center"/>
        </w:trPr>
        <w:tc>
          <w:tcPr>
            <w:tcW w:w="896"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b/>
                <w:color w:val="000000" w:themeColor="text1"/>
                <w:kern w:val="0"/>
                <w:sz w:val="18"/>
                <w:szCs w:val="18"/>
              </w:rPr>
            </w:pPr>
            <w:r>
              <w:rPr>
                <w:rFonts w:hint="eastAsia" w:ascii="仿宋_GB2312" w:hAnsi="仿宋_GB2312" w:eastAsia="仿宋_GB2312" w:cs="仿宋_GB2312"/>
                <w:b/>
                <w:color w:val="000000" w:themeColor="text1"/>
                <w:kern w:val="0"/>
                <w:sz w:val="18"/>
                <w:szCs w:val="18"/>
              </w:rPr>
              <w:t>改革</w:t>
            </w:r>
          </w:p>
          <w:p>
            <w:pPr>
              <w:widowControl/>
              <w:snapToGrid w:val="0"/>
              <w:spacing w:line="240" w:lineRule="atLeast"/>
              <w:ind w:firstLine="0" w:firstLineChars="0"/>
              <w:jc w:val="center"/>
              <w:rPr>
                <w:rFonts w:ascii="仿宋_GB2312" w:hAnsi="仿宋_GB2312" w:eastAsia="仿宋_GB2312" w:cs="仿宋_GB2312"/>
                <w:b/>
                <w:color w:val="000000" w:themeColor="text1"/>
                <w:kern w:val="0"/>
                <w:sz w:val="18"/>
                <w:szCs w:val="18"/>
              </w:rPr>
            </w:pPr>
            <w:r>
              <w:rPr>
                <w:rFonts w:hint="eastAsia" w:ascii="仿宋_GB2312" w:hAnsi="仿宋_GB2312" w:eastAsia="仿宋_GB2312" w:cs="仿宋_GB2312"/>
                <w:b/>
                <w:color w:val="000000" w:themeColor="text1"/>
                <w:kern w:val="0"/>
                <w:sz w:val="18"/>
                <w:szCs w:val="18"/>
              </w:rPr>
              <w:t>开放</w:t>
            </w: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进出口总额（亿元）</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1100</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1400</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5左右</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CellMar>
            <w:top w:w="0" w:type="dxa"/>
            <w:left w:w="108" w:type="dxa"/>
            <w:bottom w:w="0" w:type="dxa"/>
            <w:right w:w="108" w:type="dxa"/>
          </w:tblCellMar>
        </w:tblPrEx>
        <w:trPr>
          <w:trHeight w:val="369"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b/>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实际利用外资额（亿美元）</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40.6</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53</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6左右</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CellMar>
            <w:top w:w="0" w:type="dxa"/>
            <w:left w:w="108" w:type="dxa"/>
            <w:bottom w:w="0" w:type="dxa"/>
            <w:right w:w="108" w:type="dxa"/>
          </w:tblCellMar>
        </w:tblPrEx>
        <w:trPr>
          <w:trHeight w:val="369"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b/>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营商环境便利度</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全省领先</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CellMar>
            <w:top w:w="0" w:type="dxa"/>
            <w:left w:w="108" w:type="dxa"/>
            <w:bottom w:w="0" w:type="dxa"/>
            <w:right w:w="108" w:type="dxa"/>
          </w:tblCellMar>
        </w:tblPrEx>
        <w:trPr>
          <w:trHeight w:val="369" w:hRule="exact"/>
          <w:jc w:val="center"/>
        </w:trPr>
        <w:tc>
          <w:tcPr>
            <w:tcW w:w="896"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b/>
                <w:color w:val="000000" w:themeColor="text1"/>
                <w:kern w:val="0"/>
                <w:sz w:val="18"/>
                <w:szCs w:val="18"/>
              </w:rPr>
            </w:pPr>
            <w:r>
              <w:rPr>
                <w:rFonts w:hint="eastAsia" w:ascii="仿宋_GB2312" w:hAnsi="仿宋_GB2312" w:eastAsia="仿宋_GB2312" w:cs="仿宋_GB2312"/>
                <w:b/>
                <w:color w:val="000000" w:themeColor="text1"/>
                <w:kern w:val="0"/>
                <w:sz w:val="18"/>
                <w:szCs w:val="18"/>
              </w:rPr>
              <w:t>生态</w:t>
            </w:r>
          </w:p>
          <w:p>
            <w:pPr>
              <w:widowControl/>
              <w:snapToGrid w:val="0"/>
              <w:spacing w:line="240" w:lineRule="atLeast"/>
              <w:ind w:firstLine="0" w:firstLineChars="0"/>
              <w:jc w:val="center"/>
              <w:rPr>
                <w:rFonts w:ascii="仿宋_GB2312" w:hAnsi="仿宋_GB2312" w:eastAsia="仿宋_GB2312" w:cs="仿宋_GB2312"/>
                <w:b/>
                <w:color w:val="000000" w:themeColor="text1"/>
                <w:kern w:val="0"/>
                <w:sz w:val="18"/>
                <w:szCs w:val="18"/>
              </w:rPr>
            </w:pPr>
            <w:r>
              <w:rPr>
                <w:rFonts w:hint="eastAsia" w:ascii="仿宋_GB2312" w:hAnsi="仿宋_GB2312" w:eastAsia="仿宋_GB2312" w:cs="仿宋_GB2312"/>
                <w:b/>
                <w:color w:val="000000" w:themeColor="text1"/>
                <w:kern w:val="0"/>
                <w:sz w:val="18"/>
                <w:szCs w:val="18"/>
              </w:rPr>
              <w:t>文明</w:t>
            </w: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单位GDP能源消耗降幅（%）</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[20.3]</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省下达目标</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CellMar>
            <w:top w:w="0" w:type="dxa"/>
            <w:left w:w="108" w:type="dxa"/>
            <w:bottom w:w="0" w:type="dxa"/>
            <w:right w:w="108" w:type="dxa"/>
          </w:tblCellMar>
        </w:tblPrEx>
        <w:trPr>
          <w:trHeight w:val="340"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单位GDP二氧化碳排放降幅（%）</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[25]</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省下达目标</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CellMar>
            <w:top w:w="0" w:type="dxa"/>
            <w:left w:w="108" w:type="dxa"/>
            <w:bottom w:w="0" w:type="dxa"/>
            <w:right w:w="108" w:type="dxa"/>
          </w:tblCellMar>
        </w:tblPrEx>
        <w:trPr>
          <w:trHeight w:val="340"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单位GDP建设用地降幅（%）</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[20]</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省下达目标</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CellMar>
            <w:top w:w="0" w:type="dxa"/>
            <w:left w:w="108" w:type="dxa"/>
            <w:bottom w:w="0" w:type="dxa"/>
            <w:right w:w="108" w:type="dxa"/>
          </w:tblCellMar>
        </w:tblPrEx>
        <w:trPr>
          <w:trHeight w:val="340"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单位GDP用水量降幅（%）</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[28.1]</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省下达目标</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CellMar>
            <w:top w:w="0" w:type="dxa"/>
            <w:left w:w="108" w:type="dxa"/>
            <w:bottom w:w="0" w:type="dxa"/>
            <w:right w:w="108" w:type="dxa"/>
          </w:tblCellMar>
        </w:tblPrEx>
        <w:trPr>
          <w:trHeight w:val="340"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耕地保有量（万公顷）</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25.89</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省下达目标</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CellMar>
            <w:top w:w="0" w:type="dxa"/>
            <w:left w:w="108" w:type="dxa"/>
            <w:bottom w:w="0" w:type="dxa"/>
            <w:right w:w="108" w:type="dxa"/>
          </w:tblCellMar>
        </w:tblPrEx>
        <w:trPr>
          <w:trHeight w:val="340"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森林覆盖率（%）</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21.27</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保持稳定</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CellMar>
            <w:top w:w="0" w:type="dxa"/>
            <w:left w:w="108" w:type="dxa"/>
            <w:bottom w:w="0" w:type="dxa"/>
            <w:right w:w="108" w:type="dxa"/>
          </w:tblCellMar>
        </w:tblPrEx>
        <w:trPr>
          <w:trHeight w:val="340"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空气质量优良天数比例（%）</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91.5</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不低于90</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CellMar>
            <w:top w:w="0" w:type="dxa"/>
            <w:left w:w="108" w:type="dxa"/>
            <w:bottom w:w="0" w:type="dxa"/>
            <w:right w:w="108" w:type="dxa"/>
          </w:tblCellMar>
        </w:tblPrEx>
        <w:trPr>
          <w:trHeight w:val="340"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国考地表水达到或好于Ⅲ类水体比例（%）</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88.9</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省下达目标</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CellMar>
            <w:top w:w="0" w:type="dxa"/>
            <w:left w:w="108" w:type="dxa"/>
            <w:bottom w:w="0" w:type="dxa"/>
            <w:right w:w="108" w:type="dxa"/>
          </w:tblCellMar>
        </w:tblPrEx>
        <w:trPr>
          <w:trHeight w:val="455" w:hRule="exact"/>
          <w:jc w:val="center"/>
        </w:trPr>
        <w:tc>
          <w:tcPr>
            <w:tcW w:w="896"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b/>
                <w:color w:val="000000" w:themeColor="text1"/>
                <w:kern w:val="0"/>
                <w:sz w:val="18"/>
                <w:szCs w:val="18"/>
              </w:rPr>
            </w:pPr>
            <w:r>
              <w:rPr>
                <w:rFonts w:hint="eastAsia" w:ascii="仿宋_GB2312" w:hAnsi="仿宋_GB2312" w:eastAsia="仿宋_GB2312" w:cs="仿宋_GB2312"/>
                <w:b/>
                <w:color w:val="000000" w:themeColor="text1"/>
                <w:kern w:val="0"/>
                <w:sz w:val="18"/>
                <w:szCs w:val="18"/>
              </w:rPr>
              <w:t>民生</w:t>
            </w:r>
          </w:p>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b/>
                <w:color w:val="000000" w:themeColor="text1"/>
                <w:kern w:val="0"/>
                <w:sz w:val="18"/>
                <w:szCs w:val="18"/>
              </w:rPr>
              <w:t>福祉</w:t>
            </w: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居民人均可支配收入（元）</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39121</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52300</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00" w:lineRule="exac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与经济增长基本同步</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CellMar>
            <w:top w:w="0" w:type="dxa"/>
            <w:left w:w="108" w:type="dxa"/>
            <w:bottom w:w="0" w:type="dxa"/>
            <w:right w:w="108" w:type="dxa"/>
          </w:tblCellMar>
        </w:tblPrEx>
        <w:trPr>
          <w:trHeight w:val="369"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360"/>
              <w:jc w:val="center"/>
              <w:rPr>
                <w:rFonts w:ascii="仿宋_GB2312" w:hAnsi="仿宋_GB2312" w:eastAsia="仿宋_GB2312" w:cs="仿宋_GB2312"/>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城镇登记失业率（%）</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2.93</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4.5以内</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CellMar>
            <w:top w:w="0" w:type="dxa"/>
            <w:left w:w="108" w:type="dxa"/>
            <w:bottom w:w="0" w:type="dxa"/>
            <w:right w:w="108" w:type="dxa"/>
          </w:tblCellMar>
        </w:tblPrEx>
        <w:trPr>
          <w:trHeight w:val="369"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360"/>
              <w:jc w:val="center"/>
              <w:rPr>
                <w:rFonts w:ascii="仿宋_GB2312" w:hAnsi="仿宋_GB2312" w:eastAsia="仿宋_GB2312" w:cs="仿宋_GB2312"/>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新增劳动年龄人口平均受教育年限（年）</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14.05</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14.3</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[0.25]</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CellMar>
            <w:top w:w="0" w:type="dxa"/>
            <w:left w:w="108" w:type="dxa"/>
            <w:bottom w:w="0" w:type="dxa"/>
            <w:right w:w="108" w:type="dxa"/>
          </w:tblCellMar>
        </w:tblPrEx>
        <w:trPr>
          <w:trHeight w:val="369"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360"/>
              <w:jc w:val="center"/>
              <w:rPr>
                <w:rFonts w:ascii="仿宋_GB2312" w:hAnsi="仿宋_GB2312" w:eastAsia="仿宋_GB2312" w:cs="仿宋_GB2312"/>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每千人口拥有执业（助理）医师数（人）</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3.5</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[0.5]</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CellMar>
            <w:top w:w="0" w:type="dxa"/>
            <w:left w:w="108" w:type="dxa"/>
            <w:bottom w:w="0" w:type="dxa"/>
            <w:right w:w="108" w:type="dxa"/>
          </w:tblCellMar>
        </w:tblPrEx>
        <w:trPr>
          <w:trHeight w:val="369"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360"/>
              <w:jc w:val="center"/>
              <w:rPr>
                <w:rFonts w:ascii="仿宋_GB2312" w:hAnsi="仿宋_GB2312" w:eastAsia="仿宋_GB2312" w:cs="仿宋_GB2312"/>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基本养老保险参保率（%）</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95</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95.5</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[0.5]</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CellMar>
            <w:top w:w="0" w:type="dxa"/>
            <w:left w:w="108" w:type="dxa"/>
            <w:bottom w:w="0" w:type="dxa"/>
            <w:right w:w="108" w:type="dxa"/>
          </w:tblCellMar>
        </w:tblPrEx>
        <w:trPr>
          <w:trHeight w:val="369"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360"/>
              <w:jc w:val="center"/>
              <w:rPr>
                <w:rFonts w:ascii="仿宋_GB2312" w:hAnsi="仿宋_GB2312" w:eastAsia="仿宋_GB2312" w:cs="仿宋_GB2312"/>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每千人口拥有0-3岁婴幼儿托位数（个）</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4</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[2]</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预期性</w:t>
            </w:r>
          </w:p>
        </w:tc>
      </w:tr>
      <w:tr>
        <w:tblPrEx>
          <w:tblCellMar>
            <w:top w:w="0" w:type="dxa"/>
            <w:left w:w="108" w:type="dxa"/>
            <w:bottom w:w="0" w:type="dxa"/>
            <w:right w:w="108" w:type="dxa"/>
          </w:tblCellMar>
        </w:tblPrEx>
        <w:trPr>
          <w:trHeight w:val="369" w:hRule="exac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p>
        </w:tc>
        <w:tc>
          <w:tcPr>
            <w:tcW w:w="3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亿元GDP安全生产死亡事故率（%）</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0.038</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0.027</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w:t>
            </w:r>
          </w:p>
        </w:tc>
        <w:tc>
          <w:tcPr>
            <w:tcW w:w="76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约束性</w:t>
            </w:r>
          </w:p>
        </w:tc>
      </w:tr>
      <w:tr>
        <w:tblPrEx>
          <w:tblCellMar>
            <w:top w:w="0" w:type="dxa"/>
            <w:left w:w="108" w:type="dxa"/>
            <w:bottom w:w="0" w:type="dxa"/>
            <w:right w:w="108" w:type="dxa"/>
          </w:tblCellMar>
        </w:tblPrEx>
        <w:trPr>
          <w:trHeight w:val="81" w:hRule="atLeast"/>
          <w:jc w:val="center"/>
        </w:trPr>
        <w:tc>
          <w:tcPr>
            <w:tcW w:w="9071" w:type="dxa"/>
            <w:gridSpan w:val="6"/>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注：1.2020年基期值均为预计数；</w:t>
            </w:r>
          </w:p>
          <w:p>
            <w:pPr>
              <w:widowControl/>
              <w:snapToGrid w:val="0"/>
              <w:spacing w:line="240" w:lineRule="atLeast"/>
              <w:ind w:firstLine="0" w:firstLineChars="0"/>
              <w:jc w:val="center"/>
              <w:rPr>
                <w:rFonts w:ascii="仿宋_GB2312" w:hAns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kern w:val="0"/>
                <w:sz w:val="18"/>
                <w:szCs w:val="18"/>
              </w:rPr>
              <w:t xml:space="preserve">    2.［ ］为五年累计提高或下降数，其中规模以上工业增加值增速、固定资产投资增速为“十三五”平均增速。</w:t>
            </w:r>
          </w:p>
        </w:tc>
      </w:tr>
    </w:tbl>
    <w:p>
      <w:pPr>
        <w:pStyle w:val="23"/>
        <w:snapToGrid/>
        <w:spacing w:line="580" w:lineRule="exact"/>
        <w:rPr>
          <w:b w:val="0"/>
          <w:bCs/>
          <w:color w:val="000000" w:themeColor="text1"/>
        </w:rPr>
      </w:pPr>
      <w:bookmarkStart w:id="51" w:name="_Toc17243"/>
      <w:bookmarkStart w:id="52" w:name="_Toc18587"/>
      <w:bookmarkStart w:id="53" w:name="_Toc64542095"/>
    </w:p>
    <w:p>
      <w:pPr>
        <w:pStyle w:val="23"/>
        <w:snapToGrid/>
        <w:spacing w:line="580" w:lineRule="exact"/>
        <w:rPr>
          <w:b w:val="0"/>
          <w:bCs/>
          <w:color w:val="000000" w:themeColor="text1"/>
        </w:rPr>
      </w:pPr>
      <w:r>
        <w:rPr>
          <w:rFonts w:hint="eastAsia"/>
          <w:b w:val="0"/>
          <w:bCs/>
          <w:color w:val="000000" w:themeColor="text1"/>
        </w:rPr>
        <w:t>第五章  战略布局</w:t>
      </w:r>
      <w:bookmarkEnd w:id="49"/>
      <w:bookmarkEnd w:id="50"/>
      <w:bookmarkEnd w:id="51"/>
      <w:bookmarkEnd w:id="52"/>
      <w:bookmarkEnd w:id="53"/>
    </w:p>
    <w:p>
      <w:pPr>
        <w:pStyle w:val="74"/>
        <w:snapToGrid/>
        <w:spacing w:line="580" w:lineRule="exact"/>
        <w:rPr>
          <w:rFonts w:ascii="楷体_GB2312" w:eastAsia="楷体_GB2312"/>
          <w:color w:val="000000" w:themeColor="text1"/>
        </w:rPr>
      </w:pPr>
      <w:bookmarkStart w:id="54" w:name="_Toc57194173"/>
      <w:bookmarkStart w:id="55" w:name="_Toc18281"/>
      <w:bookmarkStart w:id="56" w:name="_Toc2776"/>
      <w:bookmarkStart w:id="57" w:name="_Toc57195634"/>
      <w:bookmarkStart w:id="58" w:name="_Toc64542096"/>
      <w:r>
        <w:rPr>
          <w:rFonts w:hint="eastAsia" w:ascii="楷体_GB2312" w:eastAsia="楷体_GB2312"/>
          <w:color w:val="000000" w:themeColor="text1"/>
        </w:rPr>
        <w:t>第一节  产业布局</w:t>
      </w:r>
      <w:bookmarkEnd w:id="54"/>
      <w:bookmarkEnd w:id="55"/>
      <w:bookmarkEnd w:id="56"/>
      <w:bookmarkEnd w:id="57"/>
      <w:bookmarkEnd w:id="58"/>
    </w:p>
    <w:p>
      <w:pPr>
        <w:pStyle w:val="59"/>
        <w:widowControl w:val="0"/>
        <w:snapToGrid/>
        <w:spacing w:line="580" w:lineRule="exact"/>
        <w:ind w:firstLine="616"/>
        <w:rPr>
          <w:color w:val="000000" w:themeColor="text1"/>
          <w:spacing w:val="-6"/>
        </w:rPr>
      </w:pPr>
      <w:bookmarkStart w:id="59" w:name="_Toc57194174"/>
      <w:bookmarkStart w:id="60" w:name="_Toc57195635"/>
    </w:p>
    <w:p>
      <w:pPr>
        <w:pStyle w:val="59"/>
        <w:widowControl w:val="0"/>
        <w:snapToGrid/>
        <w:spacing w:line="580" w:lineRule="exact"/>
        <w:ind w:firstLine="616"/>
        <w:rPr>
          <w:color w:val="000000" w:themeColor="text1"/>
          <w:spacing w:val="-6"/>
        </w:rPr>
      </w:pPr>
      <w:r>
        <w:rPr>
          <w:rFonts w:hint="eastAsia"/>
          <w:color w:val="000000" w:themeColor="text1"/>
          <w:spacing w:val="-6"/>
        </w:rPr>
        <w:t>围绕产业链部署创新链，围绕创新链延伸产业链，充分发挥赣江两岸创新资源优势，重点建设“一廊”即赣江两岸科创大走廊；按照现有产业基础，构建“三区四园”</w:t>
      </w:r>
      <w:r>
        <w:rPr>
          <w:rStyle w:val="38"/>
          <w:color w:val="000000" w:themeColor="text1"/>
          <w:spacing w:val="-6"/>
        </w:rPr>
        <w:footnoteReference w:id="1"/>
      </w:r>
      <w:r>
        <w:rPr>
          <w:rFonts w:hint="eastAsia"/>
          <w:color w:val="000000" w:themeColor="text1"/>
          <w:spacing w:val="-6"/>
        </w:rPr>
        <w:t>新制造格局。以中心城区为核心，打造“六区协同”</w:t>
      </w:r>
      <w:r>
        <w:rPr>
          <w:rStyle w:val="38"/>
          <w:color w:val="000000" w:themeColor="text1"/>
          <w:spacing w:val="-6"/>
        </w:rPr>
        <w:footnoteReference w:id="2"/>
      </w:r>
      <w:r>
        <w:rPr>
          <w:rFonts w:hint="eastAsia"/>
          <w:color w:val="000000" w:themeColor="text1"/>
          <w:spacing w:val="-6"/>
        </w:rPr>
        <w:t>现代服务业发展新高地。</w:t>
      </w:r>
    </w:p>
    <w:p>
      <w:pPr>
        <w:pStyle w:val="59"/>
        <w:widowControl w:val="0"/>
        <w:spacing w:line="240" w:lineRule="auto"/>
        <w:ind w:firstLine="0" w:firstLineChars="0"/>
        <w:jc w:val="center"/>
        <w:rPr>
          <w:b/>
          <w:color w:val="000000" w:themeColor="text1"/>
          <w:sz w:val="28"/>
          <w:szCs w:val="28"/>
        </w:rPr>
      </w:pPr>
      <w:r>
        <w:rPr>
          <w:color w:val="000000" w:themeColor="text1"/>
          <w:spacing w:val="-6"/>
        </w:rPr>
        <w:drawing>
          <wp:inline distT="0" distB="0" distL="114935" distR="114935">
            <wp:extent cx="4960620" cy="3799205"/>
            <wp:effectExtent l="0" t="0" r="11430" b="10795"/>
            <wp:docPr id="1" name="图片 1" descr="C:\Users\DELL\AppData\Roaming\DingTalk\630542222_v2\ImageFiles\67\lALPDiQ3NE5phgrNAlfNAn4_638_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AppData\Roaming\DingTalk\630542222_v2\ImageFiles\67\lALPDiQ3NE5phgrNAlfNAn4_638_599.png"/>
                    <pic:cNvPicPr>
                      <a:picLocks noChangeAspect="1" noChangeArrowheads="1"/>
                    </pic:cNvPicPr>
                  </pic:nvPicPr>
                  <pic:blipFill>
                    <a:blip r:embed="rId13" cstate="print">
                      <a:extLst>
                        <a:ext uri="{28A0092B-C50C-407E-A947-70E740481C1C}">
                          <a14:useLocalDpi xmlns:a14="http://schemas.microsoft.com/office/drawing/2010/main" val="0"/>
                        </a:ext>
                      </a:extLst>
                    </a:blip>
                    <a:srcRect t="5715" b="2366"/>
                    <a:stretch>
                      <a:fillRect/>
                    </a:stretch>
                  </pic:blipFill>
                  <pic:spPr>
                    <a:xfrm>
                      <a:off x="0" y="0"/>
                      <a:ext cx="4960620" cy="3799205"/>
                    </a:xfrm>
                    <a:prstGeom prst="rect">
                      <a:avLst/>
                    </a:prstGeom>
                    <a:noFill/>
                    <a:ln>
                      <a:noFill/>
                    </a:ln>
                  </pic:spPr>
                </pic:pic>
              </a:graphicData>
            </a:graphic>
          </wp:inline>
        </w:drawing>
      </w:r>
    </w:p>
    <w:p>
      <w:pPr>
        <w:pStyle w:val="2"/>
        <w:spacing w:after="0" w:line="520" w:lineRule="exact"/>
        <w:ind w:firstLine="281"/>
        <w:jc w:val="center"/>
        <w:rPr>
          <w:b/>
          <w:color w:val="000000" w:themeColor="text1"/>
          <w:sz w:val="28"/>
          <w:szCs w:val="28"/>
        </w:rPr>
      </w:pPr>
      <w:r>
        <w:rPr>
          <w:rFonts w:hint="eastAsia" w:ascii="楷体_GB2312" w:hAnsi="楷体_GB2312" w:eastAsia="楷体_GB2312" w:cs="楷体_GB2312"/>
          <w:b/>
          <w:color w:val="000000" w:themeColor="text1"/>
          <w:kern w:val="0"/>
          <w:sz w:val="28"/>
          <w:szCs w:val="28"/>
        </w:rPr>
        <w:t>图1：一廊三区四园产业布局</w:t>
      </w:r>
    </w:p>
    <w:p>
      <w:pPr>
        <w:pStyle w:val="2"/>
        <w:spacing w:after="0" w:line="300" w:lineRule="exact"/>
        <w:ind w:firstLine="281"/>
        <w:jc w:val="center"/>
        <w:rPr>
          <w:rFonts w:ascii="楷体_GB2312" w:hAnsi="楷体_GB2312" w:eastAsia="楷体_GB2312" w:cs="楷体_GB2312"/>
          <w:b/>
          <w:color w:val="000000" w:themeColor="text1"/>
          <w:kern w:val="0"/>
          <w:sz w:val="28"/>
          <w:szCs w:val="28"/>
        </w:rPr>
      </w:pPr>
    </w:p>
    <w:p>
      <w:pPr>
        <w:pStyle w:val="74"/>
        <w:spacing w:line="580" w:lineRule="exact"/>
        <w:rPr>
          <w:rFonts w:ascii="楷体_GB2312" w:eastAsia="楷体_GB2312"/>
          <w:color w:val="000000" w:themeColor="text1"/>
        </w:rPr>
      </w:pPr>
      <w:bookmarkStart w:id="61" w:name="_Toc28104"/>
      <w:bookmarkStart w:id="62" w:name="_Toc26308"/>
      <w:bookmarkStart w:id="63" w:name="_Toc64542097"/>
    </w:p>
    <w:p>
      <w:pPr>
        <w:pStyle w:val="74"/>
        <w:spacing w:line="580" w:lineRule="exact"/>
        <w:rPr>
          <w:rFonts w:ascii="楷体_GB2312" w:eastAsia="楷体_GB2312"/>
          <w:color w:val="000000" w:themeColor="text1"/>
        </w:rPr>
      </w:pPr>
      <w:r>
        <w:rPr>
          <w:rFonts w:hint="eastAsia" w:ascii="楷体_GB2312" w:eastAsia="楷体_GB2312"/>
          <w:color w:val="000000" w:themeColor="text1"/>
        </w:rPr>
        <w:t>第二节  空间布局</w:t>
      </w:r>
      <w:bookmarkEnd w:id="59"/>
      <w:bookmarkEnd w:id="60"/>
      <w:bookmarkEnd w:id="61"/>
      <w:bookmarkEnd w:id="62"/>
      <w:bookmarkEnd w:id="63"/>
    </w:p>
    <w:p>
      <w:pPr>
        <w:pStyle w:val="74"/>
        <w:spacing w:line="580" w:lineRule="exact"/>
        <w:rPr>
          <w:rFonts w:ascii="楷体_GB2312" w:eastAsia="楷体_GB2312"/>
          <w:color w:val="000000" w:themeColor="text1"/>
        </w:rPr>
      </w:pPr>
    </w:p>
    <w:p>
      <w:pPr>
        <w:spacing w:line="580" w:lineRule="exact"/>
        <w:ind w:firstLine="640"/>
        <w:rPr>
          <w:rFonts w:ascii="仿宋_GB2312" w:eastAsia="仿宋_GB2312"/>
          <w:color w:val="000000" w:themeColor="text1"/>
          <w:kern w:val="0"/>
        </w:rPr>
      </w:pPr>
      <w:bookmarkStart w:id="64" w:name="_Toc57194175"/>
      <w:bookmarkStart w:id="65" w:name="_Toc57195636"/>
      <w:r>
        <w:rPr>
          <w:rFonts w:hint="eastAsia" w:ascii="仿宋_GB2312" w:eastAsia="仿宋_GB2312"/>
          <w:color w:val="000000" w:themeColor="text1"/>
          <w:kern w:val="0"/>
        </w:rPr>
        <w:t>确立“南昌向南”城市空间发展导向，形成拥山跨江临湖大都市形态，构建“一江引领、双城共融、三环串联、五星簇拥”空间布局。</w:t>
      </w:r>
      <w:r>
        <w:rPr>
          <w:rFonts w:hint="eastAsia" w:ascii="仿宋_GB2312" w:eastAsia="仿宋_GB2312"/>
          <w:b/>
          <w:bCs/>
          <w:color w:val="000000" w:themeColor="text1"/>
          <w:kern w:val="0"/>
        </w:rPr>
        <w:t>“一江引领”，</w:t>
      </w:r>
      <w:r>
        <w:rPr>
          <w:rFonts w:hint="eastAsia" w:ascii="仿宋_GB2312" w:eastAsia="仿宋_GB2312"/>
          <w:color w:val="000000" w:themeColor="text1"/>
          <w:kern w:val="0"/>
        </w:rPr>
        <w:t>即把赣江作为城市中心轴景观天际线和繁荣创新活力带。</w:t>
      </w:r>
      <w:r>
        <w:rPr>
          <w:rFonts w:hint="eastAsia" w:ascii="仿宋_GB2312" w:eastAsia="仿宋_GB2312"/>
          <w:b/>
          <w:bCs/>
          <w:color w:val="000000" w:themeColor="text1"/>
          <w:kern w:val="0"/>
        </w:rPr>
        <w:t>“双城共融”，</w:t>
      </w:r>
      <w:r>
        <w:rPr>
          <w:rFonts w:hint="eastAsia" w:ascii="仿宋_GB2312" w:eastAsia="仿宋_GB2312"/>
          <w:color w:val="000000" w:themeColor="text1"/>
          <w:kern w:val="0"/>
        </w:rPr>
        <w:t>即以赣江为轴的南北双城共同构成主城区。</w:t>
      </w:r>
      <w:r>
        <w:rPr>
          <w:rFonts w:hint="eastAsia" w:ascii="仿宋_GB2312" w:eastAsia="仿宋_GB2312"/>
          <w:b/>
          <w:bCs/>
          <w:color w:val="000000" w:themeColor="text1"/>
          <w:kern w:val="0"/>
        </w:rPr>
        <w:t>“三环串联”，</w:t>
      </w:r>
      <w:r>
        <w:rPr>
          <w:rFonts w:hint="eastAsia" w:ascii="仿宋_GB2312" w:eastAsia="仿宋_GB2312"/>
          <w:color w:val="000000" w:themeColor="text1"/>
          <w:kern w:val="0"/>
        </w:rPr>
        <w:t>即以城市三条快速交通环线串联城区。</w:t>
      </w:r>
      <w:r>
        <w:rPr>
          <w:rFonts w:hint="eastAsia" w:ascii="仿宋_GB2312" w:eastAsia="仿宋_GB2312"/>
          <w:b/>
          <w:bCs/>
          <w:color w:val="000000" w:themeColor="text1"/>
          <w:kern w:val="0"/>
        </w:rPr>
        <w:t>“五星簇拥”，</w:t>
      </w:r>
      <w:r>
        <w:rPr>
          <w:rFonts w:hint="eastAsia" w:ascii="仿宋_GB2312" w:eastAsia="仿宋_GB2312"/>
          <w:color w:val="000000" w:themeColor="text1"/>
          <w:kern w:val="0"/>
        </w:rPr>
        <w:t>即城市外围由五大副中心组团和功能片区与主城区通过各种交通网紧密连接。</w:t>
      </w:r>
    </w:p>
    <w:p>
      <w:pPr>
        <w:pStyle w:val="2"/>
        <w:ind w:firstLine="0" w:firstLineChars="0"/>
        <w:jc w:val="center"/>
        <w:rPr>
          <w:rFonts w:ascii="仿宋_GB2312" w:hAnsi="仿宋_GB2312" w:eastAsia="仿宋_GB2312"/>
          <w:color w:val="000000" w:themeColor="text1"/>
        </w:rPr>
      </w:pPr>
      <w:r>
        <w:rPr>
          <w:rFonts w:hint="eastAsia" w:ascii="仿宋_GB2312" w:hAnsi="仿宋_GB2312" w:eastAsia="仿宋_GB2312"/>
          <w:color w:val="000000" w:themeColor="text1"/>
        </w:rPr>
        <w:drawing>
          <wp:inline distT="0" distB="0" distL="114300" distR="114300">
            <wp:extent cx="4543425" cy="3815715"/>
            <wp:effectExtent l="0" t="0" r="9525" b="13335"/>
            <wp:docPr id="7" name="图片 7" descr="城镇空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城镇空间图"/>
                    <pic:cNvPicPr>
                      <a:picLocks noChangeAspect="1"/>
                    </pic:cNvPicPr>
                  </pic:nvPicPr>
                  <pic:blipFill>
                    <a:blip r:embed="rId14" cstate="print"/>
                    <a:srcRect t="6699" b="3746"/>
                    <a:stretch>
                      <a:fillRect/>
                    </a:stretch>
                  </pic:blipFill>
                  <pic:spPr>
                    <a:xfrm>
                      <a:off x="0" y="0"/>
                      <a:ext cx="4543425" cy="3815715"/>
                    </a:xfrm>
                    <a:prstGeom prst="rect">
                      <a:avLst/>
                    </a:prstGeom>
                  </pic:spPr>
                </pic:pic>
              </a:graphicData>
            </a:graphic>
          </wp:inline>
        </w:drawing>
      </w:r>
    </w:p>
    <w:p>
      <w:pPr>
        <w:pStyle w:val="2"/>
        <w:spacing w:after="0" w:line="300" w:lineRule="exact"/>
        <w:ind w:firstLine="281"/>
        <w:jc w:val="center"/>
        <w:rPr>
          <w:rFonts w:ascii="楷体_GB2312" w:hAnsi="楷体_GB2312" w:eastAsia="楷体_GB2312" w:cs="楷体_GB2312"/>
          <w:b/>
          <w:color w:val="000000" w:themeColor="text1"/>
          <w:kern w:val="0"/>
          <w:sz w:val="28"/>
          <w:szCs w:val="28"/>
        </w:rPr>
      </w:pPr>
      <w:r>
        <w:rPr>
          <w:rFonts w:hint="eastAsia" w:ascii="楷体_GB2312" w:hAnsi="楷体_GB2312" w:eastAsia="楷体_GB2312" w:cs="楷体_GB2312"/>
          <w:b/>
          <w:color w:val="000000" w:themeColor="text1"/>
          <w:kern w:val="0"/>
          <w:sz w:val="28"/>
          <w:szCs w:val="28"/>
        </w:rPr>
        <w:t>图2：空间布局</w:t>
      </w:r>
    </w:p>
    <w:p>
      <w:pPr>
        <w:pStyle w:val="59"/>
        <w:ind w:firstLine="640"/>
      </w:pPr>
      <w:bookmarkStart w:id="66" w:name="_Toc19186"/>
      <w:bookmarkStart w:id="67" w:name="_Toc6419"/>
    </w:p>
    <w:p>
      <w:pPr>
        <w:pStyle w:val="74"/>
        <w:spacing w:line="580" w:lineRule="exact"/>
        <w:rPr>
          <w:rFonts w:ascii="楷体_GB2312" w:eastAsia="楷体_GB2312"/>
          <w:color w:val="000000" w:themeColor="text1"/>
        </w:rPr>
      </w:pPr>
      <w:bookmarkStart w:id="68" w:name="_Toc64542098"/>
    </w:p>
    <w:p>
      <w:pPr>
        <w:pStyle w:val="74"/>
        <w:spacing w:line="580" w:lineRule="exact"/>
        <w:rPr>
          <w:rFonts w:ascii="楷体_GB2312" w:eastAsia="楷体_GB2312"/>
          <w:color w:val="000000" w:themeColor="text1"/>
        </w:rPr>
      </w:pPr>
      <w:r>
        <w:rPr>
          <w:rFonts w:hint="eastAsia" w:ascii="楷体_GB2312" w:eastAsia="楷体_GB2312"/>
          <w:color w:val="000000" w:themeColor="text1"/>
        </w:rPr>
        <w:t>第三节  生态布局</w:t>
      </w:r>
      <w:bookmarkEnd w:id="64"/>
      <w:bookmarkEnd w:id="65"/>
      <w:bookmarkEnd w:id="66"/>
      <w:bookmarkEnd w:id="67"/>
      <w:bookmarkEnd w:id="68"/>
    </w:p>
    <w:p>
      <w:pPr>
        <w:spacing w:line="580" w:lineRule="exact"/>
        <w:ind w:firstLine="616"/>
        <w:rPr>
          <w:rFonts w:ascii="仿宋_GB2312" w:eastAsia="仿宋_GB2312"/>
          <w:color w:val="000000" w:themeColor="text1"/>
          <w:spacing w:val="-6"/>
          <w:kern w:val="0"/>
        </w:rPr>
      </w:pPr>
      <w:bookmarkStart w:id="69" w:name="_Toc57194176"/>
      <w:bookmarkStart w:id="70" w:name="_Toc57195637"/>
    </w:p>
    <w:p>
      <w:pPr>
        <w:spacing w:line="580" w:lineRule="exact"/>
        <w:ind w:firstLine="596"/>
        <w:rPr>
          <w:rFonts w:ascii="仿宋_GB2312" w:eastAsia="仿宋_GB2312"/>
          <w:color w:val="000000" w:themeColor="text1"/>
          <w:spacing w:val="-11"/>
          <w:kern w:val="0"/>
        </w:rPr>
      </w:pPr>
      <w:r>
        <w:rPr>
          <w:rFonts w:hint="eastAsia" w:ascii="仿宋_GB2312" w:eastAsia="仿宋_GB2312"/>
          <w:color w:val="000000" w:themeColor="text1"/>
          <w:spacing w:val="-11"/>
          <w:kern w:val="0"/>
        </w:rPr>
        <w:t>充分发挥山水林田湖城资源禀赋，构建“一湖三脉，两屏多廊，蓝绿交织，人鸟共生”生态整体布局。“一湖三脉”，即鄱阳湖所属鄱阳湖主湖区、青岚湖——军山湖片区，赣江、抚河、潦河三条主干水系及其流域水网。“两屏多廊”，即九岭山——梅岭屏障、怀玉山——玉华山屏障所属多条林地廊道；以绕城高速和水系为依托，形成内外环状绿带、郊野公园、河湖湿地、城市公园体系，提升生态服务功能，筑牢生态安全屏障。在城市内部，构建以“一江三河串十湖”</w:t>
      </w:r>
      <w:r>
        <w:rPr>
          <w:rStyle w:val="38"/>
          <w:rFonts w:ascii="仿宋_GB2312" w:eastAsia="仿宋_GB2312"/>
          <w:color w:val="000000" w:themeColor="text1"/>
          <w:spacing w:val="-11"/>
          <w:kern w:val="0"/>
        </w:rPr>
        <w:footnoteReference w:id="3"/>
      </w:r>
      <w:r>
        <w:rPr>
          <w:rFonts w:hint="eastAsia" w:ascii="仿宋_GB2312" w:eastAsia="仿宋_GB2312"/>
          <w:color w:val="000000" w:themeColor="text1"/>
          <w:spacing w:val="-11"/>
          <w:kern w:val="0"/>
        </w:rPr>
        <w:t>水系、城市绿道系统及城市公园点状分布为主体的都市生态系统。</w:t>
      </w:r>
    </w:p>
    <w:p>
      <w:pPr>
        <w:pStyle w:val="2"/>
        <w:ind w:firstLine="320"/>
        <w:jc w:val="center"/>
        <w:rPr>
          <w:rFonts w:ascii="仿宋_GB2312" w:hAnsi="仿宋_GB2312" w:eastAsia="仿宋_GB2312"/>
          <w:color w:val="000000" w:themeColor="text1"/>
        </w:rPr>
      </w:pPr>
      <w:r>
        <w:rPr>
          <w:rFonts w:ascii="仿宋_GB2312" w:hAnsi="仿宋_GB2312" w:eastAsia="仿宋_GB2312"/>
          <w:color w:val="000000" w:themeColor="text1"/>
        </w:rPr>
        <w:drawing>
          <wp:inline distT="0" distB="0" distL="0" distR="0">
            <wp:extent cx="3951605" cy="3013710"/>
            <wp:effectExtent l="0" t="0" r="10795"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1605" cy="3013710"/>
                    </a:xfrm>
                    <a:prstGeom prst="rect">
                      <a:avLst/>
                    </a:prstGeom>
                  </pic:spPr>
                </pic:pic>
              </a:graphicData>
            </a:graphic>
          </wp:inline>
        </w:drawing>
      </w:r>
    </w:p>
    <w:p>
      <w:pPr>
        <w:pStyle w:val="2"/>
        <w:spacing w:after="0" w:line="300" w:lineRule="exact"/>
        <w:ind w:firstLine="281"/>
        <w:jc w:val="center"/>
        <w:rPr>
          <w:rFonts w:ascii="楷体_GB2312" w:hAnsi="楷体_GB2312" w:eastAsia="楷体_GB2312" w:cs="楷体_GB2312"/>
          <w:b/>
          <w:color w:val="000000" w:themeColor="text1"/>
          <w:kern w:val="0"/>
          <w:sz w:val="28"/>
          <w:szCs w:val="28"/>
        </w:rPr>
      </w:pPr>
      <w:r>
        <w:rPr>
          <w:rFonts w:hint="eastAsia" w:ascii="楷体_GB2312" w:hAnsi="楷体_GB2312" w:eastAsia="楷体_GB2312" w:cs="楷体_GB2312"/>
          <w:b/>
          <w:color w:val="000000" w:themeColor="text1"/>
          <w:kern w:val="0"/>
          <w:sz w:val="28"/>
          <w:szCs w:val="28"/>
        </w:rPr>
        <w:t>图3：一湖三脉两屏多廊生态布局</w:t>
      </w:r>
    </w:p>
    <w:p>
      <w:pPr>
        <w:ind w:firstLine="562"/>
        <w:rPr>
          <w:rFonts w:ascii="楷体_GB2312" w:hAnsi="楷体_GB2312" w:eastAsia="楷体_GB2312" w:cs="楷体_GB2312"/>
          <w:b/>
          <w:color w:val="000000" w:themeColor="text1"/>
          <w:kern w:val="0"/>
          <w:sz w:val="28"/>
          <w:szCs w:val="28"/>
        </w:rPr>
      </w:pPr>
      <w:r>
        <w:rPr>
          <w:rFonts w:hint="eastAsia" w:ascii="楷体_GB2312" w:hAnsi="楷体_GB2312" w:eastAsia="楷体_GB2312" w:cs="楷体_GB2312"/>
          <w:b/>
          <w:color w:val="000000" w:themeColor="text1"/>
          <w:kern w:val="0"/>
          <w:sz w:val="28"/>
          <w:szCs w:val="28"/>
        </w:rPr>
        <w:br w:type="page"/>
      </w:r>
    </w:p>
    <w:bookmarkEnd w:id="69"/>
    <w:bookmarkEnd w:id="70"/>
    <w:p>
      <w:pPr>
        <w:pStyle w:val="29"/>
        <w:spacing w:line="558" w:lineRule="exact"/>
        <w:rPr>
          <w:color w:val="000000" w:themeColor="text1"/>
        </w:rPr>
      </w:pPr>
      <w:bookmarkStart w:id="71" w:name="_Toc18473"/>
      <w:bookmarkStart w:id="72" w:name="_Toc64542099"/>
      <w:bookmarkStart w:id="73" w:name="_Toc26101"/>
      <w:bookmarkStart w:id="74" w:name="_Toc57195654"/>
      <w:bookmarkStart w:id="75" w:name="_Toc57194193"/>
    </w:p>
    <w:p>
      <w:pPr>
        <w:pStyle w:val="29"/>
        <w:spacing w:line="558" w:lineRule="exact"/>
        <w:rPr>
          <w:color w:val="000000" w:themeColor="text1"/>
        </w:rPr>
      </w:pPr>
      <w:r>
        <w:rPr>
          <w:rFonts w:hint="eastAsia"/>
          <w:color w:val="000000" w:themeColor="text1"/>
        </w:rPr>
        <w:t>第二篇  加快建设区域创新高地</w:t>
      </w:r>
      <w:bookmarkEnd w:id="71"/>
      <w:bookmarkEnd w:id="72"/>
      <w:bookmarkEnd w:id="73"/>
    </w:p>
    <w:p>
      <w:pPr>
        <w:spacing w:line="558" w:lineRule="exact"/>
        <w:ind w:firstLine="640"/>
        <w:rPr>
          <w:rFonts w:ascii="仿宋_GB2312" w:eastAsia="仿宋_GB2312"/>
          <w:color w:val="000000" w:themeColor="text1"/>
          <w:kern w:val="0"/>
          <w:szCs w:val="32"/>
        </w:rPr>
      </w:pPr>
    </w:p>
    <w:p>
      <w:pPr>
        <w:spacing w:line="558" w:lineRule="exact"/>
        <w:ind w:firstLine="640"/>
        <w:rPr>
          <w:rFonts w:ascii="仿宋_GB2312" w:eastAsia="仿宋_GB2312"/>
          <w:color w:val="000000" w:themeColor="text1"/>
          <w:kern w:val="0"/>
          <w:szCs w:val="32"/>
        </w:rPr>
      </w:pPr>
      <w:r>
        <w:rPr>
          <w:rFonts w:hint="eastAsia" w:ascii="仿宋_GB2312" w:eastAsia="仿宋_GB2312"/>
          <w:color w:val="000000" w:themeColor="text1"/>
          <w:kern w:val="0"/>
          <w:szCs w:val="32"/>
        </w:rPr>
        <w:t>面向世界科技前沿、面向经济主战场、面向国家重大需求、面向人民生命健康，深入实施科技强市战略、人才强市战略、创新驱动发展战略，着力构建以企业为主体的技术创新体系，优化创新生态，建设更高水平的创新型城市。</w:t>
      </w:r>
    </w:p>
    <w:p>
      <w:pPr>
        <w:pStyle w:val="31"/>
        <w:autoSpaceDN/>
        <w:spacing w:line="558" w:lineRule="exact"/>
        <w:ind w:firstLine="640"/>
      </w:pPr>
    </w:p>
    <w:p>
      <w:pPr>
        <w:pStyle w:val="23"/>
        <w:spacing w:line="558" w:lineRule="exact"/>
        <w:rPr>
          <w:b w:val="0"/>
          <w:bCs/>
          <w:color w:val="000000" w:themeColor="text1"/>
        </w:rPr>
      </w:pPr>
      <w:bookmarkStart w:id="76" w:name="_Toc57195638"/>
      <w:bookmarkStart w:id="77" w:name="_Toc64542100"/>
      <w:bookmarkStart w:id="78" w:name="_Toc57194177"/>
      <w:bookmarkStart w:id="79" w:name="_Toc19916"/>
      <w:bookmarkStart w:id="80" w:name="_Toc21778"/>
      <w:r>
        <w:rPr>
          <w:rFonts w:hint="eastAsia"/>
          <w:b w:val="0"/>
          <w:bCs/>
          <w:color w:val="000000" w:themeColor="text1"/>
        </w:rPr>
        <w:t>第六章  坚持人才优先发展</w:t>
      </w:r>
      <w:bookmarkEnd w:id="76"/>
      <w:bookmarkEnd w:id="77"/>
      <w:bookmarkEnd w:id="78"/>
      <w:bookmarkEnd w:id="79"/>
      <w:bookmarkEnd w:id="80"/>
    </w:p>
    <w:p>
      <w:pPr>
        <w:spacing w:line="558" w:lineRule="exact"/>
        <w:ind w:firstLine="640"/>
        <w:rPr>
          <w:rFonts w:ascii="仿宋_GB2312" w:eastAsia="仿宋_GB2312"/>
          <w:color w:val="000000" w:themeColor="text1"/>
          <w:kern w:val="0"/>
        </w:rPr>
      </w:pPr>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牢固树立人才是发展的第一资源理念，优化人才发展环境，健全人才服务保障体系，坚持聚天下英才而用之，锻造新时期英雄城人才大军。</w:t>
      </w:r>
    </w:p>
    <w:p>
      <w:pPr>
        <w:pStyle w:val="31"/>
        <w:autoSpaceDN/>
        <w:spacing w:line="558" w:lineRule="exact"/>
        <w:ind w:firstLine="640"/>
      </w:pPr>
    </w:p>
    <w:p>
      <w:pPr>
        <w:pStyle w:val="74"/>
        <w:spacing w:line="558" w:lineRule="exact"/>
        <w:rPr>
          <w:rFonts w:ascii="楷体_GB2312" w:eastAsia="楷体_GB2312"/>
          <w:color w:val="000000" w:themeColor="text1"/>
        </w:rPr>
      </w:pPr>
      <w:bookmarkStart w:id="81" w:name="_Toc57195639"/>
      <w:bookmarkStart w:id="82" w:name="_Toc9792"/>
      <w:bookmarkStart w:id="83" w:name="_Toc64542101"/>
      <w:bookmarkStart w:id="84" w:name="_Toc17119"/>
      <w:bookmarkStart w:id="85" w:name="_Toc57194178"/>
      <w:r>
        <w:rPr>
          <w:rFonts w:hint="eastAsia" w:ascii="楷体_GB2312" w:eastAsia="楷体_GB2312"/>
          <w:color w:val="000000" w:themeColor="text1"/>
        </w:rPr>
        <w:t>第一节  建设高端人才集聚区</w:t>
      </w:r>
      <w:bookmarkEnd w:id="81"/>
      <w:bookmarkEnd w:id="82"/>
      <w:bookmarkEnd w:id="83"/>
      <w:bookmarkEnd w:id="84"/>
      <w:bookmarkEnd w:id="85"/>
    </w:p>
    <w:p>
      <w:pPr>
        <w:spacing w:line="558" w:lineRule="exact"/>
        <w:ind w:firstLine="640"/>
        <w:rPr>
          <w:rFonts w:ascii="仿宋_GB2312" w:eastAsia="仿宋_GB2312"/>
          <w:color w:val="000000" w:themeColor="text1"/>
          <w:kern w:val="0"/>
        </w:rPr>
      </w:pPr>
    </w:p>
    <w:p>
      <w:pPr>
        <w:spacing w:line="558" w:lineRule="exact"/>
        <w:ind w:firstLine="632"/>
        <w:rPr>
          <w:rFonts w:ascii="仿宋_GB2312" w:eastAsia="仿宋_GB2312"/>
          <w:color w:val="000000" w:themeColor="text1"/>
          <w:spacing w:val="-2"/>
          <w:kern w:val="0"/>
        </w:rPr>
      </w:pPr>
      <w:r>
        <w:rPr>
          <w:rFonts w:hint="eastAsia" w:ascii="仿宋_GB2312" w:eastAsia="仿宋_GB2312"/>
          <w:color w:val="000000" w:themeColor="text1"/>
          <w:spacing w:val="-2"/>
          <w:kern w:val="0"/>
        </w:rPr>
        <w:t>抢抓全球人才流动的新机遇，着力引进一批海内外高层次人才、领军型创新创业人才、产业紧缺急需人才。全力推进“赣籍英才返乡计划”“洪城计划”“洪燕领航”“顶尖领军人才领航计划”等人才工程。加快江西省高层次人才产业园项目建设，建立健全“高精尖缺”人才项目库，促进人才链与创新链、产业链有机衔接和深度融合。实施名城名校融合发展行动，重视本土人才的培育和留用，探索本土高层次人才特殊支持计划。创新人才招引模式，不断拓宽柔性引才的路径，积极探索在北上广深等一线城市设立“人才飞地”。</w:t>
      </w:r>
    </w:p>
    <w:p>
      <w:pPr>
        <w:pStyle w:val="74"/>
        <w:spacing w:line="558" w:lineRule="exact"/>
        <w:rPr>
          <w:rFonts w:ascii="楷体_GB2312" w:eastAsia="楷体_GB2312"/>
          <w:color w:val="000000" w:themeColor="text1"/>
        </w:rPr>
      </w:pPr>
      <w:bookmarkStart w:id="86" w:name="_Toc57195640"/>
      <w:bookmarkStart w:id="87" w:name="_Toc57194179"/>
      <w:bookmarkStart w:id="88" w:name="_Toc64542102"/>
      <w:bookmarkStart w:id="89" w:name="_Toc21183"/>
      <w:bookmarkStart w:id="90" w:name="_Toc32061"/>
    </w:p>
    <w:p>
      <w:pPr>
        <w:pStyle w:val="74"/>
        <w:spacing w:line="558" w:lineRule="exact"/>
        <w:rPr>
          <w:rFonts w:ascii="楷体_GB2312" w:eastAsia="楷体_GB2312"/>
          <w:color w:val="000000" w:themeColor="text1"/>
        </w:rPr>
      </w:pPr>
      <w:r>
        <w:rPr>
          <w:rFonts w:hint="eastAsia" w:ascii="楷体_GB2312" w:eastAsia="楷体_GB2312"/>
          <w:color w:val="000000" w:themeColor="text1"/>
        </w:rPr>
        <w:t>第二</w:t>
      </w:r>
      <w:bookmarkEnd w:id="86"/>
      <w:bookmarkEnd w:id="87"/>
      <w:r>
        <w:rPr>
          <w:rFonts w:hint="eastAsia" w:ascii="楷体_GB2312" w:eastAsia="楷体_GB2312"/>
          <w:color w:val="000000" w:themeColor="text1"/>
        </w:rPr>
        <w:t>节  壮大企业家和技能人才队伍</w:t>
      </w:r>
      <w:bookmarkEnd w:id="88"/>
      <w:bookmarkEnd w:id="89"/>
      <w:bookmarkEnd w:id="90"/>
    </w:p>
    <w:p>
      <w:pPr>
        <w:spacing w:line="558" w:lineRule="exact"/>
        <w:ind w:firstLine="640"/>
        <w:rPr>
          <w:rFonts w:ascii="仿宋_GB2312" w:eastAsia="仿宋_GB2312"/>
          <w:color w:val="000000" w:themeColor="text1"/>
          <w:kern w:val="0"/>
        </w:rPr>
      </w:pPr>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 xml:space="preserve">实施分类别、分层次创新创业人才培养计划。大力推进“洪企211”工程，着力打造一支与时俱进的高素质企业家队伍，全面拓展提升企业家和企业高层管理人才的全球视野、战略思维和创新能力。着力加强工程师队伍建设，培育一批高水平工程师和高技能人才队伍。鼓励行业龙头企业与学校合作建设产业学院、技师学院，全面施行新型学徒制。实施“洪城工匠”培育计划，开展“技能提升行动”。 </w:t>
      </w:r>
    </w:p>
    <w:p>
      <w:pPr>
        <w:pStyle w:val="31"/>
        <w:autoSpaceDN/>
        <w:spacing w:line="558" w:lineRule="exact"/>
        <w:ind w:firstLine="640"/>
      </w:pPr>
    </w:p>
    <w:p>
      <w:pPr>
        <w:pStyle w:val="74"/>
        <w:numPr>
          <w:ilvl w:val="0"/>
          <w:numId w:val="4"/>
        </w:numPr>
        <w:spacing w:line="558" w:lineRule="exact"/>
        <w:rPr>
          <w:rFonts w:ascii="楷体_GB2312" w:eastAsia="楷体_GB2312"/>
          <w:color w:val="000000" w:themeColor="text1"/>
        </w:rPr>
      </w:pPr>
      <w:bookmarkStart w:id="91" w:name="_Toc16869"/>
      <w:bookmarkStart w:id="92" w:name="_Toc57195641"/>
      <w:bookmarkStart w:id="93" w:name="_Toc57194180"/>
      <w:bookmarkStart w:id="94" w:name="_Toc14135"/>
      <w:r>
        <w:rPr>
          <w:rFonts w:hint="eastAsia" w:ascii="楷体_GB2312" w:eastAsia="楷体_GB2312"/>
          <w:color w:val="000000" w:themeColor="text1"/>
        </w:rPr>
        <w:t xml:space="preserve"> </w:t>
      </w:r>
      <w:bookmarkEnd w:id="91"/>
      <w:bookmarkEnd w:id="92"/>
      <w:bookmarkEnd w:id="93"/>
      <w:bookmarkEnd w:id="94"/>
      <w:bookmarkStart w:id="95" w:name="_Toc64542103"/>
      <w:r>
        <w:rPr>
          <w:rFonts w:hint="eastAsia" w:ascii="楷体_GB2312" w:eastAsia="楷体_GB2312"/>
          <w:color w:val="000000" w:themeColor="text1"/>
        </w:rPr>
        <w:t>打造成就人才的生态体系</w:t>
      </w:r>
      <w:bookmarkEnd w:id="95"/>
    </w:p>
    <w:p>
      <w:pPr>
        <w:pStyle w:val="74"/>
        <w:spacing w:line="558" w:lineRule="exact"/>
        <w:jc w:val="both"/>
        <w:rPr>
          <w:rFonts w:ascii="楷体_GB2312" w:eastAsia="楷体_GB2312"/>
          <w:color w:val="000000" w:themeColor="text1"/>
        </w:rPr>
      </w:pPr>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坚持党管人才原则，实施更加积极、更加开放、更加灵活的人才“引育留用管”政策，实现高层次人才、中端人才、基础性人才政策全覆盖，最大限度激发人才创新创造创业活力。持续抓好“人才新政22条”“人才10条”贯彻落实，深化人才发展体制机制改革，破除束缚人才发展的思想观念和体制机制障碍。突出市场导向，完善市场化人才评价标准和机制。探索与国际规则接轨的高层次人才招聘、薪酬、考核、科研管理、社会保障等制度。推进人才、项目、资金、平台一体化建设，营造人才安心舒心发展环境。实施“求学南昌、创业南昌”计划，积极引进一批高素质青年人才，力争“十四五”期间，吸引百万名大学生和技能人才来我市创业就业。</w:t>
      </w:r>
    </w:p>
    <w:p>
      <w:pPr>
        <w:pStyle w:val="2"/>
        <w:ind w:firstLine="320"/>
      </w:pPr>
    </w:p>
    <w:tbl>
      <w:tblPr>
        <w:tblStyle w:val="33"/>
        <w:tblW w:w="8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660" w:type="dxa"/>
            <w:vAlign w:val="center"/>
          </w:tcPr>
          <w:p>
            <w:pPr>
              <w:pStyle w:val="59"/>
              <w:widowControl w:val="0"/>
              <w:spacing w:line="300" w:lineRule="exact"/>
              <w:ind w:firstLine="560"/>
              <w:jc w:val="center"/>
              <w:rPr>
                <w:b/>
                <w:color w:val="000000" w:themeColor="text1"/>
                <w:sz w:val="28"/>
                <w:szCs w:val="28"/>
              </w:rPr>
            </w:pPr>
            <w:r>
              <w:rPr>
                <w:rFonts w:hint="eastAsia" w:ascii="黑体" w:hAnsi="黑体" w:eastAsia="黑体" w:cs="黑体"/>
                <w:color w:val="000000" w:themeColor="text1"/>
                <w:sz w:val="28"/>
                <w:szCs w:val="28"/>
              </w:rPr>
              <w:br w:type="page"/>
            </w:r>
            <w:r>
              <w:rPr>
                <w:rFonts w:hint="eastAsia" w:ascii="黑体" w:hAnsi="黑体" w:eastAsia="黑体" w:cs="黑体"/>
                <w:color w:val="000000" w:themeColor="text1"/>
                <w:sz w:val="28"/>
                <w:szCs w:val="28"/>
              </w:rPr>
              <w:t>专栏1：重大人才工程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5" w:hRule="atLeast"/>
          <w:jc w:val="center"/>
        </w:trPr>
        <w:tc>
          <w:tcPr>
            <w:tcW w:w="8660" w:type="dxa"/>
          </w:tcPr>
          <w:p>
            <w:pPr>
              <w:snapToGrid w:val="0"/>
              <w:spacing w:line="320" w:lineRule="exact"/>
              <w:ind w:firstLine="482"/>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（一）重大人才政策</w:t>
            </w:r>
          </w:p>
          <w:p>
            <w:pPr>
              <w:snapToGrid w:val="0"/>
              <w:spacing w:line="320" w:lineRule="exact"/>
              <w:ind w:firstLineChars="0"/>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洪城计划。</w:t>
            </w:r>
            <w:r>
              <w:rPr>
                <w:rFonts w:hint="eastAsia" w:ascii="仿宋_GB2312" w:hAnsi="仿宋_GB2312" w:eastAsia="仿宋_GB2312" w:cs="仿宋_GB2312"/>
                <w:color w:val="000000" w:themeColor="text1"/>
                <w:sz w:val="24"/>
              </w:rPr>
              <w:t>面向国内外引进一批在大型企业、知名高校、科研机构的关键岗位从事研发和管理工作两年以上，带项目、带技术、带资金、带团队的“四带”人才来我市创业。到2025年，引进“洪城计划”创业高层次科技人才项目50个以上。</w:t>
            </w:r>
          </w:p>
          <w:p>
            <w:pPr>
              <w:snapToGrid w:val="0"/>
              <w:spacing w:line="320" w:lineRule="exact"/>
              <w:ind w:firstLineChars="0"/>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双百计划。</w:t>
            </w:r>
            <w:r>
              <w:rPr>
                <w:rFonts w:hint="eastAsia" w:ascii="仿宋_GB2312" w:hAnsi="仿宋_GB2312" w:eastAsia="仿宋_GB2312" w:cs="仿宋_GB2312"/>
                <w:color w:val="000000" w:themeColor="text1"/>
                <w:sz w:val="24"/>
              </w:rPr>
              <w:t>围绕新型研发机构、科技研发平台、重点企业、重大工程、重要项目和关键技术，面向国（境）外和省外，引进100名（个）高层次科技创新人才与团队；面向存量创新人才资源，培养100名（个）能突破关键技术瓶颈、引领产业创新发展的高层次科技创新人才与团队。</w:t>
            </w:r>
          </w:p>
          <w:p>
            <w:pPr>
              <w:snapToGrid w:val="0"/>
              <w:spacing w:line="320" w:lineRule="exact"/>
              <w:ind w:firstLineChars="0"/>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顶尖领军人才领航计划。</w:t>
            </w:r>
            <w:r>
              <w:rPr>
                <w:rFonts w:hint="eastAsia" w:ascii="仿宋_GB2312" w:hAnsi="仿宋_GB2312" w:eastAsia="仿宋_GB2312" w:cs="仿宋_GB2312"/>
                <w:color w:val="000000" w:themeColor="text1"/>
                <w:sz w:val="24"/>
              </w:rPr>
              <w:t>引进拥有核心技术或掌握自主知识产权，对南昌市优势主导产业和战略性新兴产业有重大引领推动作用，经评价认定的国内外顶尖人才、国家级领军人才和地方级领军人才100名。</w:t>
            </w:r>
          </w:p>
          <w:p>
            <w:pPr>
              <w:snapToGrid w:val="0"/>
              <w:spacing w:line="320" w:lineRule="exact"/>
              <w:ind w:firstLineChars="0"/>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洪城工匠。</w:t>
            </w:r>
            <w:r>
              <w:rPr>
                <w:rFonts w:hint="eastAsia" w:ascii="仿宋_GB2312" w:hAnsi="仿宋_GB2312" w:eastAsia="仿宋_GB2312" w:cs="仿宋_GB2312"/>
                <w:color w:val="000000" w:themeColor="text1"/>
                <w:sz w:val="24"/>
              </w:rPr>
              <w:t>每两年选培50名左右技能含量高、绝技绝活特色明显的“洪城工匠”，将其打造为各行业、各系统的技能领军人才。</w:t>
            </w:r>
          </w:p>
          <w:p>
            <w:pPr>
              <w:snapToGrid w:val="0"/>
              <w:spacing w:line="320" w:lineRule="exact"/>
              <w:ind w:firstLineChars="0"/>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“211”企业经营管理人才培养工程。</w:t>
            </w:r>
            <w:r>
              <w:rPr>
                <w:rFonts w:hint="eastAsia" w:ascii="仿宋_GB2312" w:hAnsi="仿宋_GB2312" w:eastAsia="仿宋_GB2312" w:cs="仿宋_GB2312"/>
                <w:color w:val="000000" w:themeColor="text1"/>
                <w:sz w:val="24"/>
              </w:rPr>
              <w:t>培养造就一支职业化、现代化、国际化企业经营管理人才队伍，选拔300名企业经营管理人才。</w:t>
            </w:r>
          </w:p>
          <w:p>
            <w:pPr>
              <w:snapToGrid w:val="0"/>
              <w:spacing w:line="320" w:lineRule="exact"/>
              <w:ind w:firstLine="482"/>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（二）重大人才平台</w:t>
            </w:r>
          </w:p>
          <w:p>
            <w:pPr>
              <w:snapToGrid w:val="0"/>
              <w:spacing w:line="320" w:lineRule="exact"/>
              <w:ind w:firstLineChars="0"/>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江西省高层次人才产业园。</w:t>
            </w:r>
            <w:r>
              <w:rPr>
                <w:rFonts w:hint="eastAsia" w:ascii="仿宋_GB2312" w:hAnsi="仿宋_GB2312" w:eastAsia="仿宋_GB2312" w:cs="仿宋_GB2312"/>
                <w:color w:val="000000" w:themeColor="text1"/>
                <w:sz w:val="24"/>
              </w:rPr>
              <w:t>依托南昌高新区，规划面积1000亩，总投资约100亿元。到2025年，人才产业园将集聚国家级、省级领军人才项目100个以上，引进高层次人才1000名以上，吸纳青年大学生及技能人才10万人以上。</w:t>
            </w:r>
          </w:p>
          <w:p>
            <w:pPr>
              <w:snapToGrid w:val="0"/>
              <w:spacing w:line="320" w:lineRule="exact"/>
              <w:ind w:firstLineChars="0"/>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中国南昌人力资源服务产业园。</w:t>
            </w:r>
            <w:r>
              <w:rPr>
                <w:rFonts w:hint="eastAsia" w:ascii="仿宋_GB2312" w:hAnsi="仿宋_GB2312" w:eastAsia="仿宋_GB2312" w:cs="仿宋_GB2312"/>
                <w:color w:val="000000" w:themeColor="text1"/>
                <w:sz w:val="24"/>
              </w:rPr>
              <w:t>总体规划面积约30万平米，重点建设经开区国家级人力资源服务产业核心园区和高新区、小蓝经开区国家级人力资源服务产业园和中国（南昌）现代职教城人力资源服务产业园分园区，打造中部一流、国内领先的人力资源服务高地。</w:t>
            </w:r>
          </w:p>
          <w:p>
            <w:pPr>
              <w:snapToGrid w:val="0"/>
              <w:spacing w:line="320" w:lineRule="exact"/>
              <w:ind w:firstLineChars="0"/>
              <w:rPr>
                <w:rFonts w:ascii="仿宋_GB2312" w:hAnsi="仿宋_GB2312" w:eastAsia="仿宋_GB2312" w:cs="仿宋_GB2312"/>
                <w:color w:val="000000" w:themeColor="text1"/>
                <w:sz w:val="24"/>
              </w:rPr>
            </w:pPr>
            <w:r>
              <w:rPr>
                <w:rFonts w:hint="eastAsia" w:ascii="仿宋_GB2312" w:hAnsi="仿宋_GB2312" w:eastAsia="仿宋_GB2312" w:cs="仿宋_GB2312"/>
                <w:b/>
                <w:bCs/>
                <w:color w:val="000000" w:themeColor="text1"/>
                <w:sz w:val="24"/>
              </w:rPr>
              <w:t>国家级技能人才培养综合园区（大国工匠）。</w:t>
            </w:r>
            <w:r>
              <w:rPr>
                <w:rFonts w:hint="eastAsia" w:ascii="仿宋_GB2312" w:hAnsi="仿宋_GB2312" w:eastAsia="仿宋_GB2312" w:cs="仿宋_GB2312"/>
                <w:color w:val="000000" w:themeColor="text1"/>
                <w:sz w:val="24"/>
              </w:rPr>
              <w:t xml:space="preserve">规划面积约1150亩，建设集技工教育、公共实训、技能竞赛、高技能人才培养、人力资源服务、创业孵化、公共就业创业服务等功能于一体的“一站式”技能人才培养平台，力争可容纳4万名全日制技工教育学生、可承接3万人次/年的职业技能培训。  </w:t>
            </w:r>
          </w:p>
          <w:p>
            <w:pPr>
              <w:snapToGrid w:val="0"/>
              <w:spacing w:line="320" w:lineRule="exact"/>
              <w:ind w:firstLine="482"/>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（三）重大人才配套</w:t>
            </w:r>
          </w:p>
          <w:p>
            <w:pPr>
              <w:snapToGrid w:val="0"/>
              <w:spacing w:line="320" w:lineRule="exact"/>
              <w:ind w:firstLine="480"/>
              <w:rPr>
                <w:rFonts w:ascii="仿宋" w:hAnsi="仿宋"/>
                <w:color w:val="000000" w:themeColor="text1"/>
                <w:sz w:val="24"/>
              </w:rPr>
            </w:pPr>
            <w:r>
              <w:rPr>
                <w:rFonts w:hint="eastAsia" w:ascii="仿宋_GB2312" w:hAnsi="仿宋_GB2312" w:eastAsia="仿宋_GB2312" w:cs="仿宋_GB2312"/>
                <w:color w:val="000000" w:themeColor="text1"/>
                <w:sz w:val="24"/>
              </w:rPr>
              <w:t>支持县区（开发区）积极盘活现有存量公寓，建设一批集居住消费、社交文娱、就学就医等配套功能的租赁型人才公寓，面向重点产业、重点企业、重点人才，建设</w:t>
            </w:r>
            <w:r>
              <w:rPr>
                <w:rFonts w:ascii="仿宋_GB2312" w:eastAsia="仿宋_GB2312"/>
                <w:color w:val="000000" w:themeColor="text1"/>
                <w:sz w:val="24"/>
              </w:rPr>
              <w:t>一批产权型人才住房。大力支持企事业单位按照政策规定自建人才公寓。</w:t>
            </w:r>
          </w:p>
        </w:tc>
      </w:tr>
    </w:tbl>
    <w:p>
      <w:pPr>
        <w:ind w:firstLine="640"/>
      </w:pPr>
      <w:bookmarkStart w:id="96" w:name="_Toc57194181"/>
      <w:bookmarkStart w:id="97" w:name="_Toc57195642"/>
      <w:bookmarkStart w:id="98" w:name="_Toc64542104"/>
      <w:bookmarkStart w:id="99" w:name="_Toc5887"/>
      <w:bookmarkStart w:id="100" w:name="_Toc11697"/>
    </w:p>
    <w:p>
      <w:pPr>
        <w:pStyle w:val="23"/>
        <w:spacing w:line="580" w:lineRule="exact"/>
        <w:rPr>
          <w:b w:val="0"/>
          <w:color w:val="000000" w:themeColor="text1"/>
        </w:rPr>
      </w:pPr>
    </w:p>
    <w:p>
      <w:pPr>
        <w:pStyle w:val="23"/>
        <w:spacing w:line="580" w:lineRule="exact"/>
        <w:rPr>
          <w:b w:val="0"/>
          <w:color w:val="000000" w:themeColor="text1"/>
        </w:rPr>
      </w:pPr>
      <w:r>
        <w:rPr>
          <w:rFonts w:hint="eastAsia"/>
          <w:b w:val="0"/>
          <w:color w:val="000000" w:themeColor="text1"/>
        </w:rPr>
        <w:t>第七</w:t>
      </w:r>
      <w:bookmarkEnd w:id="96"/>
      <w:bookmarkEnd w:id="97"/>
      <w:r>
        <w:rPr>
          <w:rFonts w:hint="eastAsia"/>
          <w:b w:val="0"/>
          <w:color w:val="000000" w:themeColor="text1"/>
        </w:rPr>
        <w:t>章  提升创新发展能级</w:t>
      </w:r>
      <w:bookmarkEnd w:id="98"/>
      <w:bookmarkEnd w:id="99"/>
      <w:bookmarkEnd w:id="100"/>
    </w:p>
    <w:p>
      <w:pPr>
        <w:spacing w:line="580" w:lineRule="exact"/>
        <w:ind w:firstLine="616"/>
        <w:rPr>
          <w:rFonts w:ascii="仿宋_GB2312" w:eastAsia="仿宋_GB2312"/>
          <w:color w:val="000000" w:themeColor="text1"/>
          <w:spacing w:val="-6"/>
          <w:kern w:val="0"/>
        </w:rPr>
      </w:pPr>
    </w:p>
    <w:p>
      <w:pPr>
        <w:spacing w:line="580" w:lineRule="exact"/>
        <w:ind w:firstLine="616"/>
        <w:rPr>
          <w:rFonts w:ascii="仿宋_GB2312" w:hAnsi="仿宋_GB2312" w:eastAsia="仿宋_GB2312"/>
          <w:color w:val="000000" w:themeColor="text1"/>
          <w:spacing w:val="-6"/>
        </w:rPr>
      </w:pPr>
      <w:r>
        <w:rPr>
          <w:rFonts w:hint="eastAsia" w:ascii="仿宋_GB2312" w:eastAsia="仿宋_GB2312"/>
          <w:color w:val="000000" w:themeColor="text1"/>
          <w:spacing w:val="-6"/>
          <w:kern w:val="0"/>
        </w:rPr>
        <w:t>以超常规手段建设赣江两岸科创大走廊，搭建以国家级重点实验室、大科学装置为引领的高能级创新平台，加强创新开放合作，强化国家科技战略力量，着力提升创新发展能级。</w:t>
      </w:r>
    </w:p>
    <w:p>
      <w:pPr>
        <w:pStyle w:val="31"/>
        <w:autoSpaceDN/>
        <w:spacing w:line="580" w:lineRule="exact"/>
        <w:ind w:firstLine="640"/>
      </w:pPr>
    </w:p>
    <w:p>
      <w:pPr>
        <w:pStyle w:val="74"/>
        <w:spacing w:line="580" w:lineRule="exact"/>
        <w:rPr>
          <w:rFonts w:ascii="楷体_GB2312" w:eastAsia="楷体_GB2312"/>
          <w:color w:val="000000" w:themeColor="text1"/>
        </w:rPr>
      </w:pPr>
      <w:bookmarkStart w:id="101" w:name="_Toc64542105"/>
      <w:bookmarkStart w:id="102" w:name="_Toc32273"/>
      <w:bookmarkStart w:id="103" w:name="_Toc28331"/>
      <w:r>
        <w:rPr>
          <w:rFonts w:hint="eastAsia" w:ascii="楷体_GB2312" w:eastAsia="楷体_GB2312"/>
          <w:color w:val="000000" w:themeColor="text1"/>
        </w:rPr>
        <w:t>第一节  打造赣江两岸科创大走廊</w:t>
      </w:r>
      <w:bookmarkEnd w:id="101"/>
      <w:bookmarkEnd w:id="102"/>
      <w:bookmarkEnd w:id="103"/>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加快推进赣江两岸科创大走廊建设，充分发挥鄱阳湖国家自主创新示范区核心区引领作用，继续推进南昌航空科创城、南昌</w:t>
      </w:r>
      <w:r>
        <w:rPr>
          <w:rFonts w:ascii="仿宋_GB2312" w:eastAsia="仿宋_GB2312"/>
          <w:color w:val="000000" w:themeColor="text1"/>
          <w:kern w:val="0"/>
        </w:rPr>
        <w:t>VR科创城、</w:t>
      </w:r>
      <w:r>
        <w:rPr>
          <w:rFonts w:hint="eastAsia" w:ascii="仿宋_GB2312" w:hAnsi="仿宋" w:eastAsia="仿宋_GB2312" w:cs="Times New Roman"/>
          <w:szCs w:val="32"/>
        </w:rPr>
        <w:t>中国(南昌)</w:t>
      </w:r>
      <w:r>
        <w:rPr>
          <w:rFonts w:ascii="仿宋_GB2312" w:eastAsia="仿宋_GB2312"/>
          <w:color w:val="000000" w:themeColor="text1"/>
          <w:kern w:val="0"/>
        </w:rPr>
        <w:t>中医药科创城</w:t>
      </w:r>
      <w:r>
        <w:rPr>
          <w:rFonts w:hint="eastAsia" w:ascii="仿宋_GB2312" w:eastAsia="仿宋_GB2312"/>
          <w:color w:val="000000" w:themeColor="text1"/>
          <w:kern w:val="0"/>
        </w:rPr>
        <w:t>、</w:t>
      </w:r>
      <w:r>
        <w:rPr>
          <w:rFonts w:hint="eastAsia" w:ascii="仿宋_GB2312" w:hAnsi="仿宋" w:eastAsia="仿宋_GB2312" w:cs="Times New Roman"/>
          <w:szCs w:val="32"/>
        </w:rPr>
        <w:t>南昌（国家）大学科技城</w:t>
      </w:r>
      <w:r>
        <w:rPr>
          <w:rFonts w:hint="eastAsia" w:ascii="仿宋_GB2312" w:eastAsia="仿宋_GB2312"/>
          <w:color w:val="000000" w:themeColor="text1"/>
          <w:kern w:val="0"/>
        </w:rPr>
        <w:t>等核心科创平台建设，高标准打造中国（南昌）科学岛、前湖科创园、昌北高校科创谷、富山科技园等未来科创平台。充分整合省内创新资源，争取设立综合性国家科学中心，建设区域性</w:t>
      </w:r>
      <w:r>
        <w:rPr>
          <w:rFonts w:ascii="仿宋_GB2312" w:eastAsia="仿宋_GB2312"/>
          <w:color w:val="000000" w:themeColor="text1"/>
          <w:kern w:val="0"/>
        </w:rPr>
        <w:t>创新</w:t>
      </w:r>
      <w:r>
        <w:rPr>
          <w:rFonts w:hint="eastAsia" w:ascii="仿宋_GB2312" w:eastAsia="仿宋_GB2312"/>
          <w:color w:val="000000" w:themeColor="text1"/>
          <w:kern w:val="0"/>
        </w:rPr>
        <w:t>高地。建设一批创新街区、创新楼宇、创新小镇和协同创新中心。</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vAlign w:val="center"/>
          </w:tcPr>
          <w:p>
            <w:pPr>
              <w:pStyle w:val="59"/>
              <w:widowControl w:val="0"/>
              <w:spacing w:line="300" w:lineRule="exact"/>
              <w:ind w:firstLine="0" w:firstLineChars="0"/>
              <w:jc w:val="center"/>
              <w:rPr>
                <w:b/>
                <w:color w:val="000000" w:themeColor="text1"/>
                <w:sz w:val="28"/>
                <w:szCs w:val="28"/>
              </w:rPr>
            </w:pPr>
            <w:r>
              <w:rPr>
                <w:rFonts w:hint="eastAsia" w:ascii="黑体" w:hAnsi="黑体" w:eastAsia="黑体" w:cs="黑体"/>
                <w:color w:val="000000" w:themeColor="text1"/>
                <w:sz w:val="28"/>
                <w:szCs w:val="28"/>
              </w:rPr>
              <w:t>专栏2：重大科技创新布局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snapToGrid w:val="0"/>
              <w:spacing w:line="360" w:lineRule="exact"/>
              <w:ind w:firstLine="482"/>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（一）中国（南昌）科学岛</w:t>
            </w:r>
          </w:p>
          <w:p>
            <w:pPr>
              <w:widowControl/>
              <w:snapToGrid w:val="0"/>
              <w:spacing w:line="360" w:lineRule="exact"/>
              <w:ind w:firstLine="480"/>
              <w:rPr>
                <w:rFonts w:ascii="仿宋_GB2312" w:hAnsi="仿宋_GB2312" w:eastAsia="仿宋_GB2312" w:cs="仿宋_GB2312"/>
                <w:color w:val="000000" w:themeColor="text1"/>
                <w:kern w:val="0"/>
                <w:sz w:val="24"/>
              </w:rPr>
            </w:pPr>
            <w:r>
              <w:rPr>
                <w:rFonts w:hint="eastAsia" w:ascii="仿宋_GB2312" w:hAnsi="仿宋_GB2312" w:eastAsia="仿宋_GB2312" w:cs="仿宋_GB2312"/>
                <w:bCs/>
                <w:color w:val="000000" w:themeColor="text1"/>
                <w:kern w:val="0"/>
                <w:sz w:val="24"/>
              </w:rPr>
              <w:t>依托瑶湖岛6平方公里区域，聚焦光电、航空、人工智能和新材料等未来前沿领域，引进一批高水平实验室、研发平台、创新平台和大科学装置等，打造科技研发、人才聚集、产业创新的“核心区”和对标世界的“科学岛”。</w:t>
            </w:r>
          </w:p>
          <w:p>
            <w:pPr>
              <w:snapToGrid w:val="0"/>
              <w:spacing w:line="360" w:lineRule="exact"/>
              <w:ind w:firstLine="482"/>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（二）南昌航空科创城</w:t>
            </w:r>
          </w:p>
          <w:p>
            <w:pPr>
              <w:widowControl/>
              <w:snapToGrid w:val="0"/>
              <w:spacing w:line="360" w:lineRule="exact"/>
              <w:ind w:firstLine="48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位于瑶湖东岸，以南昌航空城为中心及周边区域，围绕航空动力、航空制造、航空新材料等重点研究方向，建设国家级实验平台，重点布局航空产品研发与制造、航空通用运营与服务等主要功能区块，建设现代化综合科技新城。</w:t>
            </w:r>
          </w:p>
          <w:p>
            <w:pPr>
              <w:snapToGrid w:val="0"/>
              <w:spacing w:line="360" w:lineRule="exact"/>
              <w:ind w:firstLine="482"/>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（三）中国(南昌)中医药科创城（江中药谷）</w:t>
            </w:r>
          </w:p>
          <w:p>
            <w:pPr>
              <w:widowControl/>
              <w:snapToGrid w:val="0"/>
              <w:spacing w:line="360" w:lineRule="exact"/>
              <w:ind w:firstLine="48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位于湾里管理局江西中医药大学、江中药谷及周边毗邻区域，核心区规划总用地面积4.14平方公里。围绕高端智库服务、高端平台研发、成果转化等主要功能区块，打造和形成文化传承高地、创新研发高地、人才聚集高地、健康服务高地、高端装备研制高地。</w:t>
            </w:r>
          </w:p>
          <w:p>
            <w:pPr>
              <w:snapToGrid w:val="0"/>
              <w:spacing w:line="360" w:lineRule="exact"/>
              <w:ind w:firstLine="482"/>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（四）南昌VR科创城</w:t>
            </w:r>
          </w:p>
          <w:p>
            <w:pPr>
              <w:snapToGrid w:val="0"/>
              <w:spacing w:line="360" w:lineRule="exact"/>
              <w:ind w:firstLine="480"/>
              <w:rPr>
                <w:rFonts w:ascii="仿宋_GB2312" w:eastAsia="仿宋_GB2312"/>
                <w:color w:val="000000" w:themeColor="text1"/>
                <w:kern w:val="0"/>
                <w:sz w:val="24"/>
              </w:rPr>
            </w:pPr>
            <w:r>
              <w:rPr>
                <w:rFonts w:hint="eastAsia" w:ascii="仿宋_GB2312" w:hAnsi="仿宋_GB2312" w:eastAsia="仿宋_GB2312" w:cs="仿宋_GB2312"/>
                <w:color w:val="000000" w:themeColor="text1"/>
                <w:kern w:val="0"/>
                <w:sz w:val="24"/>
              </w:rPr>
              <w:t>位于南昌市红谷滩区九龙湖铁路货运线以南，总占地9.16平方公里，围绕打造VR产业“江西高地”总目标，重点发展VR/AR硬件、软件设计、平台分发与内容产品，促进新一代信息技术与VR产业园区的深度融合，建设业界领先的</w:t>
            </w:r>
            <w:r>
              <w:rPr>
                <w:rFonts w:ascii="仿宋_GB2312" w:eastAsia="仿宋_GB2312"/>
                <w:color w:val="000000" w:themeColor="text1"/>
                <w:kern w:val="0"/>
                <w:sz w:val="24"/>
              </w:rPr>
              <w:t>VR产业智慧园区</w:t>
            </w:r>
            <w:r>
              <w:rPr>
                <w:rFonts w:hint="eastAsia" w:ascii="仿宋_GB2312" w:eastAsia="仿宋_GB2312"/>
                <w:color w:val="000000" w:themeColor="text1"/>
                <w:kern w:val="0"/>
                <w:sz w:val="24"/>
              </w:rPr>
              <w:t>。</w:t>
            </w:r>
          </w:p>
          <w:p>
            <w:pPr>
              <w:snapToGrid w:val="0"/>
              <w:spacing w:line="360" w:lineRule="exact"/>
              <w:ind w:left="480" w:leftChars="150" w:firstLine="0" w:firstLineChars="0"/>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（五）南昌（国家）大学科技城</w:t>
            </w:r>
          </w:p>
          <w:p>
            <w:pPr>
              <w:snapToGrid w:val="0"/>
              <w:spacing w:line="360" w:lineRule="exact"/>
              <w:ind w:firstLine="480"/>
              <w:rPr>
                <w:rFonts w:ascii="仿宋_GB2312" w:hAnsi="仿宋_GB2312" w:eastAsia="仿宋_GB2312" w:cs="仿宋_GB2312"/>
                <w:b/>
                <w:color w:val="000000" w:themeColor="text1"/>
                <w:sz w:val="24"/>
              </w:rPr>
            </w:pPr>
            <w:r>
              <w:rPr>
                <w:rFonts w:hint="eastAsia" w:ascii="仿宋_GB2312" w:eastAsia="仿宋_GB2312"/>
                <w:color w:val="000000" w:themeColor="text1"/>
                <w:kern w:val="0"/>
                <w:sz w:val="24"/>
              </w:rPr>
              <w:t>位于南昌高新区，通过建设大学科技城科技创新与创意创业集中示范区，形成“一廊五区”空间发展格局，将其打造成全省自主创新发源地、科技成果转化地、高端人才聚集地，成为支撑南昌、引领江西、中部一流、具有全国影响力的大学科技城。</w:t>
            </w:r>
            <w:r>
              <w:rPr>
                <w:rFonts w:hint="eastAsia" w:ascii="仿宋_GB2312" w:eastAsia="仿宋_GB2312"/>
                <w:color w:val="000000" w:themeColor="text1"/>
                <w:kern w:val="0"/>
                <w:sz w:val="24"/>
              </w:rPr>
              <w:br w:type="textWrapping"/>
            </w:r>
            <w:r>
              <w:rPr>
                <w:rFonts w:hint="eastAsia" w:ascii="仿宋_GB2312" w:eastAsia="仿宋_GB2312"/>
                <w:color w:val="000000" w:themeColor="text1"/>
                <w:kern w:val="0"/>
                <w:sz w:val="24"/>
              </w:rPr>
              <w:t xml:space="preserve">    </w:t>
            </w:r>
            <w:r>
              <w:rPr>
                <w:rFonts w:hint="eastAsia" w:ascii="仿宋_GB2312" w:hAnsi="仿宋_GB2312" w:eastAsia="仿宋_GB2312" w:cs="仿宋_GB2312"/>
                <w:b/>
                <w:color w:val="000000" w:themeColor="text1"/>
                <w:sz w:val="24"/>
              </w:rPr>
              <w:t>（六）前湖科创园</w:t>
            </w:r>
          </w:p>
          <w:p>
            <w:pPr>
              <w:widowControl/>
              <w:snapToGrid w:val="0"/>
              <w:spacing w:line="360" w:lineRule="exact"/>
              <w:ind w:firstLine="480"/>
              <w:rPr>
                <w:rFonts w:ascii="仿宋_GB2312" w:hAnsi="仿宋_GB2312" w:eastAsia="仿宋_GB2312" w:cs="仿宋_GB2312"/>
                <w:color w:val="000000" w:themeColor="text1"/>
                <w:kern w:val="0"/>
                <w:sz w:val="24"/>
              </w:rPr>
            </w:pPr>
            <w:r>
              <w:rPr>
                <w:rFonts w:hint="eastAsia" w:ascii="仿宋_GB2312" w:hAnsi="仿宋_GB2312" w:eastAsia="仿宋_GB2312" w:cs="仿宋_GB2312"/>
                <w:bCs/>
                <w:color w:val="000000" w:themeColor="text1"/>
                <w:kern w:val="0"/>
                <w:sz w:val="24"/>
              </w:rPr>
              <w:t>定位为未来科创中心，发挥南昌大学、南昌航空大学、江西科技师范大学等高校研发资源优势，链接区域内大中小企业和各类机构，依托 “孵化场地</w:t>
            </w:r>
            <w:r>
              <w:rPr>
                <w:rFonts w:hint="eastAsia" w:ascii="仿宋_GB2312" w:hAnsi="仿宋_GB2312" w:eastAsia="仿宋_GB2312" w:cs="仿宋_GB2312"/>
                <w:color w:val="000000" w:themeColor="text1"/>
                <w:kern w:val="0"/>
                <w:sz w:val="24"/>
              </w:rPr>
              <w:t>+综合服务+产业赋能+投资基金”创新孵化模式，打造赣江两岸科创大走廊“新地标”。</w:t>
            </w:r>
          </w:p>
          <w:p>
            <w:pPr>
              <w:snapToGrid w:val="0"/>
              <w:spacing w:line="360" w:lineRule="exact"/>
              <w:ind w:firstLine="482"/>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（七）昌北高校科创谷</w:t>
            </w:r>
          </w:p>
          <w:p>
            <w:pPr>
              <w:widowControl/>
              <w:snapToGrid w:val="0"/>
              <w:spacing w:line="360" w:lineRule="exact"/>
              <w:ind w:firstLine="48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依托南昌经开区白水湖片区，以江西财大、华东交大、江西农大等省内知名高校为主力，推动高等教育、科技创新、新兴产业深度融合，打造具有全国影响力的高校科创谷。</w:t>
            </w:r>
          </w:p>
          <w:p>
            <w:pPr>
              <w:widowControl/>
              <w:snapToGrid w:val="0"/>
              <w:spacing w:line="360" w:lineRule="exact"/>
              <w:ind w:firstLine="480"/>
              <w:rPr>
                <w:rFonts w:ascii="仿宋_GB2312" w:eastAsia="仿宋_GB2312"/>
                <w:color w:val="000000" w:themeColor="text1"/>
                <w:kern w:val="0"/>
                <w:sz w:val="24"/>
              </w:rPr>
            </w:pPr>
          </w:p>
        </w:tc>
      </w:tr>
    </w:tbl>
    <w:p>
      <w:pPr>
        <w:pStyle w:val="59"/>
        <w:ind w:firstLine="640"/>
      </w:pPr>
      <w:bookmarkStart w:id="104" w:name="_Toc57194184"/>
      <w:bookmarkStart w:id="105" w:name="_Toc57195645"/>
      <w:bookmarkStart w:id="106" w:name="_Toc25133"/>
    </w:p>
    <w:p>
      <w:pPr>
        <w:pStyle w:val="74"/>
        <w:spacing w:line="580" w:lineRule="exact"/>
        <w:rPr>
          <w:rFonts w:ascii="楷体_GB2312" w:eastAsia="楷体_GB2312"/>
          <w:color w:val="000000" w:themeColor="text1"/>
        </w:rPr>
      </w:pPr>
      <w:bookmarkStart w:id="107" w:name="_Toc64542106"/>
      <w:bookmarkStart w:id="108" w:name="_Toc21305"/>
      <w:r>
        <w:rPr>
          <w:rFonts w:hint="eastAsia" w:ascii="楷体_GB2312" w:eastAsia="楷体_GB2312"/>
          <w:color w:val="000000" w:themeColor="text1"/>
        </w:rPr>
        <w:t>第二节  培育发展高能级创新平台</w:t>
      </w:r>
      <w:bookmarkEnd w:id="104"/>
      <w:bookmarkEnd w:id="105"/>
      <w:bookmarkEnd w:id="106"/>
      <w:bookmarkEnd w:id="107"/>
      <w:bookmarkEnd w:id="108"/>
    </w:p>
    <w:p>
      <w:pPr>
        <w:pStyle w:val="2"/>
        <w:spacing w:after="0" w:line="580" w:lineRule="exact"/>
        <w:ind w:firstLine="640" w:firstLineChars="200"/>
        <w:rPr>
          <w:rFonts w:eastAsia="仿宋_GB2312" w:cs="仿宋_GB2312"/>
          <w:color w:val="000000" w:themeColor="text1"/>
          <w:szCs w:val="34"/>
        </w:rPr>
      </w:pPr>
    </w:p>
    <w:p>
      <w:pPr>
        <w:pStyle w:val="2"/>
        <w:spacing w:after="0" w:line="558" w:lineRule="exact"/>
        <w:ind w:firstLine="640" w:firstLineChars="200"/>
        <w:rPr>
          <w:rFonts w:eastAsia="仿宋_GB2312" w:cs="仿宋_GB2312"/>
          <w:color w:val="000000" w:themeColor="text1"/>
          <w:szCs w:val="34"/>
        </w:rPr>
      </w:pPr>
      <w:r>
        <w:rPr>
          <w:rFonts w:hint="eastAsia" w:eastAsia="仿宋_GB2312" w:cs="仿宋_GB2312"/>
          <w:color w:val="000000" w:themeColor="text1"/>
          <w:szCs w:val="34"/>
        </w:rPr>
        <w:t>紧紧抓住国家创新体系战略性重构重大机遇，实施国家级创新平台攻坚行动。</w:t>
      </w:r>
      <w:r>
        <w:rPr>
          <w:rFonts w:hint="eastAsia" w:ascii="仿宋_GB2312" w:hAnsi="宋体" w:eastAsia="仿宋_GB2312" w:cs="Times New Roman"/>
          <w:kern w:val="0"/>
          <w:szCs w:val="32"/>
        </w:rPr>
        <w:t>积极对接科技部、中科院，争取国家大科学装置布局，力争“零的突破”。</w:t>
      </w:r>
      <w:r>
        <w:rPr>
          <w:rFonts w:hint="eastAsia" w:eastAsia="仿宋_GB2312" w:cs="仿宋_GB2312"/>
          <w:color w:val="000000" w:themeColor="text1"/>
          <w:szCs w:val="34"/>
        </w:rPr>
        <w:t>推动新材料、食品、航空领域创建国家实验室，创建一批国家重点实验室、国家技术创新中心等国家级创新平台。</w:t>
      </w:r>
      <w:r>
        <w:rPr>
          <w:rFonts w:hint="eastAsia" w:ascii="仿宋_GB2312" w:hAnsi="宋体" w:eastAsia="仿宋_GB2312" w:cs="Times New Roman"/>
          <w:kern w:val="0"/>
          <w:szCs w:val="32"/>
        </w:rPr>
        <w:t>推动国家级“大院大所”在昌设立分院、分校，推动北京大学南昌创新研究院、浙江大学南昌研究院、中山大学南昌研究院、北京理工大学（南昌）虚拟现实研究院、中科生态修复（江西）创新研究院等落地见效</w:t>
      </w:r>
      <w:r>
        <w:rPr>
          <w:rFonts w:hint="eastAsia" w:ascii="仿宋_GB2312" w:hAnsi="仿宋_GB2312" w:eastAsia="仿宋_GB2312" w:cs="仿宋_GB2312"/>
          <w:color w:val="000000" w:themeColor="text1"/>
          <w:kern w:val="0"/>
          <w:szCs w:val="32"/>
        </w:rPr>
        <w:t>。</w:t>
      </w:r>
      <w:r>
        <w:rPr>
          <w:rFonts w:hint="eastAsia" w:eastAsia="仿宋_GB2312" w:cs="仿宋_GB2312"/>
          <w:color w:val="000000" w:themeColor="text1"/>
          <w:szCs w:val="34"/>
        </w:rPr>
        <w:t>推动创新孵化载体协同发展，打造区域科技创新孵化载体高地。</w:t>
      </w:r>
      <w:bookmarkStart w:id="109" w:name="_Toc57195648"/>
      <w:bookmarkStart w:id="110" w:name="_Toc57194187"/>
      <w:bookmarkStart w:id="111" w:name="_Toc57194185"/>
      <w:bookmarkStart w:id="112" w:name="_Toc57195646"/>
    </w:p>
    <w:p>
      <w:pPr>
        <w:pStyle w:val="2"/>
        <w:spacing w:after="0" w:line="558" w:lineRule="exact"/>
        <w:ind w:firstLine="640" w:firstLineChars="200"/>
        <w:rPr>
          <w:rFonts w:eastAsia="仿宋_GB2312" w:cs="仿宋_GB2312"/>
          <w:color w:val="000000" w:themeColor="text1"/>
          <w:szCs w:val="34"/>
        </w:rPr>
      </w:pPr>
    </w:p>
    <w:p>
      <w:pPr>
        <w:pStyle w:val="74"/>
        <w:adjustRightInd/>
        <w:snapToGrid/>
        <w:spacing w:line="558" w:lineRule="exact"/>
        <w:rPr>
          <w:rFonts w:ascii="楷体_GB2312" w:eastAsia="楷体_GB2312"/>
        </w:rPr>
      </w:pPr>
      <w:bookmarkStart w:id="113" w:name="_Toc7124"/>
      <w:bookmarkStart w:id="114" w:name="_Toc22985"/>
      <w:bookmarkStart w:id="115" w:name="_Toc64542107"/>
      <w:r>
        <w:rPr>
          <w:rFonts w:hint="eastAsia" w:ascii="楷体_GB2312" w:eastAsia="楷体_GB2312"/>
        </w:rPr>
        <w:t>第三</w:t>
      </w:r>
      <w:bookmarkEnd w:id="109"/>
      <w:bookmarkEnd w:id="110"/>
      <w:r>
        <w:rPr>
          <w:rFonts w:hint="eastAsia" w:ascii="楷体_GB2312" w:eastAsia="楷体_GB2312"/>
        </w:rPr>
        <w:t>节  强化国家科技战略力量</w:t>
      </w:r>
      <w:bookmarkEnd w:id="113"/>
      <w:bookmarkEnd w:id="114"/>
      <w:bookmarkEnd w:id="115"/>
    </w:p>
    <w:p>
      <w:pPr>
        <w:spacing w:line="558" w:lineRule="exact"/>
        <w:ind w:firstLine="624"/>
        <w:rPr>
          <w:rFonts w:eastAsia="仿宋_GB2312" w:cs="宋体"/>
          <w:color w:val="000000" w:themeColor="text1"/>
          <w:spacing w:val="-4"/>
          <w:szCs w:val="34"/>
        </w:rPr>
      </w:pPr>
    </w:p>
    <w:p>
      <w:pPr>
        <w:spacing w:line="558" w:lineRule="exact"/>
        <w:ind w:firstLine="624"/>
        <w:rPr>
          <w:rFonts w:ascii="仿宋_GB2312" w:eastAsia="仿宋_GB2312"/>
          <w:color w:val="000000" w:themeColor="text1"/>
          <w:spacing w:val="-4"/>
          <w:kern w:val="0"/>
        </w:rPr>
      </w:pPr>
      <w:r>
        <w:rPr>
          <w:rFonts w:hint="eastAsia" w:eastAsia="仿宋_GB2312" w:cs="宋体"/>
          <w:color w:val="000000" w:themeColor="text1"/>
          <w:spacing w:val="-4"/>
          <w:szCs w:val="34"/>
        </w:rPr>
        <w:t>实施学科共建突破工程，积极承接国家基础科学研究任务，参与战略性科学计划和科学工程，力争在信息科学、生命科学、材料科学、食品科学、现代农业等领域攻克若干共性基础技术，推动基础研究、应用研究和技术创新贯通发展。</w:t>
      </w:r>
      <w:r>
        <w:rPr>
          <w:rFonts w:hint="eastAsia" w:eastAsia="仿宋_GB2312" w:cs="仿宋_GB2312"/>
          <w:color w:val="000000" w:themeColor="text1"/>
          <w:spacing w:val="-4"/>
          <w:szCs w:val="34"/>
        </w:rPr>
        <w:t>改进科技项目组织管理，</w:t>
      </w:r>
      <w:r>
        <w:rPr>
          <w:rFonts w:hint="eastAsia" w:eastAsia="仿宋_GB2312" w:cs="宋体"/>
          <w:color w:val="000000" w:themeColor="text1"/>
          <w:spacing w:val="-4"/>
          <w:szCs w:val="34"/>
        </w:rPr>
        <w:t>积极对接国家重大科技项目。实施关键核心技术攻坚行动，聚焦汽车设计研发、无人驾驶、航空设计研发制造、虚拟现实基础研究和应用、新材料研发等技术创新，部署一批重大科技专项。推广运用“揭榜挂帅”、择优委托等方式，力争在航空复合材料、集成电路、微机电系统（MEMS）、中医药新药、新型显示技术、高端精密制造、感知交互技术等领域取得突破。</w:t>
      </w:r>
      <w:r>
        <w:rPr>
          <w:rFonts w:hint="eastAsia" w:ascii="仿宋_GB2312" w:eastAsia="仿宋_GB2312"/>
          <w:color w:val="000000" w:themeColor="text1"/>
          <w:spacing w:val="-4"/>
          <w:kern w:val="0"/>
        </w:rPr>
        <w:t>完善关键核心技术攻坚机制，建立健全产业链风险清单，滚动编制关键核心技术攻关清单，加快形成一批高价值专利组合。健全优化平战结合的疫情防控和公共卫生科研攻关体系，加大对新发突发重大传染病的研发攻关支持力度，提升应对重大公共卫生事件能力。</w:t>
      </w:r>
    </w:p>
    <w:p>
      <w:pPr>
        <w:pStyle w:val="2"/>
        <w:spacing w:line="578" w:lineRule="exact"/>
        <w:ind w:firstLine="320"/>
      </w:pPr>
    </w:p>
    <w:p>
      <w:pPr>
        <w:pStyle w:val="2"/>
        <w:spacing w:line="578" w:lineRule="exact"/>
        <w:ind w:firstLine="320"/>
      </w:pPr>
    </w:p>
    <w:p>
      <w:pPr>
        <w:pStyle w:val="74"/>
        <w:adjustRightInd/>
        <w:snapToGrid/>
        <w:spacing w:line="578" w:lineRule="exact"/>
        <w:rPr>
          <w:rFonts w:ascii="楷体_GB2312" w:eastAsia="楷体_GB2312"/>
        </w:rPr>
      </w:pPr>
      <w:bookmarkStart w:id="116" w:name="_Toc22782"/>
      <w:bookmarkStart w:id="117" w:name="_Toc64542108"/>
      <w:bookmarkStart w:id="118" w:name="_Toc30589"/>
    </w:p>
    <w:p>
      <w:pPr>
        <w:pStyle w:val="74"/>
        <w:adjustRightInd/>
        <w:snapToGrid/>
        <w:spacing w:line="578" w:lineRule="exact"/>
        <w:rPr>
          <w:rFonts w:ascii="楷体_GB2312" w:eastAsia="楷体_GB2312"/>
        </w:rPr>
      </w:pPr>
    </w:p>
    <w:p>
      <w:pPr>
        <w:pStyle w:val="74"/>
        <w:adjustRightInd/>
        <w:snapToGrid/>
        <w:spacing w:line="578" w:lineRule="exact"/>
        <w:rPr>
          <w:rFonts w:ascii="楷体_GB2312" w:eastAsia="楷体_GB2312"/>
        </w:rPr>
      </w:pPr>
      <w:r>
        <w:rPr>
          <w:rFonts w:hint="eastAsia" w:ascii="楷体_GB2312" w:eastAsia="楷体_GB2312"/>
        </w:rPr>
        <w:t>第四节  推进高层次创新开放合作</w:t>
      </w:r>
      <w:bookmarkEnd w:id="116"/>
      <w:bookmarkEnd w:id="117"/>
      <w:bookmarkEnd w:id="118"/>
    </w:p>
    <w:p>
      <w:pPr>
        <w:spacing w:line="578" w:lineRule="exact"/>
        <w:ind w:firstLine="640"/>
        <w:rPr>
          <w:rFonts w:ascii="仿宋_GB2312" w:eastAsia="仿宋_GB2312"/>
          <w:color w:val="000000" w:themeColor="text1"/>
          <w:kern w:val="0"/>
        </w:rPr>
      </w:pPr>
    </w:p>
    <w:p>
      <w:pPr>
        <w:spacing w:line="578" w:lineRule="exact"/>
        <w:ind w:firstLine="640"/>
        <w:rPr>
          <w:rFonts w:ascii="仿宋_GB2312" w:eastAsia="仿宋_GB2312"/>
          <w:color w:val="000000" w:themeColor="text1"/>
          <w:kern w:val="0"/>
        </w:rPr>
      </w:pPr>
      <w:r>
        <w:rPr>
          <w:rFonts w:hint="eastAsia" w:ascii="仿宋_GB2312" w:eastAsia="仿宋_GB2312"/>
          <w:color w:val="000000" w:themeColor="text1"/>
          <w:kern w:val="0"/>
        </w:rPr>
        <w:t>统筹利用全球科技创新资源，以美国、欧盟、日韩为重点，引进集聚高端创新要素和一流科技人才，建设一批国际化科技创新载体和科技成果转化平台。对接北京、上海、粤港澳大湾区等国际科技创新中心，建立原始创新与应用创新结合的跨区域创新共同体，推动创新链、产业链、价值链深度融合。加强与赣州稀金科创城、上饶大数据科创城、鹰潭智慧科创城等省内创新载体的联动与合作。</w:t>
      </w:r>
    </w:p>
    <w:p>
      <w:pPr>
        <w:pStyle w:val="2"/>
        <w:spacing w:line="578" w:lineRule="exact"/>
        <w:ind w:firstLine="320"/>
      </w:pPr>
    </w:p>
    <w:p>
      <w:pPr>
        <w:pStyle w:val="23"/>
        <w:adjustRightInd/>
        <w:snapToGrid/>
        <w:spacing w:line="578" w:lineRule="exact"/>
        <w:rPr>
          <w:b w:val="0"/>
          <w:color w:val="000000" w:themeColor="text1"/>
        </w:rPr>
      </w:pPr>
      <w:bookmarkStart w:id="119" w:name="_Toc20224"/>
      <w:bookmarkStart w:id="120" w:name="_Toc24563"/>
      <w:bookmarkStart w:id="121" w:name="_Toc64542109"/>
      <w:r>
        <w:rPr>
          <w:rFonts w:hint="eastAsia"/>
          <w:b w:val="0"/>
          <w:color w:val="000000" w:themeColor="text1"/>
        </w:rPr>
        <w:t>第八</w:t>
      </w:r>
      <w:bookmarkEnd w:id="111"/>
      <w:bookmarkEnd w:id="112"/>
      <w:r>
        <w:rPr>
          <w:rFonts w:hint="eastAsia"/>
          <w:b w:val="0"/>
          <w:color w:val="000000" w:themeColor="text1"/>
        </w:rPr>
        <w:t>章  构建以企业为主体的技术创新体系</w:t>
      </w:r>
      <w:bookmarkEnd w:id="119"/>
      <w:bookmarkEnd w:id="120"/>
      <w:bookmarkEnd w:id="121"/>
    </w:p>
    <w:p>
      <w:pPr>
        <w:spacing w:line="578" w:lineRule="exact"/>
        <w:ind w:firstLine="640"/>
        <w:rPr>
          <w:rFonts w:ascii="仿宋_GB2312" w:eastAsia="仿宋_GB2312"/>
          <w:color w:val="000000" w:themeColor="text1"/>
          <w:kern w:val="0"/>
        </w:rPr>
      </w:pPr>
    </w:p>
    <w:p>
      <w:pPr>
        <w:spacing w:line="578" w:lineRule="exact"/>
        <w:ind w:firstLine="640"/>
        <w:rPr>
          <w:rFonts w:ascii="仿宋_GB2312" w:eastAsia="仿宋_GB2312"/>
          <w:color w:val="000000" w:themeColor="text1"/>
          <w:kern w:val="0"/>
        </w:rPr>
      </w:pPr>
      <w:r>
        <w:rPr>
          <w:rFonts w:hint="eastAsia" w:ascii="仿宋_GB2312" w:eastAsia="仿宋_GB2312"/>
          <w:szCs w:val="32"/>
        </w:rPr>
        <w:t>大力培育科技型企业，强化企业创新主体地位，构建以企业为主体、市场为导向、产学研相结合的技术创新体系</w:t>
      </w:r>
      <w:r>
        <w:rPr>
          <w:rFonts w:hint="eastAsia" w:ascii="仿宋_GB2312" w:eastAsia="仿宋_GB2312"/>
          <w:color w:val="000000" w:themeColor="text1"/>
          <w:kern w:val="0"/>
        </w:rPr>
        <w:t>。</w:t>
      </w:r>
    </w:p>
    <w:p>
      <w:pPr>
        <w:pStyle w:val="31"/>
        <w:autoSpaceDN/>
        <w:spacing w:line="578" w:lineRule="exact"/>
        <w:ind w:firstLine="640"/>
      </w:pPr>
    </w:p>
    <w:p>
      <w:pPr>
        <w:pStyle w:val="74"/>
        <w:adjustRightInd/>
        <w:snapToGrid/>
        <w:spacing w:line="578" w:lineRule="exact"/>
        <w:rPr>
          <w:rFonts w:ascii="楷体_GB2312" w:eastAsia="楷体_GB2312"/>
          <w:color w:val="000000" w:themeColor="text1"/>
        </w:rPr>
      </w:pPr>
      <w:bookmarkStart w:id="122" w:name="_Toc57195644"/>
      <w:bookmarkStart w:id="123" w:name="_Toc57194183"/>
      <w:bookmarkStart w:id="124" w:name="_Toc64542110"/>
      <w:bookmarkStart w:id="125" w:name="_Toc13389"/>
      <w:bookmarkStart w:id="126" w:name="_Toc19747"/>
      <w:r>
        <w:rPr>
          <w:rFonts w:hint="eastAsia" w:ascii="楷体_GB2312" w:eastAsia="楷体_GB2312"/>
          <w:color w:val="000000" w:themeColor="text1"/>
        </w:rPr>
        <w:t>第一节  全力夯实企业创新</w:t>
      </w:r>
      <w:bookmarkEnd w:id="122"/>
      <w:bookmarkEnd w:id="123"/>
      <w:r>
        <w:rPr>
          <w:rFonts w:hint="eastAsia" w:ascii="楷体_GB2312" w:eastAsia="楷体_GB2312"/>
          <w:color w:val="000000" w:themeColor="text1"/>
        </w:rPr>
        <w:t>主体地位</w:t>
      </w:r>
      <w:bookmarkEnd w:id="124"/>
      <w:bookmarkEnd w:id="125"/>
      <w:bookmarkEnd w:id="126"/>
    </w:p>
    <w:p>
      <w:pPr>
        <w:spacing w:line="578" w:lineRule="exact"/>
        <w:ind w:firstLine="640"/>
        <w:rPr>
          <w:rFonts w:ascii="仿宋_GB2312" w:eastAsia="仿宋_GB2312"/>
          <w:color w:val="000000" w:themeColor="text1"/>
          <w:kern w:val="0"/>
        </w:rPr>
      </w:pPr>
    </w:p>
    <w:p>
      <w:pPr>
        <w:spacing w:line="578" w:lineRule="exact"/>
        <w:ind w:firstLine="640"/>
        <w:rPr>
          <w:rFonts w:ascii="仿宋_GB2312" w:eastAsia="仿宋_GB2312"/>
          <w:color w:val="000000" w:themeColor="text1"/>
          <w:kern w:val="0"/>
        </w:rPr>
      </w:pPr>
      <w:r>
        <w:rPr>
          <w:rFonts w:hint="eastAsia" w:ascii="仿宋_GB2312" w:eastAsia="仿宋_GB2312"/>
          <w:color w:val="000000" w:themeColor="text1"/>
          <w:kern w:val="0"/>
        </w:rPr>
        <w:t>构建科技型中小企业-高新技术企业-创新型领军企业梯次培育机制，实施创新型领军企业培育行动、高新技术企业培育行动、科技型中小企业成长行动和独角兽、瞪羚企业培育行动，不断壮大高新技术企业集群。</w:t>
      </w:r>
      <w:r>
        <w:rPr>
          <w:rFonts w:hint="eastAsia" w:hAnsi="仿宋_GB2312" w:eastAsia="仿宋_GB2312"/>
          <w:color w:val="000000" w:themeColor="text1"/>
          <w:szCs w:val="32"/>
          <w:shd w:val="clear" w:color="auto" w:fill="FFFFFF"/>
        </w:rPr>
        <w:t>实施企业创新能力提升计划，</w:t>
      </w:r>
      <w:r>
        <w:rPr>
          <w:rFonts w:hint="eastAsia" w:hAnsi="仿宋_GB2312" w:eastAsia="仿宋_GB2312"/>
          <w:color w:val="000000" w:themeColor="text1"/>
          <w:szCs w:val="32"/>
        </w:rPr>
        <w:t>支持科技企业承担或参与国家、省重大专项、重大科技攻关等研发任务，鼓励开展核心技术研发。支持科技企业建设重点实验室、院士工作站、博士后工作站等创新平台，鼓励企业引进诺贝尔奖得主、外籍院士共建研究院。探索“企业出题、部门领题、院校破题”模式，推动企业与科研院所创新联动和成果产业化。支持龙头骨干企业牵头组建创新联合体，支持企业通过并购、建立海外研发机构等方式大力引进急需的关键技术。</w:t>
      </w:r>
      <w:r>
        <w:rPr>
          <w:rFonts w:hint="eastAsia" w:ascii="仿宋_GB2312" w:eastAsia="仿宋_GB2312"/>
          <w:color w:val="000000" w:themeColor="text1"/>
          <w:kern w:val="0"/>
        </w:rPr>
        <w:t>有效落实企业研发费用加计扣除、高新技术企业和技术先进型服务企业所得税减免等科技创新税收优惠政策。支持企业积极制（修）订国际、国家技术标准，加快采用先进标准生产的步伐。</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9071" w:type="dxa"/>
            <w:vAlign w:val="center"/>
          </w:tcPr>
          <w:p>
            <w:pPr>
              <w:pStyle w:val="59"/>
              <w:widowControl w:val="0"/>
              <w:adjustRightInd/>
              <w:snapToGrid/>
              <w:spacing w:line="300" w:lineRule="exact"/>
              <w:ind w:firstLine="0" w:firstLineChars="0"/>
              <w:jc w:val="center"/>
              <w:rPr>
                <w:b/>
                <w:color w:val="000000" w:themeColor="text1"/>
                <w:sz w:val="28"/>
                <w:szCs w:val="28"/>
              </w:rPr>
            </w:pPr>
            <w:r>
              <w:rPr>
                <w:rFonts w:hint="eastAsia" w:ascii="黑体" w:hAnsi="黑体" w:eastAsia="黑体" w:cs="黑体"/>
                <w:color w:val="000000" w:themeColor="text1"/>
                <w:sz w:val="28"/>
                <w:szCs w:val="28"/>
              </w:rPr>
              <w:t>专栏3：科技创新型企业培育行动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0" w:hRule="atLeast"/>
          <w:jc w:val="center"/>
        </w:trPr>
        <w:tc>
          <w:tcPr>
            <w:tcW w:w="9071" w:type="dxa"/>
            <w:vAlign w:val="center"/>
          </w:tcPr>
          <w:p>
            <w:pPr>
              <w:pStyle w:val="51"/>
              <w:numPr>
                <w:ilvl w:val="0"/>
                <w:numId w:val="5"/>
              </w:numPr>
              <w:spacing w:line="360" w:lineRule="exact"/>
              <w:ind w:left="0" w:firstLineChars="0"/>
              <w:rPr>
                <w:rFonts w:ascii="仿宋_GB2312" w:hAnsi="仿宋_GB2312" w:eastAsia="仿宋_GB2312" w:cs="仿宋_GB2312"/>
                <w:color w:val="000000" w:themeColor="text1"/>
                <w:sz w:val="24"/>
              </w:rPr>
            </w:pPr>
            <w:r>
              <w:rPr>
                <w:rFonts w:hint="eastAsia" w:ascii="仿宋_GB2312" w:eastAsia="仿宋_GB2312"/>
                <w:b/>
                <w:color w:val="000000" w:themeColor="text1"/>
                <w:sz w:val="24"/>
              </w:rPr>
              <w:t xml:space="preserve">    </w:t>
            </w:r>
            <w:r>
              <w:rPr>
                <w:rFonts w:hint="eastAsia" w:ascii="仿宋_GB2312" w:hAnsi="仿宋_GB2312" w:eastAsia="仿宋_GB2312" w:cs="仿宋_GB2312"/>
                <w:b/>
                <w:color w:val="000000" w:themeColor="text1"/>
                <w:sz w:val="24"/>
              </w:rPr>
              <w:t>（一）创新型领军企业培育行动</w:t>
            </w:r>
          </w:p>
          <w:p>
            <w:pPr>
              <w:spacing w:line="320" w:lineRule="exact"/>
              <w:ind w:firstLine="48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围绕战略性新兴产业和支柱产业，确定一批具有行业示范、带动作用的创新型领军企业，支持打通产业链、创新链和金融链，引领全市产业发展。到2025年，创新型领军企业数突破200家。</w:t>
            </w:r>
          </w:p>
          <w:p>
            <w:pPr>
              <w:spacing w:line="320" w:lineRule="exact"/>
              <w:ind w:firstLine="482"/>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（二）高新技术企业培育行动</w:t>
            </w:r>
          </w:p>
          <w:p>
            <w:pPr>
              <w:spacing w:line="320" w:lineRule="exact"/>
              <w:ind w:firstLine="48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建立高新技术企业培育库，建立滚动实施培育机制，完善扶持政策。通过引导企业加大研发投入、改善科研条件、引进科技人才、实施技术改造工程。力争每年推动30家以上规模以下高新技术企业成长为规模以上企业，70家以上规模以上企业发展成为高新技术企业。到2025年，力争高新技术企业数突破3500家。</w:t>
            </w:r>
          </w:p>
          <w:p>
            <w:pPr>
              <w:spacing w:line="320" w:lineRule="exact"/>
              <w:ind w:firstLine="482"/>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（三）科技型中小企业成长行动</w:t>
            </w:r>
          </w:p>
          <w:p>
            <w:pPr>
              <w:spacing w:line="320" w:lineRule="exact"/>
              <w:ind w:firstLine="48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发挥科技型中小企业创新生力军作用，以规模做大、实力做强为目标，实现科技型中小企业裂变式增长、集群化发展。加快推动科技型中小企业-高新技术企业的梯次培育。到2025年，争取科技型中小企业数达4000家。</w:t>
            </w:r>
          </w:p>
          <w:p>
            <w:pPr>
              <w:spacing w:line="320" w:lineRule="exact"/>
              <w:ind w:firstLine="482"/>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（四）独角兽、瞪羚企业培育行动</w:t>
            </w:r>
          </w:p>
          <w:p>
            <w:pPr>
              <w:spacing w:line="320" w:lineRule="exact"/>
              <w:ind w:firstLine="480"/>
              <w:rPr>
                <w:rFonts w:ascii="仿宋_GB2312" w:eastAsia="仿宋_GB2312"/>
                <w:color w:val="000000" w:themeColor="text1"/>
                <w:sz w:val="24"/>
              </w:rPr>
            </w:pPr>
            <w:r>
              <w:rPr>
                <w:rFonts w:hint="eastAsia" w:ascii="仿宋_GB2312" w:hAnsi="仿宋_GB2312" w:eastAsia="仿宋_GB2312" w:cs="仿宋_GB2312"/>
                <w:color w:val="000000" w:themeColor="text1"/>
                <w:sz w:val="24"/>
              </w:rPr>
              <w:t>重点在医药和生物、航天航空、新一代电子信息技术、高端装备制造、新能源和能源汽车等领域，引进和培育一批独角兽、瞪羚企业。支持独角兽、瞪羚企业及培育企业开展研发活动、建立研发机构、申报各类研发计划、引进和培育高层次人才、上市和发行公司债券融资。到2025年，培育独角兽企业2家、瞪羚企业150家。</w:t>
            </w:r>
          </w:p>
        </w:tc>
      </w:tr>
    </w:tbl>
    <w:p>
      <w:pPr>
        <w:ind w:firstLine="640"/>
      </w:pPr>
      <w:bookmarkStart w:id="127" w:name="_Toc57195649"/>
      <w:bookmarkStart w:id="128" w:name="_Toc57194188"/>
      <w:r>
        <w:br w:type="page"/>
      </w:r>
    </w:p>
    <w:p>
      <w:pPr>
        <w:pStyle w:val="74"/>
        <w:adjustRightInd/>
        <w:snapToGrid/>
        <w:spacing w:line="580" w:lineRule="exact"/>
        <w:rPr>
          <w:rFonts w:ascii="楷体_GB2312" w:eastAsia="楷体_GB2312"/>
          <w:color w:val="000000" w:themeColor="text1"/>
        </w:rPr>
      </w:pPr>
      <w:bookmarkStart w:id="129" w:name="_Toc22207"/>
      <w:bookmarkStart w:id="130" w:name="_Toc14385"/>
      <w:bookmarkStart w:id="131" w:name="_Toc64542111"/>
    </w:p>
    <w:p>
      <w:pPr>
        <w:pStyle w:val="74"/>
        <w:adjustRightInd/>
        <w:snapToGrid/>
        <w:spacing w:line="580" w:lineRule="exact"/>
        <w:rPr>
          <w:rFonts w:ascii="楷体_GB2312" w:eastAsia="楷体_GB2312"/>
          <w:color w:val="000000" w:themeColor="text1"/>
        </w:rPr>
      </w:pPr>
      <w:r>
        <w:rPr>
          <w:rFonts w:hint="eastAsia" w:ascii="楷体_GB2312" w:eastAsia="楷体_GB2312"/>
          <w:color w:val="000000" w:themeColor="text1"/>
        </w:rPr>
        <w:t>第二节  强化创新成果转移转化</w:t>
      </w:r>
      <w:bookmarkEnd w:id="127"/>
      <w:bookmarkEnd w:id="128"/>
      <w:bookmarkEnd w:id="129"/>
      <w:bookmarkEnd w:id="130"/>
      <w:bookmarkEnd w:id="131"/>
    </w:p>
    <w:p>
      <w:pPr>
        <w:spacing w:line="580" w:lineRule="exact"/>
        <w:ind w:firstLine="640"/>
        <w:rPr>
          <w:rFonts w:ascii="仿宋_GB2312" w:eastAsia="仿宋_GB2312"/>
          <w:color w:val="000000" w:themeColor="text1"/>
          <w:kern w:val="0"/>
        </w:rPr>
      </w:pPr>
    </w:p>
    <w:p>
      <w:pPr>
        <w:spacing w:line="580" w:lineRule="exact"/>
        <w:ind w:firstLine="640"/>
        <w:rPr>
          <w:rFonts w:ascii="Times New Roman" w:hAnsi="Times New Roman" w:eastAsia="仿宋_GB2312" w:cs="仿宋_GB2312"/>
          <w:color w:val="000000" w:themeColor="text1"/>
          <w:szCs w:val="34"/>
        </w:rPr>
      </w:pPr>
      <w:r>
        <w:rPr>
          <w:rFonts w:hint="eastAsia" w:ascii="仿宋_GB2312" w:eastAsia="仿宋_GB2312"/>
          <w:color w:val="000000" w:themeColor="text1"/>
          <w:kern w:val="0"/>
        </w:rPr>
        <w:t>完善创新成果交易转化机制，落实科技成果处置权与收益权改革政策。发展科技中介专业服务，培育和聚集一批咨询、评估、知识产权、投融资等方面的中介服务机构，建立贯通研发、交易、转化等全过程服务体系，疏通应用基础研究和产业化连接的快车道，实现科技成果线上线下快速交易，加快建设南昌市技术转移中心，支持在国家级开发区设立转移转化分中心。</w:t>
      </w:r>
      <w:r>
        <w:rPr>
          <w:rFonts w:hint="eastAsia" w:ascii="Times New Roman" w:hAnsi="Times New Roman" w:eastAsia="仿宋_GB2312" w:cs="仿宋_GB2312"/>
          <w:color w:val="000000" w:themeColor="text1"/>
          <w:szCs w:val="34"/>
        </w:rPr>
        <w:t>完善市场需求和重大工程项目牵引自主创新产品应用的政策体系。</w:t>
      </w:r>
      <w:bookmarkStart w:id="132" w:name="_Toc57194189"/>
      <w:bookmarkStart w:id="133" w:name="_Toc57195650"/>
    </w:p>
    <w:p>
      <w:pPr>
        <w:pStyle w:val="31"/>
        <w:spacing w:line="580" w:lineRule="exact"/>
        <w:ind w:firstLine="640"/>
      </w:pPr>
    </w:p>
    <w:p>
      <w:pPr>
        <w:pStyle w:val="23"/>
        <w:adjustRightInd/>
        <w:snapToGrid/>
        <w:spacing w:line="580" w:lineRule="exact"/>
        <w:rPr>
          <w:b w:val="0"/>
          <w:color w:val="000000" w:themeColor="text1"/>
        </w:rPr>
      </w:pPr>
      <w:bookmarkStart w:id="134" w:name="_Toc64542112"/>
      <w:bookmarkStart w:id="135" w:name="_Toc29908"/>
      <w:bookmarkStart w:id="136" w:name="_Toc30422"/>
      <w:r>
        <w:rPr>
          <w:rFonts w:hint="eastAsia"/>
          <w:b w:val="0"/>
          <w:color w:val="000000" w:themeColor="text1"/>
        </w:rPr>
        <w:t>第九章  营造良好创新生态</w:t>
      </w:r>
      <w:bookmarkEnd w:id="132"/>
      <w:bookmarkEnd w:id="133"/>
      <w:bookmarkEnd w:id="134"/>
      <w:bookmarkEnd w:id="135"/>
      <w:bookmarkEnd w:id="136"/>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加快科技创新体制机制改革，建立多元化创新投入机制，加强知识产权保护，优化创新生态，营造良好创新氛围。</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137" w:name="_Toc64542113"/>
      <w:bookmarkStart w:id="138" w:name="_Toc57195647"/>
      <w:bookmarkStart w:id="139" w:name="_Toc3706"/>
      <w:bookmarkStart w:id="140" w:name="_Toc57194186"/>
      <w:bookmarkStart w:id="141" w:name="_Toc31472"/>
      <w:r>
        <w:rPr>
          <w:rFonts w:hint="eastAsia" w:ascii="楷体_GB2312" w:eastAsia="楷体_GB2312"/>
          <w:color w:val="000000" w:themeColor="text1"/>
        </w:rPr>
        <w:t>第一节  完善科技创新体制机制</w:t>
      </w:r>
      <w:bookmarkEnd w:id="137"/>
      <w:bookmarkEnd w:id="138"/>
      <w:bookmarkEnd w:id="139"/>
      <w:bookmarkEnd w:id="140"/>
      <w:bookmarkEnd w:id="141"/>
      <w:bookmarkStart w:id="142" w:name="_Toc57194190"/>
      <w:bookmarkStart w:id="143" w:name="_Toc57195651"/>
    </w:p>
    <w:p>
      <w:pPr>
        <w:spacing w:line="580" w:lineRule="exact"/>
        <w:ind w:firstLine="640"/>
        <w:rPr>
          <w:rFonts w:ascii="仿宋_GB2312" w:eastAsia="仿宋_GB2312"/>
          <w:color w:val="000000" w:themeColor="text1"/>
          <w:kern w:val="0"/>
        </w:rPr>
      </w:pPr>
    </w:p>
    <w:p>
      <w:pPr>
        <w:spacing w:line="580" w:lineRule="exact"/>
        <w:ind w:firstLine="640"/>
      </w:pPr>
      <w:r>
        <w:rPr>
          <w:rFonts w:hint="eastAsia" w:ascii="仿宋_GB2312" w:eastAsia="仿宋_GB2312"/>
          <w:color w:val="000000" w:themeColor="text1"/>
          <w:kern w:val="0"/>
        </w:rPr>
        <w:t>深化科技计划管理体系改革，健全科研项目生成、立项机制，严格实行目标任务验收，改革科研项目资金管理方式。</w:t>
      </w:r>
      <w:r>
        <w:rPr>
          <w:rFonts w:hint="eastAsia" w:ascii="仿宋_GB2312" w:hAnsi="仿宋_GB2312" w:eastAsia="仿宋_GB2312" w:cs="仿宋_GB2312"/>
          <w:szCs w:val="32"/>
        </w:rPr>
        <w:t>创新新型研发机构建设模式，使之成为投资主体多元化、管理制度现代化、运行机制市场化、用人机制灵活化的创新平台</w:t>
      </w:r>
      <w:r>
        <w:rPr>
          <w:rFonts w:hint="eastAsia" w:ascii="仿宋_GB2312" w:eastAsia="仿宋_GB2312"/>
          <w:color w:val="000000" w:themeColor="text1"/>
          <w:kern w:val="0"/>
        </w:rPr>
        <w:t>。健全以创新质量和贡献为导向的绩效评价体系，落实以增加价值为导向的分配政策，构建充分体现创新要素价值的收益分配机制，支持科技成果转化收益向科研人员倾斜。完善“亩均论英雄”评价机制，建立以能力和贡献为导向的人才分配激励机制。对科技人员分类制定评价标准，强化科研成果与市场结果导向。构建科研机构、高校和企业创新人才双向流动机制，打通省市人才流动通道。</w:t>
      </w:r>
    </w:p>
    <w:p>
      <w:pPr>
        <w:pStyle w:val="31"/>
        <w:spacing w:line="580" w:lineRule="exact"/>
        <w:ind w:firstLine="640"/>
      </w:pPr>
    </w:p>
    <w:bookmarkEnd w:id="142"/>
    <w:bookmarkEnd w:id="143"/>
    <w:p>
      <w:pPr>
        <w:pStyle w:val="74"/>
        <w:adjustRightInd/>
        <w:snapToGrid/>
        <w:spacing w:line="580" w:lineRule="exact"/>
        <w:rPr>
          <w:rFonts w:ascii="楷体_GB2312" w:eastAsia="楷体_GB2312"/>
          <w:color w:val="000000" w:themeColor="text1"/>
        </w:rPr>
      </w:pPr>
      <w:bookmarkStart w:id="144" w:name="_Toc21569"/>
      <w:bookmarkStart w:id="145" w:name="_Toc30026"/>
      <w:bookmarkStart w:id="146" w:name="_Toc64542114"/>
      <w:r>
        <w:rPr>
          <w:rFonts w:hint="eastAsia" w:ascii="楷体_GB2312" w:eastAsia="楷体_GB2312"/>
          <w:color w:val="000000" w:themeColor="text1"/>
        </w:rPr>
        <w:t>第二节  建立多元化创新投入机制</w:t>
      </w:r>
      <w:bookmarkEnd w:id="144"/>
      <w:bookmarkEnd w:id="145"/>
      <w:bookmarkEnd w:id="146"/>
    </w:p>
    <w:p>
      <w:pPr>
        <w:spacing w:line="580" w:lineRule="exact"/>
        <w:ind w:firstLine="616"/>
        <w:rPr>
          <w:rFonts w:ascii="Times New Roman" w:hAnsi="Times New Roman" w:eastAsia="仿宋_GB2312" w:cs="仿宋_GB2312"/>
          <w:color w:val="000000" w:themeColor="text1"/>
          <w:spacing w:val="-6"/>
          <w:szCs w:val="34"/>
        </w:rPr>
      </w:pPr>
    </w:p>
    <w:p>
      <w:pPr>
        <w:spacing w:line="580" w:lineRule="exact"/>
        <w:ind w:firstLine="616"/>
        <w:rPr>
          <w:rFonts w:ascii="Times New Roman" w:hAnsi="Times New Roman" w:eastAsia="仿宋_GB2312" w:cs="仿宋_GB2312"/>
          <w:color w:val="000000" w:themeColor="text1"/>
          <w:spacing w:val="-6"/>
          <w:szCs w:val="34"/>
        </w:rPr>
      </w:pPr>
      <w:r>
        <w:rPr>
          <w:rFonts w:hint="eastAsia" w:ascii="Times New Roman" w:hAnsi="Times New Roman" w:eastAsia="仿宋_GB2312" w:cs="仿宋_GB2312"/>
          <w:color w:val="000000" w:themeColor="text1"/>
          <w:spacing w:val="-6"/>
          <w:szCs w:val="34"/>
        </w:rPr>
        <w:t>实施全社会研发投入攻坚行动，健全政府引导、多渠道投入机制，完善市县联动财政科技投入稳定增长机制，逐步加大对基础前沿研究支持力度。探索组建南昌科技金融集团，力争设立赣江两岸科创大走廊发展引导基金、科技成果转化引导基金，做大做强洪城科贷通、科技担保、科技保险、知识产权质押融资等科技金融产品，撬动社会资本参与科技研发投入，健全融资风险分散机制</w:t>
      </w:r>
      <w:r>
        <w:rPr>
          <w:rFonts w:hint="eastAsia" w:ascii="仿宋_GB2312" w:eastAsia="仿宋_GB2312"/>
          <w:color w:val="000000" w:themeColor="text1"/>
          <w:spacing w:val="-6"/>
          <w:kern w:val="0"/>
        </w:rPr>
        <w:t>。加强科技型企业股改培育，全力支持“硬核”企业对接多层次资本市场上市，</w:t>
      </w:r>
      <w:r>
        <w:rPr>
          <w:rFonts w:hint="eastAsia" w:ascii="Times New Roman" w:hAnsi="Times New Roman" w:eastAsia="仿宋_GB2312" w:cs="仿宋_GB2312"/>
          <w:color w:val="000000" w:themeColor="text1"/>
          <w:spacing w:val="-6"/>
          <w:szCs w:val="34"/>
        </w:rPr>
        <w:t>畅通金融、科技与实体经济的循环。</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147" w:name="_Toc26194"/>
      <w:bookmarkStart w:id="148" w:name="_Toc57194192"/>
      <w:bookmarkStart w:id="149" w:name="_Toc64542115"/>
      <w:bookmarkStart w:id="150" w:name="_Toc14165"/>
      <w:bookmarkStart w:id="151" w:name="_Toc57195653"/>
      <w:r>
        <w:rPr>
          <w:rFonts w:hint="eastAsia" w:ascii="楷体_GB2312" w:eastAsia="楷体_GB2312"/>
          <w:color w:val="000000" w:themeColor="text1"/>
        </w:rPr>
        <w:t>第三节  建设知识产权强市</w:t>
      </w:r>
      <w:bookmarkEnd w:id="147"/>
      <w:bookmarkEnd w:id="148"/>
      <w:bookmarkEnd w:id="149"/>
      <w:bookmarkEnd w:id="150"/>
      <w:bookmarkEnd w:id="151"/>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完善知识产权法规政策体系，</w:t>
      </w:r>
      <w:r>
        <w:rPr>
          <w:rFonts w:ascii="仿宋_GB2312" w:eastAsia="仿宋_GB2312"/>
          <w:color w:val="000000" w:themeColor="text1"/>
          <w:kern w:val="0"/>
        </w:rPr>
        <w:t>支持</w:t>
      </w:r>
      <w:r>
        <w:rPr>
          <w:rFonts w:hint="eastAsia" w:ascii="仿宋_GB2312" w:eastAsia="仿宋_GB2312"/>
          <w:color w:val="000000" w:themeColor="text1"/>
          <w:kern w:val="0"/>
        </w:rPr>
        <w:t>中国（南昌）知识产权保护中心建设。加强核心技术和专利储备。建立专利转化平台，支持具有良好市场前景的专利产业化。开展专利保险试点，推进知识产权质押融资。严格知识产权执法，争取设立知识产权法院，开展知识产权行政、民事、刑事案件“三审合一”试点，建立健全知识产权联合执法机制、多元纠纷解决机制，构建网络化知识产权维权援助体系。壮大技术经纪人队伍，健全技术市场交易后补助工作机制。支持重点领域的自主知识产权市场化运营。</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152" w:name="_Toc57194191"/>
      <w:bookmarkStart w:id="153" w:name="_Toc29505"/>
      <w:bookmarkStart w:id="154" w:name="_Toc64542116"/>
      <w:bookmarkStart w:id="155" w:name="_Toc57195652"/>
      <w:bookmarkStart w:id="156" w:name="_Toc20145"/>
      <w:r>
        <w:rPr>
          <w:rFonts w:hint="eastAsia" w:ascii="楷体_GB2312" w:eastAsia="楷体_GB2312"/>
          <w:color w:val="000000" w:themeColor="text1"/>
        </w:rPr>
        <w:t>第四节  营造良好创新创业氛围</w:t>
      </w:r>
      <w:bookmarkEnd w:id="152"/>
      <w:bookmarkEnd w:id="153"/>
      <w:bookmarkEnd w:id="154"/>
      <w:bookmarkEnd w:id="155"/>
      <w:bookmarkEnd w:id="156"/>
    </w:p>
    <w:p>
      <w:pPr>
        <w:spacing w:line="580" w:lineRule="exact"/>
        <w:ind w:firstLine="640"/>
        <w:rPr>
          <w:rFonts w:ascii="仿宋_GB2312" w:eastAsia="仿宋_GB2312"/>
          <w:color w:val="000000" w:themeColor="text1"/>
          <w:kern w:val="0"/>
        </w:rPr>
      </w:pPr>
    </w:p>
    <w:p>
      <w:pPr>
        <w:spacing w:line="580" w:lineRule="exact"/>
        <w:ind w:firstLine="640"/>
      </w:pPr>
      <w:r>
        <w:rPr>
          <w:rFonts w:hint="eastAsia" w:ascii="仿宋_GB2312" w:eastAsia="仿宋_GB2312"/>
          <w:color w:val="000000" w:themeColor="text1"/>
          <w:kern w:val="0"/>
        </w:rPr>
        <w:t>大力弘扬创新创业文化和科学家、新时代赣商、劳模和工匠精神。实施对重大创新工程和项目的容错机制，探索实施创业担保基金等创业失败的成本分担机制，形成“崇尚创新、宽容失败、支持冒险、鼓励冒尖”的创新创业氛围。</w:t>
      </w:r>
      <w:r>
        <w:rPr>
          <w:rFonts w:hint="eastAsia" w:ascii="仿宋_GB2312" w:hAnsi="仿宋_GB2312" w:eastAsia="仿宋_GB2312" w:cs="仿宋_GB2312"/>
          <w:szCs w:val="32"/>
        </w:rPr>
        <w:t>举办中国创新创业大赛（江西赛区）暨“洪城之星”创新创业大赛和带项目、带技术、带资金、带团队的高层次科技人才“洪城计划”创业大赛，激发科技型企业创新潜能活力，促进创新成果不断涌现。开展“科技活动周”活动，举办科普讲解大赛，加强科普工作，不断提升公民科学素养。</w:t>
      </w:r>
      <w:bookmarkEnd w:id="74"/>
      <w:bookmarkEnd w:id="75"/>
      <w:bookmarkStart w:id="157" w:name="_Toc27989"/>
    </w:p>
    <w:p>
      <w:pPr>
        <w:spacing w:line="580" w:lineRule="exact"/>
        <w:ind w:firstLine="640"/>
      </w:pPr>
      <w:r>
        <w:rPr>
          <w:rFonts w:hint="eastAsia"/>
        </w:rPr>
        <w:br w:type="page"/>
      </w:r>
    </w:p>
    <w:p>
      <w:pPr>
        <w:pStyle w:val="29"/>
        <w:adjustRightInd/>
        <w:snapToGrid/>
        <w:spacing w:line="580" w:lineRule="exact"/>
        <w:rPr>
          <w:color w:val="000000" w:themeColor="text1"/>
        </w:rPr>
      </w:pPr>
      <w:bookmarkStart w:id="158" w:name="_Toc64542117"/>
      <w:bookmarkStart w:id="159" w:name="_Toc27526"/>
    </w:p>
    <w:p>
      <w:pPr>
        <w:pStyle w:val="29"/>
        <w:adjustRightInd/>
        <w:snapToGrid/>
        <w:spacing w:line="580" w:lineRule="exact"/>
        <w:rPr>
          <w:color w:val="000000" w:themeColor="text1"/>
        </w:rPr>
      </w:pPr>
      <w:r>
        <w:rPr>
          <w:rFonts w:hint="eastAsia"/>
          <w:color w:val="000000" w:themeColor="text1"/>
        </w:rPr>
        <w:t>第三篇  建设数字南昌</w:t>
      </w:r>
      <w:bookmarkEnd w:id="157"/>
      <w:bookmarkEnd w:id="158"/>
      <w:bookmarkEnd w:id="159"/>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以“数字产业化、产业数字化、治理数字化、数据价值化”为导向，加快发展数字经济，推进数字政府、数字社会建设，超前布局数字基建，抢占数字发展制高点。</w:t>
      </w:r>
    </w:p>
    <w:p>
      <w:pPr>
        <w:pStyle w:val="31"/>
        <w:spacing w:line="580" w:lineRule="exact"/>
        <w:ind w:firstLine="640"/>
        <w:rPr>
          <w:rFonts w:ascii="仿宋_GB2312"/>
          <w:color w:val="000000" w:themeColor="text1"/>
          <w:kern w:val="0"/>
        </w:rPr>
      </w:pPr>
    </w:p>
    <w:p>
      <w:pPr>
        <w:pStyle w:val="23"/>
        <w:adjustRightInd/>
        <w:snapToGrid/>
        <w:spacing w:line="580" w:lineRule="exact"/>
        <w:rPr>
          <w:b w:val="0"/>
          <w:color w:val="000000" w:themeColor="text1"/>
          <w:kern w:val="0"/>
        </w:rPr>
      </w:pPr>
      <w:bookmarkStart w:id="160" w:name="_Toc11312"/>
      <w:bookmarkStart w:id="161" w:name="_Toc11186"/>
      <w:bookmarkStart w:id="162" w:name="_Toc64542118"/>
      <w:r>
        <w:rPr>
          <w:rFonts w:hint="eastAsia"/>
          <w:b w:val="0"/>
          <w:color w:val="000000" w:themeColor="text1"/>
          <w:kern w:val="0"/>
        </w:rPr>
        <w:t>第十章  全面</w:t>
      </w:r>
      <w:r>
        <w:rPr>
          <w:rFonts w:hint="eastAsia"/>
          <w:b w:val="0"/>
          <w:color w:val="000000" w:themeColor="text1"/>
        </w:rPr>
        <w:t>实施数字经济“一号工程”</w:t>
      </w:r>
      <w:bookmarkEnd w:id="160"/>
      <w:bookmarkEnd w:id="161"/>
      <w:bookmarkEnd w:id="162"/>
    </w:p>
    <w:p>
      <w:pPr>
        <w:spacing w:line="580" w:lineRule="exact"/>
        <w:ind w:firstLine="640"/>
        <w:rPr>
          <w:rFonts w:ascii="仿宋_GB2312" w:eastAsia="仿宋_GB2312"/>
          <w:color w:val="000000" w:themeColor="text1"/>
          <w:kern w:val="0"/>
        </w:rPr>
      </w:pPr>
    </w:p>
    <w:p>
      <w:pPr>
        <w:spacing w:line="580" w:lineRule="exact"/>
        <w:ind w:firstLine="640"/>
      </w:pPr>
      <w:r>
        <w:rPr>
          <w:rFonts w:hint="eastAsia" w:ascii="仿宋_GB2312" w:eastAsia="仿宋_GB2312"/>
          <w:color w:val="000000" w:themeColor="text1"/>
          <w:kern w:val="0"/>
        </w:rPr>
        <w:t>加快数字化发展，推进数字产业化和产业数字化，推动数字经济和实体经济深度融合，建设全国数字经济强市。</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163" w:name="_Toc64542119"/>
      <w:bookmarkStart w:id="164" w:name="_Toc6578"/>
      <w:bookmarkStart w:id="165" w:name="_Toc2157"/>
      <w:r>
        <w:rPr>
          <w:rFonts w:hint="eastAsia" w:ascii="楷体_GB2312" w:eastAsia="楷体_GB2312"/>
          <w:color w:val="000000" w:themeColor="text1"/>
        </w:rPr>
        <w:t>第一节  优化数字经济发展布局</w:t>
      </w:r>
      <w:bookmarkEnd w:id="163"/>
      <w:bookmarkEnd w:id="164"/>
      <w:bookmarkEnd w:id="165"/>
    </w:p>
    <w:p>
      <w:pPr>
        <w:pStyle w:val="59"/>
        <w:widowControl w:val="0"/>
        <w:adjustRightInd/>
        <w:snapToGrid/>
        <w:spacing w:line="580" w:lineRule="exact"/>
        <w:ind w:firstLine="640"/>
        <w:rPr>
          <w:color w:val="000000" w:themeColor="text1"/>
        </w:rPr>
      </w:pPr>
    </w:p>
    <w:p>
      <w:pPr>
        <w:pStyle w:val="59"/>
        <w:widowControl w:val="0"/>
        <w:adjustRightInd/>
        <w:snapToGrid/>
        <w:spacing w:line="580" w:lineRule="exact"/>
        <w:ind w:firstLine="640"/>
        <w:rPr>
          <w:color w:val="000000" w:themeColor="text1"/>
        </w:rPr>
      </w:pPr>
      <w:r>
        <w:rPr>
          <w:rFonts w:hint="eastAsia"/>
          <w:color w:val="000000" w:themeColor="text1"/>
        </w:rPr>
        <w:t>加强战略前瞻，突出比较优势，优化区域产业布局，实现各县区、园区错位发展、集聚发展、协调发展。到2</w:t>
      </w:r>
      <w:r>
        <w:rPr>
          <w:color w:val="000000" w:themeColor="text1"/>
        </w:rPr>
        <w:t>025</w:t>
      </w:r>
      <w:r>
        <w:rPr>
          <w:rFonts w:hint="eastAsia"/>
          <w:color w:val="000000" w:themeColor="text1"/>
        </w:rPr>
        <w:t>年，全市数字经济规模占G</w:t>
      </w:r>
      <w:r>
        <w:rPr>
          <w:color w:val="000000" w:themeColor="text1"/>
        </w:rPr>
        <w:t>DP</w:t>
      </w:r>
      <w:r>
        <w:rPr>
          <w:rFonts w:hint="eastAsia"/>
          <w:color w:val="000000" w:themeColor="text1"/>
        </w:rPr>
        <w:t>比重达5</w:t>
      </w:r>
      <w:r>
        <w:rPr>
          <w:color w:val="000000" w:themeColor="text1"/>
        </w:rPr>
        <w:t>0</w:t>
      </w:r>
      <w:r>
        <w:rPr>
          <w:rFonts w:hint="eastAsia"/>
          <w:color w:val="000000" w:themeColor="text1"/>
        </w:rPr>
        <w:t>%，建成一批数字经济特色园区。</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vAlign w:val="center"/>
          </w:tcPr>
          <w:p>
            <w:pPr>
              <w:pStyle w:val="52"/>
              <w:numPr>
                <w:ilvl w:val="0"/>
                <w:numId w:val="0"/>
              </w:numPr>
              <w:spacing w:after="0" w:line="320" w:lineRule="exact"/>
              <w:jc w:val="center"/>
              <w:rPr>
                <w:rFonts w:ascii="仿宋_GB2312" w:eastAsia="仿宋_GB2312"/>
                <w:b/>
                <w:bCs/>
                <w:color w:val="000000" w:themeColor="text1"/>
                <w:kern w:val="0"/>
                <w:sz w:val="28"/>
                <w:szCs w:val="28"/>
              </w:rPr>
            </w:pPr>
            <w:r>
              <w:rPr>
                <w:rFonts w:hint="eastAsia" w:ascii="黑体" w:hAnsi="黑体" w:eastAsia="黑体" w:cs="黑体"/>
                <w:bCs/>
                <w:color w:val="000000" w:themeColor="text1"/>
                <w:sz w:val="28"/>
                <w:szCs w:val="28"/>
              </w:rPr>
              <w:t>专栏4：数字经济布局导向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1" w:type="dxa"/>
          </w:tcPr>
          <w:p>
            <w:pPr>
              <w:spacing w:line="340" w:lineRule="exact"/>
              <w:ind w:firstLine="482"/>
              <w:rPr>
                <w:rFonts w:ascii="仿宋_GB2312" w:eastAsia="仿宋_GB2312"/>
                <w:b/>
                <w:bCs/>
                <w:color w:val="000000" w:themeColor="text1"/>
                <w:sz w:val="24"/>
              </w:rPr>
            </w:pPr>
            <w:r>
              <w:rPr>
                <w:rFonts w:hint="eastAsia" w:ascii="仿宋_GB2312" w:eastAsia="仿宋_GB2312"/>
                <w:b/>
                <w:bCs/>
                <w:color w:val="000000" w:themeColor="text1"/>
                <w:sz w:val="24"/>
              </w:rPr>
              <w:t>（一）东湖区、西湖区、青云谱区</w:t>
            </w:r>
          </w:p>
          <w:p>
            <w:pPr>
              <w:spacing w:line="340" w:lineRule="exact"/>
              <w:ind w:firstLine="480"/>
              <w:rPr>
                <w:rFonts w:ascii="仿宋_GB2312" w:eastAsia="仿宋_GB2312"/>
                <w:color w:val="000000" w:themeColor="text1"/>
                <w:sz w:val="24"/>
              </w:rPr>
            </w:pPr>
            <w:r>
              <w:rPr>
                <w:rFonts w:ascii="仿宋_GB2312" w:eastAsia="仿宋_GB2312"/>
                <w:color w:val="000000" w:themeColor="text1"/>
                <w:sz w:val="24"/>
              </w:rPr>
              <w:t>核心老城区强化服务业升级、城市更新，推进智慧教育、智慧医疗、智慧文创、智慧旅游等突破发展，规划建设扬子洲数字经济、金融科创产业园等</w:t>
            </w:r>
            <w:r>
              <w:rPr>
                <w:rFonts w:hint="eastAsia" w:ascii="仿宋_GB2312" w:eastAsia="仿宋_GB2312"/>
                <w:color w:val="000000" w:themeColor="text1"/>
                <w:sz w:val="24"/>
              </w:rPr>
              <w:t>。</w:t>
            </w:r>
          </w:p>
          <w:p>
            <w:pPr>
              <w:spacing w:line="340" w:lineRule="exact"/>
              <w:ind w:firstLine="482"/>
              <w:rPr>
                <w:rFonts w:ascii="仿宋_GB2312" w:eastAsia="仿宋_GB2312"/>
                <w:b/>
                <w:bCs/>
                <w:color w:val="000000" w:themeColor="text1"/>
                <w:sz w:val="24"/>
              </w:rPr>
            </w:pPr>
            <w:r>
              <w:rPr>
                <w:rFonts w:hint="eastAsia" w:ascii="仿宋_GB2312" w:eastAsia="仿宋_GB2312"/>
                <w:b/>
                <w:bCs/>
                <w:color w:val="000000" w:themeColor="text1"/>
                <w:sz w:val="24"/>
              </w:rPr>
              <w:t>（二）红谷滩区</w:t>
            </w:r>
          </w:p>
          <w:p>
            <w:pPr>
              <w:spacing w:line="340" w:lineRule="exact"/>
              <w:ind w:firstLine="480"/>
              <w:rPr>
                <w:rFonts w:ascii="仿宋_GB2312" w:eastAsia="仿宋_GB2312"/>
                <w:color w:val="000000" w:themeColor="text1"/>
                <w:sz w:val="24"/>
              </w:rPr>
            </w:pPr>
            <w:r>
              <w:rPr>
                <w:rFonts w:hint="eastAsia" w:ascii="仿宋_GB2312" w:eastAsia="仿宋_GB2312"/>
                <w:color w:val="000000" w:themeColor="text1"/>
                <w:sz w:val="24"/>
              </w:rPr>
              <w:t>大力发展VR产业、数字金融、数字文创，打造世界VR产业高地。结合智慧城市建设，探索推进未来社区建设，突出全生活链功能配置，创新设计“模块集成”，打造更有归属感、舒适感的新型城市功能单元。</w:t>
            </w:r>
          </w:p>
          <w:p>
            <w:pPr>
              <w:spacing w:line="340" w:lineRule="exact"/>
              <w:ind w:firstLine="482"/>
              <w:rPr>
                <w:rFonts w:ascii="仿宋_GB2312" w:eastAsia="仿宋_GB2312"/>
                <w:b/>
                <w:bCs/>
                <w:color w:val="000000" w:themeColor="text1"/>
                <w:sz w:val="24"/>
              </w:rPr>
            </w:pPr>
            <w:r>
              <w:rPr>
                <w:rFonts w:hint="eastAsia" w:ascii="仿宋_GB2312" w:eastAsia="仿宋_GB2312"/>
                <w:b/>
                <w:bCs/>
                <w:color w:val="000000" w:themeColor="text1"/>
                <w:sz w:val="24"/>
              </w:rPr>
              <w:t>（三）青山湖区</w:t>
            </w:r>
          </w:p>
          <w:p>
            <w:pPr>
              <w:spacing w:line="340" w:lineRule="exact"/>
              <w:ind w:firstLine="480"/>
              <w:rPr>
                <w:rFonts w:ascii="仿宋_GB2312" w:eastAsia="仿宋_GB2312"/>
                <w:color w:val="000000" w:themeColor="text1"/>
                <w:sz w:val="24"/>
              </w:rPr>
            </w:pPr>
            <w:r>
              <w:rPr>
                <w:rFonts w:hint="eastAsia" w:ascii="仿宋_GB2312" w:eastAsia="仿宋_GB2312"/>
                <w:color w:val="000000" w:themeColor="text1"/>
                <w:sz w:val="24"/>
              </w:rPr>
              <w:t>大力发展流量经济和定制化、数字化纺织服装生产制造，打造流量经济示范区和纺织服装数字化转型示范区。</w:t>
            </w:r>
          </w:p>
          <w:p>
            <w:pPr>
              <w:spacing w:line="340" w:lineRule="exact"/>
              <w:ind w:firstLine="482"/>
              <w:rPr>
                <w:rFonts w:ascii="仿宋_GB2312" w:eastAsia="仿宋_GB2312"/>
                <w:b/>
                <w:bCs/>
                <w:color w:val="000000" w:themeColor="text1"/>
                <w:sz w:val="24"/>
              </w:rPr>
            </w:pPr>
            <w:r>
              <w:rPr>
                <w:rFonts w:hint="eastAsia" w:ascii="仿宋_GB2312" w:eastAsia="仿宋_GB2312"/>
                <w:b/>
                <w:bCs/>
                <w:color w:val="000000" w:themeColor="text1"/>
                <w:sz w:val="24"/>
              </w:rPr>
              <w:t>（四）新建区</w:t>
            </w:r>
          </w:p>
          <w:p>
            <w:pPr>
              <w:spacing w:line="340" w:lineRule="exact"/>
              <w:ind w:firstLine="480"/>
              <w:rPr>
                <w:rFonts w:ascii="仿宋_GB2312" w:eastAsia="仿宋_GB2312"/>
                <w:color w:val="000000" w:themeColor="text1"/>
                <w:sz w:val="24"/>
              </w:rPr>
            </w:pPr>
            <w:r>
              <w:rPr>
                <w:rFonts w:hint="eastAsia" w:ascii="仿宋_GB2312" w:eastAsia="仿宋_GB2312"/>
                <w:color w:val="000000" w:themeColor="text1"/>
                <w:sz w:val="24"/>
              </w:rPr>
              <w:t>大力发展大数据、云计算、数字文化和AR，壮大物联网产业和信创产业，推进数字新建智慧城区建设。</w:t>
            </w:r>
          </w:p>
          <w:p>
            <w:pPr>
              <w:spacing w:line="340" w:lineRule="exact"/>
              <w:ind w:firstLine="482"/>
              <w:rPr>
                <w:rFonts w:ascii="仿宋_GB2312" w:eastAsia="仿宋_GB2312"/>
                <w:b/>
                <w:bCs/>
                <w:color w:val="000000" w:themeColor="text1"/>
                <w:sz w:val="24"/>
              </w:rPr>
            </w:pPr>
            <w:r>
              <w:rPr>
                <w:rFonts w:hint="eastAsia" w:ascii="仿宋_GB2312" w:eastAsia="仿宋_GB2312"/>
                <w:b/>
                <w:bCs/>
                <w:color w:val="000000" w:themeColor="text1"/>
                <w:sz w:val="24"/>
              </w:rPr>
              <w:t>（五）高新区</w:t>
            </w:r>
          </w:p>
          <w:p>
            <w:pPr>
              <w:spacing w:line="340" w:lineRule="exact"/>
              <w:ind w:firstLine="480"/>
              <w:rPr>
                <w:rFonts w:ascii="仿宋_GB2312" w:eastAsia="仿宋_GB2312"/>
                <w:color w:val="000000" w:themeColor="text1"/>
                <w:sz w:val="24"/>
              </w:rPr>
            </w:pPr>
            <w:r>
              <w:rPr>
                <w:rFonts w:hint="eastAsia" w:ascii="仿宋_GB2312" w:eastAsia="仿宋_GB2312"/>
                <w:color w:val="000000" w:themeColor="text1"/>
                <w:sz w:val="24"/>
              </w:rPr>
              <w:t>大力发展移动智能终端、5G与物联网、软件和信息技术服务产业，加快建设全国移动智能终端示范基地，创建全国软件创新基地。</w:t>
            </w:r>
          </w:p>
          <w:p>
            <w:pPr>
              <w:spacing w:line="340" w:lineRule="exact"/>
              <w:ind w:firstLine="482"/>
              <w:rPr>
                <w:rFonts w:ascii="仿宋_GB2312" w:eastAsia="仿宋_GB2312"/>
                <w:b/>
                <w:bCs/>
                <w:color w:val="000000" w:themeColor="text1"/>
                <w:sz w:val="24"/>
              </w:rPr>
            </w:pPr>
            <w:r>
              <w:rPr>
                <w:rFonts w:hint="eastAsia" w:ascii="仿宋_GB2312" w:eastAsia="仿宋_GB2312"/>
                <w:b/>
                <w:bCs/>
                <w:color w:val="000000" w:themeColor="text1"/>
                <w:sz w:val="24"/>
              </w:rPr>
              <w:t>（六）经开区（含临空区）</w:t>
            </w:r>
          </w:p>
          <w:p>
            <w:pPr>
              <w:spacing w:line="340" w:lineRule="exact"/>
              <w:ind w:firstLine="480"/>
              <w:rPr>
                <w:rFonts w:ascii="仿宋_GB2312" w:eastAsia="仿宋_GB2312"/>
                <w:color w:val="000000" w:themeColor="text1"/>
                <w:sz w:val="24"/>
              </w:rPr>
            </w:pPr>
            <w:r>
              <w:rPr>
                <w:rFonts w:hint="eastAsia" w:ascii="仿宋_GB2312" w:eastAsia="仿宋_GB2312"/>
                <w:color w:val="000000" w:themeColor="text1"/>
                <w:sz w:val="24"/>
              </w:rPr>
              <w:t>培育新模式新业态，打造中国（南昌）数字经济港，促进智慧物流、智能制造、跨境电商等产业集聚。</w:t>
            </w:r>
          </w:p>
          <w:p>
            <w:pPr>
              <w:spacing w:line="340" w:lineRule="exact"/>
              <w:ind w:firstLine="482"/>
              <w:rPr>
                <w:rFonts w:ascii="仿宋_GB2312" w:eastAsia="仿宋_GB2312"/>
                <w:b/>
                <w:bCs/>
                <w:color w:val="000000" w:themeColor="text1"/>
                <w:sz w:val="24"/>
              </w:rPr>
            </w:pPr>
            <w:r>
              <w:rPr>
                <w:rFonts w:hint="eastAsia" w:ascii="仿宋_GB2312" w:eastAsia="仿宋_GB2312"/>
                <w:b/>
                <w:bCs/>
                <w:color w:val="000000" w:themeColor="text1"/>
                <w:sz w:val="24"/>
              </w:rPr>
              <w:t>（七）南昌县（小蓝经开区）</w:t>
            </w:r>
          </w:p>
          <w:p>
            <w:pPr>
              <w:spacing w:line="340" w:lineRule="exact"/>
              <w:ind w:firstLine="480"/>
              <w:rPr>
                <w:rFonts w:ascii="仿宋_GB2312" w:eastAsia="仿宋_GB2312"/>
                <w:color w:val="000000" w:themeColor="text1"/>
                <w:sz w:val="24"/>
              </w:rPr>
            </w:pPr>
            <w:r>
              <w:rPr>
                <w:rFonts w:hint="eastAsia" w:ascii="仿宋_GB2312" w:eastAsia="仿宋_GB2312"/>
                <w:color w:val="000000" w:themeColor="text1"/>
                <w:sz w:val="24"/>
              </w:rPr>
              <w:t>大力发展智能网联汽车、智慧物流、智能装备产业，打造VR产业特色集聚区，建设智慧物流全国枢纽、省高水平智能制造基地。</w:t>
            </w:r>
          </w:p>
          <w:p>
            <w:pPr>
              <w:spacing w:line="340" w:lineRule="exact"/>
              <w:ind w:firstLine="482"/>
              <w:rPr>
                <w:rFonts w:ascii="仿宋_GB2312" w:eastAsia="仿宋_GB2312"/>
                <w:b/>
                <w:bCs/>
                <w:color w:val="000000" w:themeColor="text1"/>
                <w:sz w:val="24"/>
              </w:rPr>
            </w:pPr>
            <w:r>
              <w:rPr>
                <w:rFonts w:hint="eastAsia" w:ascii="仿宋_GB2312" w:eastAsia="仿宋_GB2312"/>
                <w:b/>
                <w:bCs/>
                <w:color w:val="000000" w:themeColor="text1"/>
                <w:sz w:val="24"/>
              </w:rPr>
              <w:t>（八）进贤县、安义县</w:t>
            </w:r>
          </w:p>
          <w:p>
            <w:pPr>
              <w:spacing w:line="340" w:lineRule="exact"/>
              <w:ind w:firstLine="480"/>
              <w:rPr>
                <w:rFonts w:ascii="仿宋_GB2312" w:eastAsia="仿宋_GB2312"/>
                <w:color w:val="000000" w:themeColor="text1"/>
                <w:sz w:val="24"/>
              </w:rPr>
            </w:pPr>
            <w:r>
              <w:rPr>
                <w:rFonts w:hint="eastAsia" w:ascii="仿宋_GB2312" w:eastAsia="仿宋_GB2312"/>
                <w:color w:val="000000" w:themeColor="text1"/>
                <w:sz w:val="24"/>
              </w:rPr>
              <w:t>加快产业数字化转型，推动三产融合发展，构建美丽数字乡村。</w:t>
            </w:r>
          </w:p>
        </w:tc>
      </w:tr>
    </w:tbl>
    <w:p>
      <w:pPr>
        <w:pStyle w:val="59"/>
        <w:widowControl w:val="0"/>
        <w:adjustRightInd/>
        <w:snapToGrid/>
        <w:spacing w:line="240" w:lineRule="auto"/>
        <w:ind w:firstLine="562"/>
        <w:jc w:val="center"/>
        <w:rPr>
          <w:b/>
          <w:bCs/>
          <w:color w:val="000000" w:themeColor="text1"/>
          <w:sz w:val="28"/>
          <w:szCs w:val="28"/>
        </w:rPr>
      </w:pPr>
      <w:r>
        <w:rPr>
          <w:b/>
          <w:bCs/>
          <w:color w:val="000000" w:themeColor="text1"/>
          <w:sz w:val="28"/>
          <w:szCs w:val="28"/>
        </w:rPr>
        <w:drawing>
          <wp:anchor distT="0" distB="0" distL="114300" distR="114300" simplePos="0" relativeHeight="251659264" behindDoc="1" locked="0" layoutInCell="1" allowOverlap="1">
            <wp:simplePos x="0" y="0"/>
            <wp:positionH relativeFrom="column">
              <wp:posOffset>729615</wp:posOffset>
            </wp:positionH>
            <wp:positionV relativeFrom="paragraph">
              <wp:posOffset>247650</wp:posOffset>
            </wp:positionV>
            <wp:extent cx="4302125" cy="3559175"/>
            <wp:effectExtent l="0" t="0" r="3175" b="317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print">
                      <a:extLst>
                        <a:ext uri="{28A0092B-C50C-407E-A947-70E740481C1C}">
                          <a14:useLocalDpi xmlns:a14="http://schemas.microsoft.com/office/drawing/2010/main" val="0"/>
                        </a:ext>
                      </a:extLst>
                    </a:blip>
                    <a:srcRect t="8386" b="3354"/>
                    <a:stretch>
                      <a:fillRect/>
                    </a:stretch>
                  </pic:blipFill>
                  <pic:spPr>
                    <a:xfrm>
                      <a:off x="0" y="0"/>
                      <a:ext cx="4302125" cy="3559175"/>
                    </a:xfrm>
                    <a:prstGeom prst="rect">
                      <a:avLst/>
                    </a:prstGeom>
                  </pic:spPr>
                </pic:pic>
              </a:graphicData>
            </a:graphic>
          </wp:anchor>
        </w:drawing>
      </w:r>
    </w:p>
    <w:p>
      <w:pPr>
        <w:pStyle w:val="59"/>
        <w:widowControl w:val="0"/>
        <w:adjustRightInd/>
        <w:snapToGrid/>
        <w:spacing w:before="217" w:beforeLines="50" w:line="320" w:lineRule="exact"/>
        <w:ind w:firstLine="562"/>
        <w:jc w:val="center"/>
        <w:rPr>
          <w:rFonts w:ascii="楷体_GB2312" w:hAnsi="楷体_GB2312" w:eastAsia="楷体_GB2312" w:cs="楷体_GB2312"/>
          <w:b/>
          <w:bCs/>
          <w:color w:val="000000" w:themeColor="text1"/>
          <w:sz w:val="28"/>
          <w:szCs w:val="28"/>
        </w:rPr>
      </w:pPr>
    </w:p>
    <w:p>
      <w:pPr>
        <w:pStyle w:val="59"/>
        <w:widowControl w:val="0"/>
        <w:adjustRightInd/>
        <w:snapToGrid/>
        <w:spacing w:before="217" w:beforeLines="50" w:line="320" w:lineRule="exact"/>
        <w:ind w:firstLine="562"/>
        <w:jc w:val="center"/>
        <w:rPr>
          <w:rFonts w:ascii="楷体_GB2312" w:hAnsi="楷体_GB2312" w:eastAsia="楷体_GB2312" w:cs="楷体_GB2312"/>
          <w:b/>
          <w:bCs/>
          <w:color w:val="000000" w:themeColor="text1"/>
          <w:sz w:val="28"/>
          <w:szCs w:val="28"/>
        </w:rPr>
      </w:pPr>
    </w:p>
    <w:p>
      <w:pPr>
        <w:pStyle w:val="59"/>
        <w:widowControl w:val="0"/>
        <w:adjustRightInd/>
        <w:snapToGrid/>
        <w:spacing w:before="217" w:beforeLines="50" w:line="320" w:lineRule="exact"/>
        <w:ind w:firstLine="562"/>
        <w:jc w:val="center"/>
        <w:rPr>
          <w:rFonts w:ascii="楷体_GB2312" w:hAnsi="楷体_GB2312" w:eastAsia="楷体_GB2312" w:cs="楷体_GB2312"/>
          <w:b/>
          <w:bCs/>
          <w:color w:val="000000" w:themeColor="text1"/>
          <w:sz w:val="28"/>
          <w:szCs w:val="28"/>
        </w:rPr>
      </w:pPr>
    </w:p>
    <w:p>
      <w:pPr>
        <w:pStyle w:val="59"/>
        <w:widowControl w:val="0"/>
        <w:adjustRightInd/>
        <w:snapToGrid/>
        <w:spacing w:before="217" w:beforeLines="50" w:line="320" w:lineRule="exact"/>
        <w:ind w:firstLine="562"/>
        <w:jc w:val="center"/>
        <w:rPr>
          <w:rFonts w:ascii="楷体_GB2312" w:hAnsi="楷体_GB2312" w:eastAsia="楷体_GB2312" w:cs="楷体_GB2312"/>
          <w:b/>
          <w:bCs/>
          <w:color w:val="000000" w:themeColor="text1"/>
          <w:sz w:val="28"/>
          <w:szCs w:val="28"/>
        </w:rPr>
      </w:pPr>
    </w:p>
    <w:p>
      <w:pPr>
        <w:pStyle w:val="59"/>
        <w:widowControl w:val="0"/>
        <w:adjustRightInd/>
        <w:snapToGrid/>
        <w:spacing w:before="217" w:beforeLines="50" w:line="320" w:lineRule="exact"/>
        <w:ind w:firstLine="562"/>
        <w:jc w:val="center"/>
        <w:rPr>
          <w:rFonts w:ascii="楷体_GB2312" w:hAnsi="楷体_GB2312" w:eastAsia="楷体_GB2312" w:cs="楷体_GB2312"/>
          <w:b/>
          <w:bCs/>
          <w:color w:val="000000" w:themeColor="text1"/>
          <w:sz w:val="28"/>
          <w:szCs w:val="28"/>
        </w:rPr>
      </w:pPr>
    </w:p>
    <w:p>
      <w:pPr>
        <w:pStyle w:val="59"/>
        <w:widowControl w:val="0"/>
        <w:adjustRightInd/>
        <w:snapToGrid/>
        <w:spacing w:before="217" w:beforeLines="50" w:line="320" w:lineRule="exact"/>
        <w:ind w:firstLine="562"/>
        <w:jc w:val="center"/>
        <w:rPr>
          <w:rFonts w:ascii="楷体_GB2312" w:hAnsi="楷体_GB2312" w:eastAsia="楷体_GB2312" w:cs="楷体_GB2312"/>
          <w:b/>
          <w:bCs/>
          <w:color w:val="000000" w:themeColor="text1"/>
          <w:sz w:val="28"/>
          <w:szCs w:val="28"/>
        </w:rPr>
      </w:pPr>
    </w:p>
    <w:p>
      <w:pPr>
        <w:pStyle w:val="59"/>
        <w:widowControl w:val="0"/>
        <w:adjustRightInd/>
        <w:snapToGrid/>
        <w:spacing w:before="217" w:beforeLines="50" w:line="320" w:lineRule="exact"/>
        <w:ind w:firstLine="562"/>
        <w:jc w:val="center"/>
        <w:rPr>
          <w:rFonts w:ascii="楷体_GB2312" w:hAnsi="楷体_GB2312" w:eastAsia="楷体_GB2312" w:cs="楷体_GB2312"/>
          <w:b/>
          <w:bCs/>
          <w:color w:val="000000" w:themeColor="text1"/>
          <w:sz w:val="28"/>
          <w:szCs w:val="28"/>
        </w:rPr>
      </w:pPr>
    </w:p>
    <w:p>
      <w:pPr>
        <w:pStyle w:val="59"/>
        <w:widowControl w:val="0"/>
        <w:adjustRightInd/>
        <w:snapToGrid/>
        <w:spacing w:before="217" w:beforeLines="50" w:line="320" w:lineRule="exact"/>
        <w:ind w:firstLine="562"/>
        <w:jc w:val="center"/>
        <w:rPr>
          <w:rFonts w:ascii="楷体_GB2312" w:hAnsi="楷体_GB2312" w:eastAsia="楷体_GB2312" w:cs="楷体_GB2312"/>
          <w:b/>
          <w:bCs/>
          <w:color w:val="000000" w:themeColor="text1"/>
          <w:sz w:val="28"/>
          <w:szCs w:val="28"/>
        </w:rPr>
      </w:pPr>
    </w:p>
    <w:p>
      <w:pPr>
        <w:pStyle w:val="59"/>
        <w:widowControl w:val="0"/>
        <w:adjustRightInd/>
        <w:snapToGrid/>
        <w:spacing w:before="217" w:beforeLines="50" w:line="320" w:lineRule="exact"/>
        <w:ind w:firstLine="562"/>
        <w:jc w:val="center"/>
        <w:rPr>
          <w:rFonts w:ascii="楷体_GB2312" w:hAnsi="楷体_GB2312" w:eastAsia="楷体_GB2312" w:cs="楷体_GB2312"/>
          <w:b/>
          <w:bCs/>
          <w:color w:val="000000" w:themeColor="text1"/>
          <w:sz w:val="28"/>
          <w:szCs w:val="28"/>
        </w:rPr>
      </w:pPr>
    </w:p>
    <w:p>
      <w:pPr>
        <w:pStyle w:val="59"/>
        <w:widowControl w:val="0"/>
        <w:adjustRightInd/>
        <w:snapToGrid/>
        <w:spacing w:before="217" w:beforeLines="50" w:line="320" w:lineRule="exact"/>
        <w:ind w:firstLine="562"/>
        <w:jc w:val="center"/>
        <w:rPr>
          <w:rFonts w:ascii="楷体_GB2312" w:hAnsi="楷体_GB2312" w:eastAsia="楷体_GB2312" w:cs="楷体_GB2312"/>
          <w:b/>
          <w:bCs/>
          <w:color w:val="000000" w:themeColor="text1"/>
          <w:sz w:val="28"/>
          <w:szCs w:val="28"/>
        </w:rPr>
      </w:pPr>
    </w:p>
    <w:p>
      <w:pPr>
        <w:pStyle w:val="59"/>
        <w:widowControl w:val="0"/>
        <w:adjustRightInd/>
        <w:snapToGrid/>
        <w:spacing w:before="217" w:beforeLines="50" w:line="320" w:lineRule="exact"/>
        <w:ind w:firstLine="562"/>
        <w:jc w:val="center"/>
        <w:rPr>
          <w:rFonts w:ascii="楷体_GB2312" w:hAnsi="楷体_GB2312" w:eastAsia="楷体_GB2312" w:cs="楷体_GB2312"/>
          <w:b/>
          <w:bCs/>
          <w:color w:val="000000" w:themeColor="text1"/>
          <w:sz w:val="28"/>
          <w:szCs w:val="28"/>
        </w:rPr>
      </w:pPr>
    </w:p>
    <w:p>
      <w:pPr>
        <w:pStyle w:val="59"/>
        <w:widowControl w:val="0"/>
        <w:adjustRightInd/>
        <w:snapToGrid/>
        <w:spacing w:before="217" w:beforeLines="50" w:line="320" w:lineRule="exact"/>
        <w:ind w:firstLine="562"/>
        <w:jc w:val="center"/>
        <w:rPr>
          <w:rFonts w:ascii="楷体_GB2312" w:eastAsia="楷体_GB2312"/>
          <w:color w:val="000000" w:themeColor="text1"/>
        </w:rPr>
      </w:pPr>
      <w:r>
        <w:rPr>
          <w:rFonts w:hint="eastAsia" w:ascii="楷体_GB2312" w:hAnsi="楷体_GB2312" w:eastAsia="楷体_GB2312" w:cs="楷体_GB2312"/>
          <w:b/>
          <w:bCs/>
          <w:color w:val="000000" w:themeColor="text1"/>
          <w:sz w:val="28"/>
          <w:szCs w:val="28"/>
        </w:rPr>
        <w:t>图4：数字经济特色产业园分布示意图</w:t>
      </w:r>
      <w:bookmarkStart w:id="166" w:name="_Toc14005"/>
      <w:bookmarkStart w:id="167" w:name="_Toc64542120"/>
      <w:bookmarkStart w:id="168" w:name="_Toc32473"/>
      <w:r>
        <w:rPr>
          <w:rFonts w:hint="eastAsia" w:ascii="楷体_GB2312" w:eastAsia="楷体_GB2312"/>
          <w:color w:val="000000" w:themeColor="text1"/>
        </w:rPr>
        <w:br w:type="page"/>
      </w:r>
    </w:p>
    <w:p>
      <w:pPr>
        <w:pStyle w:val="74"/>
        <w:adjustRightInd/>
        <w:snapToGrid/>
        <w:spacing w:line="580" w:lineRule="exact"/>
        <w:rPr>
          <w:rFonts w:ascii="楷体_GB2312" w:eastAsia="楷体_GB2312"/>
          <w:color w:val="000000" w:themeColor="text1"/>
        </w:rPr>
      </w:pPr>
    </w:p>
    <w:p>
      <w:pPr>
        <w:pStyle w:val="74"/>
        <w:adjustRightInd/>
        <w:snapToGrid/>
        <w:spacing w:line="580" w:lineRule="exact"/>
        <w:rPr>
          <w:rFonts w:ascii="楷体_GB2312" w:eastAsia="楷体_GB2312"/>
          <w:color w:val="000000" w:themeColor="text1"/>
        </w:rPr>
      </w:pPr>
      <w:r>
        <w:rPr>
          <w:rFonts w:hint="eastAsia" w:ascii="楷体_GB2312" w:eastAsia="楷体_GB2312"/>
          <w:color w:val="000000" w:themeColor="text1"/>
        </w:rPr>
        <w:t>第二节  推进数字产业化</w:t>
      </w:r>
      <w:bookmarkEnd w:id="166"/>
      <w:bookmarkEnd w:id="167"/>
      <w:bookmarkEnd w:id="168"/>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以数字经济特色产业园为载体，重点布局“芯、屏、端、网、云、智、用”</w:t>
      </w:r>
      <w:r>
        <w:rPr>
          <w:rStyle w:val="38"/>
          <w:rFonts w:ascii="仿宋_GB2312" w:eastAsia="仿宋_GB2312"/>
          <w:color w:val="000000" w:themeColor="text1"/>
          <w:kern w:val="0"/>
        </w:rPr>
        <w:footnoteReference w:id="4"/>
      </w:r>
      <w:r>
        <w:rPr>
          <w:rFonts w:hint="eastAsia" w:ascii="仿宋_GB2312" w:eastAsia="仿宋_GB2312"/>
          <w:color w:val="000000" w:themeColor="text1"/>
          <w:kern w:val="0"/>
        </w:rPr>
        <w:t>七大数字产业。加快构建V</w:t>
      </w:r>
      <w:r>
        <w:rPr>
          <w:rFonts w:ascii="仿宋_GB2312" w:eastAsia="仿宋_GB2312"/>
          <w:color w:val="000000" w:themeColor="text1"/>
          <w:kern w:val="0"/>
        </w:rPr>
        <w:t>R</w:t>
      </w:r>
      <w:r>
        <w:rPr>
          <w:rFonts w:hint="eastAsia" w:ascii="仿宋_GB2312" w:eastAsia="仿宋_GB2312"/>
          <w:color w:val="000000" w:themeColor="text1"/>
          <w:kern w:val="0"/>
        </w:rPr>
        <w:t>完整产业生态链，支持红谷滩区创建国家级VR创新应用先导区，打造全球VR新技术、新产品首发地和世界VR高地。加快构建移动智能终端产业生态，打造全球重要的移动智能终端制造基地。深入推进国家“03专项”，加速发展5G和物联网上下游产业。重点发展以大数据、云计算、区块链为先导的软件和信息服务业，形成一批有竞争力的大数据产品、解决方案和服务应用。大力发展信息安全产业。加快工业互联网标识解析二级节点应用建设，建设联想人工智能研究院，强化面向工业互联网领域的大数据软件应用研究，支持高端工业软件，新型工业APP研发和应用。推动人工智能与产业融合发展。深入推进“5G+ABCDE”</w:t>
      </w:r>
      <w:r>
        <w:rPr>
          <w:rStyle w:val="38"/>
          <w:rFonts w:ascii="仿宋_GB2312" w:eastAsia="仿宋_GB2312"/>
          <w:color w:val="000000" w:themeColor="text1"/>
          <w:kern w:val="0"/>
        </w:rPr>
        <w:footnoteReference w:id="5"/>
      </w:r>
      <w:r>
        <w:rPr>
          <w:rFonts w:hint="eastAsia" w:ascii="仿宋_GB2312" w:eastAsia="仿宋_GB2312"/>
          <w:color w:val="000000" w:themeColor="text1"/>
          <w:kern w:val="0"/>
        </w:rPr>
        <w:t xml:space="preserve">融合创新，打造5G融合创新应用先行区和产业生态集聚区。开展区块链技术应用试点。加快引进北斗产业链上游企业，高标准建设北斗产业园。积极布局量子信息、柔性电子等前沿数字产业。 </w:t>
      </w:r>
    </w:p>
    <w:p>
      <w:pPr>
        <w:pStyle w:val="74"/>
        <w:adjustRightInd/>
        <w:snapToGrid/>
        <w:spacing w:line="580" w:lineRule="exact"/>
        <w:rPr>
          <w:rFonts w:ascii="楷体_GB2312" w:eastAsia="楷体_GB2312"/>
          <w:color w:val="000000" w:themeColor="text1"/>
        </w:rPr>
      </w:pPr>
      <w:bookmarkStart w:id="169" w:name="_Toc31395"/>
      <w:bookmarkStart w:id="170" w:name="_Toc64542121"/>
      <w:bookmarkStart w:id="171" w:name="_Toc20945"/>
    </w:p>
    <w:p>
      <w:pPr>
        <w:pStyle w:val="74"/>
        <w:adjustRightInd/>
        <w:snapToGrid/>
        <w:spacing w:line="580" w:lineRule="exact"/>
        <w:rPr>
          <w:rFonts w:ascii="楷体_GB2312" w:eastAsia="楷体_GB2312"/>
          <w:color w:val="000000" w:themeColor="text1"/>
        </w:rPr>
      </w:pPr>
    </w:p>
    <w:p>
      <w:pPr>
        <w:pStyle w:val="74"/>
        <w:adjustRightInd/>
        <w:snapToGrid/>
        <w:spacing w:line="580" w:lineRule="exact"/>
        <w:rPr>
          <w:rFonts w:ascii="楷体_GB2312" w:eastAsia="楷体_GB2312"/>
          <w:color w:val="000000" w:themeColor="text1"/>
        </w:rPr>
      </w:pPr>
      <w:r>
        <w:rPr>
          <w:rFonts w:hint="eastAsia" w:ascii="楷体_GB2312" w:eastAsia="楷体_GB2312"/>
          <w:color w:val="000000" w:themeColor="text1"/>
        </w:rPr>
        <w:t>第三节  推进产业数字化</w:t>
      </w:r>
      <w:bookmarkEnd w:id="169"/>
      <w:bookmarkEnd w:id="170"/>
      <w:bookmarkEnd w:id="171"/>
    </w:p>
    <w:p>
      <w:pPr>
        <w:spacing w:line="580" w:lineRule="exact"/>
        <w:ind w:firstLine="640"/>
        <w:rPr>
          <w:rFonts w:ascii="仿宋_GB2312" w:eastAsia="仿宋_GB2312"/>
          <w:color w:val="000000" w:themeColor="text1"/>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rPr>
        <w:t xml:space="preserve"> </w:t>
      </w:r>
      <w:r>
        <w:rPr>
          <w:rFonts w:hint="eastAsia" w:ascii="仿宋_GB2312" w:eastAsia="仿宋_GB2312"/>
          <w:color w:val="000000" w:themeColor="text1"/>
          <w:kern w:val="0"/>
        </w:rPr>
        <w:t>大力推进互联网、大数据、人工智能和实体经济深度融合，联动推进“数字化+”“互联网+”“智能化+”，大力发展工业互联网和工业大数据。加快制造业数字化转型，积极推广智能工厂、智能车间、智能生产线。实施“上云用数赋智”行动，拓展“</w:t>
      </w:r>
      <w:r>
        <w:rPr>
          <w:rFonts w:ascii="仿宋_GB2312" w:eastAsia="仿宋_GB2312"/>
          <w:color w:val="000000" w:themeColor="text1"/>
          <w:kern w:val="0"/>
        </w:rPr>
        <w:t>5G+</w:t>
      </w:r>
      <w:r>
        <w:rPr>
          <w:rFonts w:hint="eastAsia" w:ascii="仿宋_GB2312" w:eastAsia="仿宋_GB2312"/>
          <w:color w:val="000000" w:themeColor="text1"/>
          <w:kern w:val="0"/>
        </w:rPr>
        <w:t>工业互联网”应用，打造全国产业数字化转型示范区。推进服务业数字化发展，推动现代物流、金融服务、检验检测、商业咨询等数字化转型。推动“互联网+农业”和农业大数据发展，发展设施农业、精准农业和智慧农业。实施园区数字化工程。</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1" w:type="dxa"/>
            <w:vAlign w:val="center"/>
          </w:tcPr>
          <w:p>
            <w:pPr>
              <w:pStyle w:val="52"/>
              <w:numPr>
                <w:ilvl w:val="0"/>
                <w:numId w:val="0"/>
              </w:numPr>
              <w:spacing w:after="0" w:line="320" w:lineRule="exact"/>
              <w:jc w:val="center"/>
              <w:rPr>
                <w:rFonts w:ascii="仿宋_GB2312" w:hAnsi="宋体" w:eastAsia="仿宋_GB2312" w:cs="宋体"/>
                <w:b/>
                <w:color w:val="000000" w:themeColor="text1"/>
                <w:sz w:val="28"/>
                <w:szCs w:val="28"/>
              </w:rPr>
            </w:pPr>
            <w:r>
              <w:rPr>
                <w:rFonts w:hint="eastAsia" w:ascii="黑体" w:hAnsi="黑体" w:eastAsia="黑体" w:cs="黑体"/>
                <w:bCs/>
                <w:color w:val="000000" w:themeColor="text1"/>
                <w:sz w:val="28"/>
                <w:szCs w:val="28"/>
              </w:rPr>
              <w:t>专栏5：产业数字化示范工程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spacing w:line="40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（一）智能制造示范工程</w:t>
            </w:r>
          </w:p>
          <w:p>
            <w:pPr>
              <w:spacing w:line="400" w:lineRule="exact"/>
              <w:ind w:firstLine="480"/>
              <w:rPr>
                <w:rFonts w:ascii="仿宋_GB2312" w:eastAsia="仿宋_GB2312"/>
                <w:color w:val="000000" w:themeColor="text1"/>
                <w:sz w:val="24"/>
              </w:rPr>
            </w:pPr>
            <w:r>
              <w:rPr>
                <w:rFonts w:hint="eastAsia" w:ascii="仿宋_GB2312" w:eastAsia="仿宋_GB2312"/>
                <w:color w:val="000000" w:themeColor="text1"/>
                <w:sz w:val="24"/>
              </w:rPr>
              <w:t>推进高新区、南昌经开区（含临空经济区）、小蓝经开区等省级智能制造基地建设，创建国家智能制造示范基地。依托优势产业集群，积极培育协同生产、共享工厂等共享制造新模式新业态。到2025年，打造50个智能制造标杆企业，100个智能制造试点示范项目。</w:t>
            </w:r>
          </w:p>
          <w:p>
            <w:pPr>
              <w:spacing w:line="40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（二）服务型制造示范工程</w:t>
            </w:r>
          </w:p>
          <w:p>
            <w:pPr>
              <w:spacing w:line="400" w:lineRule="exact"/>
              <w:ind w:firstLine="480"/>
              <w:rPr>
                <w:rFonts w:ascii="仿宋_GB2312" w:eastAsia="仿宋_GB2312"/>
                <w:color w:val="000000" w:themeColor="text1"/>
                <w:sz w:val="24"/>
              </w:rPr>
            </w:pPr>
            <w:r>
              <w:rPr>
                <w:rFonts w:hint="eastAsia" w:ascii="仿宋_GB2312" w:eastAsia="仿宋_GB2312"/>
                <w:color w:val="000000" w:themeColor="text1"/>
                <w:sz w:val="24"/>
              </w:rPr>
              <w:t>推动制造与服务协同，培育供应链管理、定制化服务、产品全生命周期管理、总集成总承包等服务型制造模式，引导制造业与服务业双向深度融合，促进两个转变，即‘产品’向‘产品+服务’、‘单一制造’向‘制造+服务’转变；鼓励服务业向制造业拓展，通过委托制造、品牌授权等方式向制造环节拓展，延伸产业链、提升价值链。到2025年，力争累计培育服务型制造示范企业（平台）20家。</w:t>
            </w:r>
          </w:p>
          <w:p>
            <w:pPr>
              <w:spacing w:line="40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（三）“入网上云”示范工程</w:t>
            </w:r>
          </w:p>
          <w:p>
            <w:pPr>
              <w:spacing w:line="400" w:lineRule="exact"/>
              <w:ind w:firstLine="480"/>
              <w:rPr>
                <w:rFonts w:ascii="仿宋_GB2312" w:eastAsia="仿宋_GB2312"/>
                <w:color w:val="000000" w:themeColor="text1"/>
                <w:sz w:val="24"/>
              </w:rPr>
            </w:pPr>
            <w:r>
              <w:rPr>
                <w:rFonts w:hint="eastAsia" w:ascii="仿宋_GB2312" w:eastAsia="仿宋_GB2312"/>
                <w:color w:val="000000" w:themeColor="text1"/>
                <w:sz w:val="24"/>
              </w:rPr>
              <w:t>开展工业互联网平台创建工作，引进培育一批重点工业互联网服务商，组织开展工业互联网服务资源池建设，深入实施“企业上云”行动、“5G+工业互联网”应用示范工程。到2025年，培育1-2个跨行业、跨领域的综合性工业互联网平台，建成5个以上细分领域工业互联网平台，培育50个“5G+工业互联网”应用项目和企业。</w:t>
            </w:r>
          </w:p>
          <w:p>
            <w:pPr>
              <w:spacing w:line="40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（四）电商特色示范工程</w:t>
            </w:r>
          </w:p>
          <w:p>
            <w:pPr>
              <w:spacing w:line="400" w:lineRule="exact"/>
              <w:ind w:firstLine="480"/>
              <w:rPr>
                <w:rFonts w:ascii="仿宋_GB2312" w:eastAsia="仿宋_GB2312"/>
                <w:color w:val="000000" w:themeColor="text1"/>
                <w:sz w:val="24"/>
              </w:rPr>
            </w:pPr>
            <w:r>
              <w:rPr>
                <w:rFonts w:hint="eastAsia" w:ascii="仿宋_GB2312" w:eastAsia="仿宋_GB2312"/>
                <w:color w:val="000000" w:themeColor="text1"/>
                <w:sz w:val="24"/>
              </w:rPr>
              <w:t>加快传统商贸企业、特色街区商圈数字化升级，培育新零售、跨境电子商务新业态，布局新零售市场，推进南昌国家跨境电商综合试验区建设，推动海关、税务等部门间跨境电商数据共享，建设高水平国家电商示范城市。到2025年，创建1个国家级电子商务示范基地，电子商务交易额达到1万亿元。</w:t>
            </w:r>
          </w:p>
          <w:p>
            <w:pPr>
              <w:spacing w:line="40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（五）智慧物流示范工程</w:t>
            </w:r>
          </w:p>
          <w:p>
            <w:pPr>
              <w:spacing w:line="400" w:lineRule="exact"/>
              <w:ind w:firstLine="480"/>
              <w:rPr>
                <w:rFonts w:ascii="仿宋_GB2312" w:eastAsia="仿宋_GB2312"/>
                <w:color w:val="000000" w:themeColor="text1"/>
                <w:sz w:val="24"/>
              </w:rPr>
            </w:pPr>
            <w:r>
              <w:rPr>
                <w:rFonts w:hint="eastAsia" w:ascii="仿宋_GB2312" w:eastAsia="仿宋_GB2312"/>
                <w:color w:val="000000" w:themeColor="text1"/>
                <w:sz w:val="24"/>
              </w:rPr>
              <w:t>积极推进城乡高效配送建设，创建全国城乡高效配送试点示范城市。以冷链、图书发行、医药仓储等六大板块为重点，实施城市智慧物流示范项目。加快推进电商领军企业、物流领军企业向南昌县向塘镇集聚。大力发展冷链物流、第四方物流等新业态，着力打造中部地区智能仓储物流中心、分拨中心、区域结算中心。</w:t>
            </w:r>
          </w:p>
          <w:p>
            <w:pPr>
              <w:spacing w:line="40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（六）数字文旅示范工程</w:t>
            </w:r>
          </w:p>
          <w:p>
            <w:pPr>
              <w:spacing w:line="400" w:lineRule="exact"/>
              <w:ind w:firstLine="480"/>
              <w:rPr>
                <w:rFonts w:ascii="仿宋_GB2312" w:eastAsia="仿宋_GB2312"/>
                <w:color w:val="000000" w:themeColor="text1"/>
                <w:sz w:val="24"/>
              </w:rPr>
            </w:pPr>
            <w:r>
              <w:rPr>
                <w:rFonts w:hint="eastAsia" w:ascii="仿宋_GB2312" w:eastAsia="仿宋_GB2312"/>
                <w:color w:val="000000" w:themeColor="text1"/>
                <w:sz w:val="24"/>
              </w:rPr>
              <w:t>加强数字化技术在文化领域的深入应用，重点培育动漫、游戏等数字文化龙头企业。利用在线旅游平台推出云旅游、云直播、云看展等新业态发展。推进海昏侯国遗址公园、万寿宫历史文化街区、安义古村群、磨盘山人工智能公园、象湖湿地公园等建设智慧景区。打造“一部手机游南昌”示范项目，建设红色文化VR旅游全国示范。到2025年，数字文化产业规模达到400亿元，形成20个示范性智慧景区，创建国家文化和科技融合示范基地。</w:t>
            </w:r>
          </w:p>
          <w:p>
            <w:pPr>
              <w:spacing w:line="40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（七）农业数字化示范工程</w:t>
            </w:r>
          </w:p>
          <w:p>
            <w:pPr>
              <w:spacing w:line="400" w:lineRule="exact"/>
              <w:ind w:firstLine="480"/>
              <w:rPr>
                <w:rFonts w:ascii="仿宋_GB2312" w:eastAsia="仿宋_GB2312"/>
                <w:color w:val="000000" w:themeColor="text1"/>
                <w:sz w:val="24"/>
              </w:rPr>
            </w:pPr>
            <w:r>
              <w:rPr>
                <w:rFonts w:hint="eastAsia" w:ascii="仿宋_GB2312" w:hAnsi="仿宋" w:eastAsia="仿宋_GB2312" w:cs="仿宋"/>
                <w:bCs/>
                <w:color w:val="000000" w:themeColor="text1"/>
                <w:sz w:val="24"/>
              </w:rPr>
              <w:t>建立健全农业大数据云平台。瞄准农业生产、经营、管理和服务四大应用，进一步完善我市农业指挥调度中心。完善农产品质量安全追溯体系。以单个农产品为突破口，健全“标准化数字生产、网格化移动监管、质量安全追溯”等功能，建设和完善农产品质量安全追溯体系</w:t>
            </w:r>
            <w:r>
              <w:rPr>
                <w:rFonts w:hint="eastAsia" w:ascii="仿宋_GB2312" w:eastAsia="仿宋_GB2312"/>
                <w:color w:val="000000" w:themeColor="text1"/>
                <w:sz w:val="24"/>
              </w:rPr>
              <w:t>。</w:t>
            </w:r>
          </w:p>
        </w:tc>
      </w:tr>
    </w:tbl>
    <w:p>
      <w:pPr>
        <w:pStyle w:val="59"/>
        <w:spacing w:line="540" w:lineRule="exact"/>
        <w:ind w:firstLine="640"/>
      </w:pPr>
      <w:bookmarkStart w:id="172" w:name="_Toc11772"/>
    </w:p>
    <w:p>
      <w:pPr>
        <w:pStyle w:val="74"/>
        <w:adjustRightInd/>
        <w:snapToGrid/>
        <w:spacing w:line="540" w:lineRule="exact"/>
        <w:rPr>
          <w:rFonts w:ascii="楷体_GB2312" w:eastAsia="楷体_GB2312"/>
          <w:color w:val="000000" w:themeColor="text1"/>
        </w:rPr>
      </w:pPr>
      <w:bookmarkStart w:id="173" w:name="_Toc64542122"/>
      <w:bookmarkStart w:id="174" w:name="_Toc28501"/>
      <w:r>
        <w:rPr>
          <w:rFonts w:hint="eastAsia" w:ascii="楷体_GB2312" w:eastAsia="楷体_GB2312"/>
          <w:color w:val="000000" w:themeColor="text1"/>
        </w:rPr>
        <w:t>第四节  加快信息基础设施建设</w:t>
      </w:r>
      <w:bookmarkEnd w:id="172"/>
      <w:bookmarkEnd w:id="173"/>
      <w:bookmarkEnd w:id="174"/>
    </w:p>
    <w:p>
      <w:pPr>
        <w:spacing w:line="54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大力推进国家“5G规模组网建设及运用示范工程”试点城市建设，加强5G基站合理布局，推动“万兆进楼宇、千兆入社区”城市光网建设，率先构建全国领先的“双5G、双千兆”网络基础设施，建成5G基站25000座。启动谋划量子通信京沪干线、沪杭干线扩容至南昌。以大数据、物联网、云计算为核心，支撑交通、航空、水务、能源等传统基建数字化改造和智慧化升级，物联网连接水平进入全国前列。超前布局新能源充电桩、智能传感器和“车联网”应用系统。推进“国家卫星导航+5G”综合应用。打造“云网边端安智”高效协同的开放架构，统筹建设新型智慧大数据中心、政务数据中心和新型智慧城市运行管理指挥中心。</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vAlign w:val="center"/>
          </w:tcPr>
          <w:p>
            <w:pPr>
              <w:pStyle w:val="52"/>
              <w:numPr>
                <w:ilvl w:val="0"/>
                <w:numId w:val="0"/>
              </w:numPr>
              <w:spacing w:after="0" w:line="320" w:lineRule="exact"/>
              <w:jc w:val="center"/>
              <w:rPr>
                <w:rFonts w:ascii="仿宋_GB2312" w:eastAsia="仿宋_GB2312"/>
                <w:b/>
                <w:color w:val="000000" w:themeColor="text1"/>
                <w:sz w:val="28"/>
                <w:szCs w:val="28"/>
              </w:rPr>
            </w:pPr>
            <w:r>
              <w:rPr>
                <w:rFonts w:hint="eastAsia" w:ascii="黑体" w:hAnsi="黑体" w:eastAsia="黑体" w:cs="黑体"/>
                <w:bCs/>
                <w:color w:val="000000" w:themeColor="text1"/>
                <w:sz w:val="28"/>
                <w:szCs w:val="28"/>
              </w:rPr>
              <w:t>专栏6：信息基础设施重大工程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spacing w:line="40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（一）5G商用网络规模部署工程</w:t>
            </w:r>
          </w:p>
          <w:p>
            <w:pPr>
              <w:spacing w:line="400" w:lineRule="exact"/>
              <w:ind w:firstLine="480"/>
              <w:rPr>
                <w:rFonts w:ascii="仿宋_GB2312" w:eastAsia="仿宋_GB2312"/>
                <w:b/>
                <w:color w:val="000000" w:themeColor="text1"/>
                <w:sz w:val="24"/>
              </w:rPr>
            </w:pPr>
            <w:r>
              <w:rPr>
                <w:rFonts w:hint="eastAsia" w:ascii="仿宋_GB2312" w:eastAsia="仿宋_GB2312"/>
                <w:color w:val="000000" w:themeColor="text1"/>
                <w:sz w:val="24"/>
              </w:rPr>
              <w:t>探索集成型智慧杆塔融合应用，加快完善5G规模部署和试点建设，加快建设5G宏站、小微基站、通信网络设备，至2025年末完成2.5万个5G基站建设，优先在5G产业核心示范区和交通、医疗、教育、能源等重点应用示范区实现连片优良覆盖，5G网络覆盖率达到100%。</w:t>
            </w:r>
          </w:p>
          <w:p>
            <w:pPr>
              <w:spacing w:line="40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（二）IPv6互联网提速升级工程</w:t>
            </w:r>
          </w:p>
          <w:p>
            <w:pPr>
              <w:spacing w:line="400" w:lineRule="exact"/>
              <w:ind w:firstLine="480"/>
              <w:rPr>
                <w:rFonts w:ascii="仿宋_GB2312" w:eastAsia="仿宋_GB2312"/>
                <w:b/>
                <w:color w:val="000000" w:themeColor="text1"/>
                <w:sz w:val="24"/>
              </w:rPr>
            </w:pPr>
            <w:r>
              <w:rPr>
                <w:rFonts w:hint="eastAsia" w:ascii="仿宋_GB2312" w:eastAsia="仿宋_GB2312"/>
                <w:color w:val="000000" w:themeColor="text1"/>
                <w:sz w:val="24"/>
              </w:rPr>
              <w:t>全面推动基于IPv6的新一代互联网规模部署和试点建设，聚焦新型智慧城市、人工智能、工业互联网、物联网等领域，强化基于IPv6的终端协同发展，至2025年实现全市域互联网骨干直联点IPv6改造。</w:t>
            </w:r>
          </w:p>
          <w:p>
            <w:pPr>
              <w:spacing w:line="40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（三）大数据中心建设工程</w:t>
            </w:r>
          </w:p>
          <w:p>
            <w:pPr>
              <w:spacing w:line="400" w:lineRule="exact"/>
              <w:ind w:firstLine="480"/>
              <w:rPr>
                <w:rFonts w:ascii="仿宋_GB2312" w:eastAsia="仿宋_GB2312"/>
                <w:b/>
                <w:color w:val="000000" w:themeColor="text1"/>
                <w:sz w:val="24"/>
              </w:rPr>
            </w:pPr>
            <w:r>
              <w:rPr>
                <w:rFonts w:hint="eastAsia" w:ascii="仿宋_GB2312" w:eastAsia="仿宋_GB2312"/>
                <w:color w:val="000000" w:themeColor="text1"/>
                <w:sz w:val="24"/>
              </w:rPr>
              <w:t>统筹推进江西省基因组学大数据中心、江西省城市消防安全物联网远程监控大数据中心、中国电信江西云大数据中心一期工程、南昌市公安大数据智能化和互联网数据中心基地等项目建设，至2025年底，每个县域边缘布局计算资源池节点不少于2个。</w:t>
            </w:r>
          </w:p>
          <w:p>
            <w:pPr>
              <w:spacing w:line="40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（四）国家级算力中心部署工程</w:t>
            </w:r>
          </w:p>
          <w:p>
            <w:pPr>
              <w:spacing w:line="400" w:lineRule="exact"/>
              <w:ind w:firstLine="480"/>
              <w:rPr>
                <w:rFonts w:ascii="仿宋_GB2312" w:eastAsia="仿宋_GB2312"/>
                <w:b/>
                <w:color w:val="000000" w:themeColor="text1"/>
                <w:sz w:val="24"/>
              </w:rPr>
            </w:pPr>
            <w:r>
              <w:rPr>
                <w:rFonts w:hint="eastAsia" w:ascii="仿宋_GB2312" w:eastAsia="仿宋_GB2312"/>
                <w:color w:val="000000" w:themeColor="text1"/>
                <w:sz w:val="24"/>
              </w:rPr>
              <w:t>深度融合“超级计算+大数据+云计算”等技术，在经开区建成1个国家级算力中心，实现先进计算与城市大脑、县域中脑、乡村小脑交叉融合及应用创新，逐步形成具有全省影响力的算力中心。</w:t>
            </w:r>
          </w:p>
          <w:p>
            <w:pPr>
              <w:spacing w:line="40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（五）物联网基础设施建设工程</w:t>
            </w:r>
          </w:p>
          <w:p>
            <w:pPr>
              <w:spacing w:line="400" w:lineRule="exact"/>
              <w:ind w:firstLine="480"/>
              <w:rPr>
                <w:rFonts w:ascii="仿宋_GB2312" w:eastAsia="仿宋_GB2312"/>
                <w:b/>
                <w:color w:val="000000" w:themeColor="text1"/>
                <w:sz w:val="24"/>
              </w:rPr>
            </w:pPr>
            <w:r>
              <w:rPr>
                <w:rFonts w:hint="eastAsia" w:ascii="仿宋_GB2312" w:eastAsia="仿宋_GB2312"/>
                <w:color w:val="000000" w:themeColor="text1"/>
                <w:sz w:val="24"/>
              </w:rPr>
              <w:t>加快窄带物联网基站建设，适度超前布局低能耗、高精度、高可靠智能化传感器、芯片处理器、电子配件等设施，加快推进物联网云平台、应用服务平台、信息共享服务平台建设，深化温度、压力、加速度、沉降传感器集成应用，推进5G与物联网垂直集成应用深度融合。</w:t>
            </w:r>
          </w:p>
          <w:p>
            <w:pPr>
              <w:spacing w:line="40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（六）智能充电桩规模部署工程</w:t>
            </w:r>
          </w:p>
          <w:p>
            <w:pPr>
              <w:spacing w:line="400" w:lineRule="exact"/>
              <w:ind w:firstLine="480"/>
              <w:rPr>
                <w:rFonts w:ascii="仿宋_GB2312" w:eastAsia="仿宋_GB2312"/>
                <w:b/>
                <w:color w:val="000000" w:themeColor="text1"/>
                <w:sz w:val="24"/>
              </w:rPr>
            </w:pPr>
            <w:r>
              <w:rPr>
                <w:rFonts w:hint="eastAsia" w:ascii="仿宋_GB2312" w:eastAsia="仿宋_GB2312"/>
                <w:color w:val="000000" w:themeColor="text1"/>
                <w:sz w:val="24"/>
              </w:rPr>
              <w:t>适当超前谋划公共、专用、社区等多种类型充电基础设施布局，推动5G、车联网平台和新能源充电系统融合应用，至2025年末，在高新区、经开区、高铁新城等重点区域打造公共充电桩5000个，基本建成1公里服务半径的充电基础设施服务网络。</w:t>
            </w:r>
          </w:p>
          <w:p>
            <w:pPr>
              <w:spacing w:line="40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（七）城市空中配送网络组建工程</w:t>
            </w:r>
          </w:p>
          <w:p>
            <w:pPr>
              <w:spacing w:line="400" w:lineRule="exact"/>
              <w:ind w:firstLine="480"/>
              <w:rPr>
                <w:rFonts w:ascii="仿宋_GB2312" w:eastAsia="仿宋_GB2312"/>
                <w:b/>
                <w:color w:val="000000" w:themeColor="text1"/>
                <w:sz w:val="24"/>
              </w:rPr>
            </w:pPr>
            <w:r>
              <w:rPr>
                <w:rFonts w:hint="eastAsia" w:ascii="仿宋_GB2312" w:eastAsia="仿宋_GB2312"/>
                <w:color w:val="000000" w:themeColor="text1"/>
                <w:sz w:val="24"/>
              </w:rPr>
              <w:t>面向无人配送市场需求，在屋顶、公园等开阔地带规划部署无人机智能化自助快递柜、快递集散分点、快递集散基地和区域调度中心，加快推动小型无人机迭代升级，实现物流无人机、无人站、云端UTM和调度系统能够无缝协同运行，打造城市低空无人机配送试点。</w:t>
            </w:r>
          </w:p>
          <w:p>
            <w:pPr>
              <w:spacing w:line="40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（八）数字孪生城市建设工程</w:t>
            </w:r>
          </w:p>
          <w:p>
            <w:pPr>
              <w:spacing w:line="400" w:lineRule="exact"/>
              <w:ind w:firstLine="480"/>
              <w:rPr>
                <w:rFonts w:ascii="仿宋_GB2312" w:eastAsia="仿宋_GB2312"/>
                <w:b/>
                <w:color w:val="000000" w:themeColor="text1"/>
                <w:sz w:val="24"/>
              </w:rPr>
            </w:pPr>
            <w:r>
              <w:rPr>
                <w:rFonts w:hint="eastAsia" w:ascii="仿宋_GB2312" w:eastAsia="仿宋_GB2312"/>
                <w:color w:val="000000" w:themeColor="text1"/>
                <w:sz w:val="24"/>
              </w:rPr>
              <w:t>坚持数字城市与现实城市同步规划建设原则，加快集成分布式计算、5G、VR/AR、大规模数据并行处理、深度学习等技术与3D建模、高精度地图、模拟仿真、虚拟现实、智能控制等数字孪生相关技术有机耦合，着力构建数字孪生城市。</w:t>
            </w:r>
          </w:p>
        </w:tc>
      </w:tr>
    </w:tbl>
    <w:p>
      <w:pPr>
        <w:pStyle w:val="23"/>
        <w:adjustRightInd/>
        <w:snapToGrid/>
        <w:spacing w:line="580" w:lineRule="exact"/>
        <w:rPr>
          <w:b w:val="0"/>
          <w:color w:val="000000" w:themeColor="text1"/>
        </w:rPr>
      </w:pPr>
      <w:bookmarkStart w:id="175" w:name="_Toc14962"/>
      <w:bookmarkStart w:id="176" w:name="_Toc64542123"/>
    </w:p>
    <w:p>
      <w:pPr>
        <w:pStyle w:val="23"/>
        <w:adjustRightInd/>
        <w:snapToGrid/>
        <w:spacing w:line="580" w:lineRule="exact"/>
        <w:rPr>
          <w:b w:val="0"/>
          <w:color w:val="000000" w:themeColor="text1"/>
        </w:rPr>
      </w:pPr>
      <w:r>
        <w:rPr>
          <w:rFonts w:hint="eastAsia"/>
          <w:b w:val="0"/>
          <w:color w:val="000000" w:themeColor="text1"/>
        </w:rPr>
        <w:t>第十一章  提高数字政府建设水平</w:t>
      </w:r>
      <w:bookmarkEnd w:id="175"/>
      <w:bookmarkEnd w:id="176"/>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大力推进数字政府建设，强化有为政府角色，通过数据驱动重塑政府流程优化和治理变革，形成用数据决策、用数据服务、用数据创新的新型治理模式。</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177" w:name="_Toc64542124"/>
      <w:bookmarkStart w:id="178" w:name="_Toc31055"/>
      <w:r>
        <w:rPr>
          <w:rFonts w:hint="eastAsia" w:ascii="楷体_GB2312" w:eastAsia="楷体_GB2312"/>
          <w:color w:val="000000" w:themeColor="text1"/>
        </w:rPr>
        <w:t>第一节  高标准建设“城市大脑”</w:t>
      </w:r>
      <w:bookmarkEnd w:id="177"/>
      <w:bookmarkEnd w:id="178"/>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加快建设以互联网为基础、以云计算与大数据为支撑, 实现海量多源数据归集、实时处理与智能分析“城市大脑”。到2025年，“城市大脑”赋能社会治理、公共卫生、公共服务、产业经济发展的格局基本形成，数据要素与信息技术得到全面深度应用，多级联动便民服务数字化场景基本覆盖，基本建成国际一流、国内领先、城市典范、具有南昌特色的“城市大脑”。</w:t>
      </w:r>
    </w:p>
    <w:p>
      <w:pPr>
        <w:ind w:firstLine="0" w:firstLineChars="0"/>
      </w:pPr>
      <w:bookmarkStart w:id="179" w:name="_Toc64542125"/>
      <w:bookmarkStart w:id="180" w:name="_Toc31371"/>
    </w:p>
    <w:p>
      <w:pPr>
        <w:pStyle w:val="74"/>
        <w:adjustRightInd/>
        <w:snapToGrid/>
        <w:spacing w:line="580" w:lineRule="exact"/>
        <w:rPr>
          <w:rFonts w:ascii="楷体_GB2312" w:eastAsia="楷体_GB2312"/>
          <w:color w:val="000000" w:themeColor="text1"/>
        </w:rPr>
      </w:pPr>
      <w:r>
        <w:rPr>
          <w:rFonts w:hint="eastAsia" w:ascii="楷体_GB2312" w:eastAsia="楷体_GB2312"/>
          <w:color w:val="000000" w:themeColor="text1"/>
        </w:rPr>
        <w:t>第二节  促进公共数据开放共用</w:t>
      </w:r>
      <w:bookmarkEnd w:id="179"/>
      <w:bookmarkEnd w:id="180"/>
    </w:p>
    <w:p>
      <w:pPr>
        <w:pStyle w:val="59"/>
        <w:widowControl w:val="0"/>
        <w:adjustRightInd/>
        <w:snapToGrid/>
        <w:spacing w:line="580" w:lineRule="exact"/>
        <w:ind w:firstLine="640"/>
        <w:rPr>
          <w:color w:val="000000" w:themeColor="text1"/>
        </w:rPr>
      </w:pPr>
    </w:p>
    <w:p>
      <w:pPr>
        <w:pStyle w:val="59"/>
        <w:widowControl w:val="0"/>
        <w:adjustRightInd/>
        <w:snapToGrid/>
        <w:spacing w:line="580" w:lineRule="exact"/>
        <w:ind w:firstLine="640"/>
        <w:rPr>
          <w:color w:val="000000" w:themeColor="text1"/>
        </w:rPr>
      </w:pPr>
      <w:r>
        <w:rPr>
          <w:rFonts w:hint="eastAsia"/>
          <w:color w:val="000000" w:themeColor="text1"/>
        </w:rPr>
        <w:t>制定数据资源和数字产业化相关技术标准，完善数字经济相关数据采集、处理、分析、共享、交易等制度规范，构建数据资源高效配置制度环境。持续完善人口、法人、空间地理等基础数据库，建设专题应用数据库，促进跨层级、跨部门协同应用。建设统一政务数据共享交换平台，制定政务数据资源共享管理办法，促进政务数据共享交换。建立全市政务大数据开放平台，打通政府数据开放“最后一公里”。推动政务数据和社会数据融合应用，催生大数据产业新业态新模式。建立数据分类分级保护体系，建设网络安全保密防护监管一体化平台。提升重要数据资源和个人信息安全保护能力，强化数据跨境流动安全管理。</w:t>
      </w:r>
    </w:p>
    <w:p>
      <w:pPr>
        <w:pStyle w:val="59"/>
        <w:widowControl w:val="0"/>
        <w:adjustRightInd/>
        <w:snapToGrid/>
        <w:spacing w:line="580" w:lineRule="exact"/>
        <w:ind w:firstLine="640"/>
        <w:rPr>
          <w:color w:val="000000" w:themeColor="text1"/>
        </w:rPr>
      </w:pPr>
    </w:p>
    <w:p>
      <w:pPr>
        <w:pStyle w:val="74"/>
        <w:adjustRightInd/>
        <w:snapToGrid/>
        <w:spacing w:line="580" w:lineRule="exact"/>
        <w:rPr>
          <w:rFonts w:ascii="楷体_GB2312" w:eastAsia="楷体_GB2312"/>
          <w:color w:val="000000" w:themeColor="text1"/>
        </w:rPr>
      </w:pPr>
      <w:bookmarkStart w:id="181" w:name="_Toc8723"/>
      <w:bookmarkStart w:id="182" w:name="_Toc64542126"/>
      <w:r>
        <w:rPr>
          <w:rFonts w:hint="eastAsia" w:ascii="楷体_GB2312" w:eastAsia="楷体_GB2312"/>
          <w:color w:val="000000" w:themeColor="text1"/>
        </w:rPr>
        <w:t>第三节  提升政府数字化服务效能</w:t>
      </w:r>
      <w:bookmarkEnd w:id="181"/>
      <w:bookmarkEnd w:id="182"/>
    </w:p>
    <w:p>
      <w:pPr>
        <w:pStyle w:val="59"/>
        <w:widowControl w:val="0"/>
        <w:adjustRightInd/>
        <w:snapToGrid/>
        <w:spacing w:line="580" w:lineRule="exact"/>
        <w:ind w:firstLine="640"/>
        <w:rPr>
          <w:color w:val="000000" w:themeColor="text1"/>
        </w:rPr>
      </w:pPr>
    </w:p>
    <w:p>
      <w:pPr>
        <w:pStyle w:val="59"/>
        <w:widowControl w:val="0"/>
        <w:adjustRightInd/>
        <w:snapToGrid/>
        <w:spacing w:line="580" w:lineRule="exact"/>
        <w:ind w:firstLine="640"/>
        <w:rPr>
          <w:color w:val="000000" w:themeColor="text1"/>
        </w:rPr>
      </w:pPr>
      <w:r>
        <w:rPr>
          <w:rFonts w:hint="eastAsia"/>
          <w:color w:val="000000" w:themeColor="text1"/>
        </w:rPr>
        <w:t>构建“赣服通”一体化政务服务平台体系，推动简政放权、放管结合与优化服务，提升政务服务供给精准化、分层化、个性化水平。再造政务服务流程，提高政府运作效能，降低政府运作总成本。整合各部门现有移动端信息发布、网上办事和在线服务等渠道，建设全市统一入口，汇聚政务办事信息、政府服务资源和社会化便民服务资源，打造集约化、便捷化、多元化便民服务新模式。利用大数据技术，对民众服务需求进行分析挖掘，不断改进政府服务效用。对数字经济形态实施“包容、审慎、开放”监管模式，建立容错纠错机制。</w:t>
      </w:r>
    </w:p>
    <w:p>
      <w:pPr>
        <w:pStyle w:val="14"/>
        <w:spacing w:after="0" w:line="580" w:lineRule="exact"/>
        <w:ind w:left="0" w:leftChars="0" w:firstLine="0" w:firstLineChars="0"/>
      </w:pPr>
    </w:p>
    <w:p>
      <w:pPr>
        <w:pStyle w:val="23"/>
        <w:adjustRightInd/>
        <w:snapToGrid/>
        <w:spacing w:line="580" w:lineRule="exact"/>
        <w:rPr>
          <w:b w:val="0"/>
          <w:color w:val="000000" w:themeColor="text1"/>
        </w:rPr>
      </w:pPr>
      <w:bookmarkStart w:id="183" w:name="_Toc64542127"/>
      <w:bookmarkStart w:id="184" w:name="_Toc5174"/>
      <w:bookmarkStart w:id="185" w:name="_Toc15286"/>
      <w:r>
        <w:rPr>
          <w:rFonts w:hint="eastAsia"/>
          <w:b w:val="0"/>
          <w:color w:val="000000" w:themeColor="text1"/>
        </w:rPr>
        <w:t>第十二章  加快数字社会建设</w:t>
      </w:r>
      <w:bookmarkEnd w:id="183"/>
      <w:bookmarkEnd w:id="184"/>
      <w:bookmarkEnd w:id="185"/>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统筹智慧城市和数字乡村建设，倡导数字生活新方式，提升公共服务、社会治理等数字化智能水平。</w:t>
      </w:r>
    </w:p>
    <w:p>
      <w:pPr>
        <w:pStyle w:val="2"/>
        <w:ind w:firstLine="320"/>
        <w:rPr>
          <w:rFonts w:hint="eastAsia"/>
        </w:rPr>
      </w:pPr>
    </w:p>
    <w:p>
      <w:pPr>
        <w:pStyle w:val="74"/>
        <w:adjustRightInd/>
        <w:snapToGrid/>
        <w:spacing w:line="580" w:lineRule="exact"/>
        <w:rPr>
          <w:rFonts w:ascii="楷体_GB2312" w:eastAsia="楷体_GB2312"/>
          <w:color w:val="000000" w:themeColor="text1"/>
        </w:rPr>
      </w:pPr>
      <w:bookmarkStart w:id="186" w:name="_Toc10153"/>
      <w:bookmarkStart w:id="187" w:name="_Toc18502"/>
      <w:bookmarkStart w:id="188" w:name="_Toc64542128"/>
      <w:r>
        <w:rPr>
          <w:rFonts w:hint="eastAsia" w:ascii="楷体_GB2312" w:eastAsia="楷体_GB2312"/>
          <w:color w:val="000000" w:themeColor="text1"/>
        </w:rPr>
        <w:t>第一节  建设新型智慧城市</w:t>
      </w:r>
      <w:bookmarkEnd w:id="186"/>
      <w:bookmarkEnd w:id="187"/>
      <w:bookmarkEnd w:id="188"/>
    </w:p>
    <w:p>
      <w:pPr>
        <w:tabs>
          <w:tab w:val="left" w:pos="0"/>
        </w:tabs>
        <w:spacing w:line="580" w:lineRule="exact"/>
        <w:ind w:firstLine="640"/>
        <w:rPr>
          <w:rFonts w:ascii="仿宋_GB2312" w:eastAsia="仿宋_GB2312"/>
          <w:color w:val="000000" w:themeColor="text1"/>
          <w:kern w:val="0"/>
        </w:rPr>
      </w:pPr>
    </w:p>
    <w:p>
      <w:pPr>
        <w:tabs>
          <w:tab w:val="left" w:pos="0"/>
        </w:tabs>
        <w:spacing w:line="580" w:lineRule="exact"/>
        <w:ind w:firstLine="640"/>
        <w:rPr>
          <w:rFonts w:ascii="黑体" w:hAnsi="黑体" w:eastAsia="黑体" w:cs="黑体"/>
          <w:bCs/>
          <w:color w:val="000000" w:themeColor="text1"/>
          <w:sz w:val="28"/>
          <w:szCs w:val="28"/>
        </w:rPr>
      </w:pPr>
      <w:r>
        <w:rPr>
          <w:rFonts w:hint="eastAsia" w:ascii="仿宋_GB2312" w:eastAsia="仿宋_GB2312"/>
          <w:color w:val="000000" w:themeColor="text1"/>
          <w:kern w:val="0"/>
        </w:rPr>
        <w:t>围绕公共服务、城市治理、产业发展三大领域的发展需求，建设全市统一的物联感知体系和传输网络体系。基于城市大脑数据开放共享与技术能力支撑，推动交通、金融、医疗、教育等领域应用场景开放，融合性、创新性地开展部门应用、行业应用、交互式集成应用、跨部门集成应用等，实现全市运行一网感知、便民利企一网通办，城市治理一网通管。研究推进城市实验室建设，创新公共项目合作模式，增强市民、企业、政府及研究机构在智慧城市的参与程度。推动成立智慧城市政企联盟，完善城市科技与政府治理的融合协同机制，营造多方参与、共同协作的智慧城市建设新生态。</w:t>
      </w:r>
      <w:r>
        <w:rPr>
          <w:rFonts w:hint="eastAsia" w:ascii="黑体" w:hAnsi="黑体" w:eastAsia="黑体" w:cs="黑体"/>
          <w:bCs/>
          <w:color w:val="000000" w:themeColor="text1"/>
          <w:sz w:val="28"/>
          <w:szCs w:val="28"/>
        </w:rPr>
        <w:br w:type="page"/>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1" w:type="dxa"/>
            <w:vAlign w:val="center"/>
          </w:tcPr>
          <w:p>
            <w:pPr>
              <w:pStyle w:val="52"/>
              <w:numPr>
                <w:ilvl w:val="0"/>
                <w:numId w:val="0"/>
              </w:numPr>
              <w:spacing w:after="0" w:line="360" w:lineRule="exact"/>
              <w:jc w:val="center"/>
              <w:rPr>
                <w:rFonts w:ascii="仿宋_GB2312" w:eastAsia="仿宋_GB2312"/>
                <w:b/>
                <w:color w:val="000000" w:themeColor="text1"/>
                <w:sz w:val="28"/>
                <w:szCs w:val="28"/>
              </w:rPr>
            </w:pPr>
            <w:r>
              <w:rPr>
                <w:rFonts w:hint="eastAsia" w:ascii="黑体" w:hAnsi="黑体" w:eastAsia="黑体" w:cs="黑体"/>
                <w:bCs/>
                <w:color w:val="000000" w:themeColor="text1"/>
                <w:sz w:val="28"/>
                <w:szCs w:val="28"/>
              </w:rPr>
              <w:t>专栏7：新型智慧城市总体架构图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tabs>
                <w:tab w:val="left" w:pos="0"/>
              </w:tabs>
              <w:ind w:firstLine="0" w:firstLineChars="0"/>
              <w:jc w:val="center"/>
              <w:rPr>
                <w:rFonts w:ascii="Calibri" w:hAnsi="Calibri" w:eastAsia="楷体" w:cs="Times New Roman"/>
                <w:color w:val="000000" w:themeColor="text1"/>
                <w:kern w:val="0"/>
              </w:rPr>
            </w:pPr>
            <w:r>
              <w:rPr>
                <w:rFonts w:ascii="Calibri" w:hAnsi="Calibri" w:eastAsia="楷体" w:cs="Times New Roman"/>
                <w:color w:val="000000" w:themeColor="text1"/>
                <w:kern w:val="0"/>
              </w:rPr>
              <w:drawing>
                <wp:inline distT="0" distB="0" distL="0" distR="0">
                  <wp:extent cx="4532630" cy="4067175"/>
                  <wp:effectExtent l="0" t="0" r="127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532630" cy="4067175"/>
                          </a:xfrm>
                          <a:prstGeom prst="rect">
                            <a:avLst/>
                          </a:prstGeom>
                          <a:noFill/>
                        </pic:spPr>
                      </pic:pic>
                    </a:graphicData>
                  </a:graphic>
                </wp:inline>
              </w:drawing>
            </w:r>
          </w:p>
          <w:p>
            <w:pPr>
              <w:numPr>
                <w:ilvl w:val="8"/>
                <w:numId w:val="0"/>
              </w:numPr>
              <w:spacing w:line="360" w:lineRule="exact"/>
              <w:ind w:firstLine="600"/>
              <w:jc w:val="center"/>
              <w:rPr>
                <w:rFonts w:ascii="楷体_GB2312" w:hAnsi="楷体_GB2312" w:eastAsia="楷体_GB2312" w:cs="楷体_GB2312"/>
                <w:b/>
                <w:color w:val="000000" w:themeColor="text1"/>
                <w:kern w:val="0"/>
                <w:sz w:val="20"/>
                <w:szCs w:val="30"/>
              </w:rPr>
            </w:pPr>
            <w:r>
              <w:rPr>
                <w:rFonts w:hint="eastAsia" w:ascii="楷体_GB2312" w:hAnsi="楷体_GB2312" w:eastAsia="楷体_GB2312" w:cs="楷体_GB2312"/>
                <w:b/>
                <w:color w:val="000000" w:themeColor="text1"/>
                <w:kern w:val="0"/>
                <w:sz w:val="20"/>
                <w:szCs w:val="30"/>
              </w:rPr>
              <w:t>南昌市新型智慧城市总体架构图</w:t>
            </w:r>
          </w:p>
          <w:p>
            <w:pPr>
              <w:spacing w:line="360" w:lineRule="exact"/>
              <w:ind w:firstLine="480"/>
              <w:rPr>
                <w:rFonts w:ascii="仿宋_GB2312" w:eastAsia="仿宋_GB2312"/>
                <w:color w:val="000000" w:themeColor="text1"/>
                <w:sz w:val="24"/>
              </w:rPr>
            </w:pPr>
          </w:p>
          <w:p>
            <w:pPr>
              <w:spacing w:line="350" w:lineRule="exact"/>
              <w:ind w:firstLine="480"/>
              <w:rPr>
                <w:rFonts w:ascii="仿宋_GB2312" w:eastAsia="仿宋_GB2312"/>
                <w:color w:val="000000" w:themeColor="text1"/>
                <w:sz w:val="24"/>
              </w:rPr>
            </w:pPr>
            <w:r>
              <w:rPr>
                <w:rFonts w:hint="eastAsia" w:ascii="仿宋_GB2312" w:eastAsia="仿宋_GB2312"/>
                <w:color w:val="000000" w:themeColor="text1"/>
                <w:sz w:val="24"/>
              </w:rPr>
              <w:t>新型智慧城市建设总体架构为“</w:t>
            </w:r>
            <w:r>
              <w:rPr>
                <w:rFonts w:ascii="仿宋_GB2312" w:eastAsia="仿宋_GB2312"/>
                <w:color w:val="000000" w:themeColor="text1"/>
                <w:sz w:val="24"/>
              </w:rPr>
              <w:t>1131</w:t>
            </w:r>
            <w:r>
              <w:rPr>
                <w:rFonts w:hint="eastAsia" w:ascii="仿宋_GB2312" w:eastAsia="仿宋_GB2312"/>
                <w:color w:val="000000" w:themeColor="text1"/>
                <w:sz w:val="24"/>
              </w:rPr>
              <w:t>”。</w:t>
            </w:r>
          </w:p>
          <w:p>
            <w:pPr>
              <w:spacing w:line="350" w:lineRule="exact"/>
              <w:ind w:firstLine="482"/>
              <w:rPr>
                <w:rFonts w:ascii="仿宋_GB2312" w:eastAsia="仿宋_GB2312"/>
                <w:color w:val="000000" w:themeColor="text1"/>
                <w:sz w:val="24"/>
              </w:rPr>
            </w:pPr>
            <w:r>
              <w:rPr>
                <w:rFonts w:hint="eastAsia" w:ascii="仿宋_GB2312" w:eastAsia="仿宋_GB2312"/>
                <w:b/>
                <w:color w:val="000000" w:themeColor="text1"/>
                <w:sz w:val="24"/>
              </w:rPr>
              <w:t>一基础支撑：</w:t>
            </w:r>
            <w:r>
              <w:rPr>
                <w:rFonts w:hint="eastAsia" w:ascii="仿宋_GB2312" w:eastAsia="仿宋_GB2312"/>
                <w:color w:val="000000" w:themeColor="text1"/>
                <w:sz w:val="24"/>
              </w:rPr>
              <w:t>打造全市统一的物联感知体系和传输网络体系。建设统一网管平台。采用统一云管模式。</w:t>
            </w:r>
          </w:p>
          <w:p>
            <w:pPr>
              <w:spacing w:line="350" w:lineRule="exact"/>
              <w:ind w:firstLine="482"/>
              <w:rPr>
                <w:rFonts w:ascii="仿宋_GB2312" w:eastAsia="仿宋_GB2312"/>
                <w:color w:val="000000" w:themeColor="text1"/>
                <w:sz w:val="24"/>
              </w:rPr>
            </w:pPr>
            <w:r>
              <w:rPr>
                <w:rFonts w:hint="eastAsia" w:ascii="仿宋_GB2312" w:eastAsia="仿宋_GB2312"/>
                <w:b/>
                <w:color w:val="000000" w:themeColor="text1"/>
                <w:sz w:val="24"/>
              </w:rPr>
              <w:t>一大脑赋能：</w:t>
            </w:r>
            <w:r>
              <w:rPr>
                <w:rFonts w:hint="eastAsia" w:ascii="仿宋_GB2312" w:eastAsia="仿宋_GB2312"/>
                <w:color w:val="000000" w:themeColor="text1"/>
                <w:sz w:val="24"/>
              </w:rPr>
              <w:t>建设南昌“城市大脑”，实现数据资源汇集、处理、共享开放，智慧应用服务支撑，以及城市运行各领域分析决策。</w:t>
            </w:r>
          </w:p>
          <w:p>
            <w:pPr>
              <w:spacing w:line="350" w:lineRule="exact"/>
              <w:ind w:firstLine="482"/>
              <w:rPr>
                <w:rFonts w:ascii="仿宋_GB2312" w:eastAsia="仿宋_GB2312"/>
                <w:color w:val="000000" w:themeColor="text1"/>
                <w:sz w:val="24"/>
              </w:rPr>
            </w:pPr>
            <w:r>
              <w:rPr>
                <w:rFonts w:hint="eastAsia" w:ascii="仿宋_GB2312" w:eastAsia="仿宋_GB2312"/>
                <w:b/>
                <w:color w:val="000000" w:themeColor="text1"/>
                <w:sz w:val="24"/>
              </w:rPr>
              <w:t>三领域应用：</w:t>
            </w:r>
            <w:r>
              <w:rPr>
                <w:rFonts w:hint="eastAsia" w:ascii="仿宋_GB2312" w:eastAsia="仿宋_GB2312"/>
                <w:color w:val="000000" w:themeColor="text1"/>
                <w:sz w:val="24"/>
              </w:rPr>
              <w:t>围绕公共服务、城市治理、产业发展三大领域需求，开展部门应用、行业应用、交互式集成应用、跨部门集成应用等，逐步扩大场景应用范围，推动交通、金融、医疗、教育等领域应用场景开放。</w:t>
            </w:r>
          </w:p>
          <w:p>
            <w:pPr>
              <w:spacing w:line="350" w:lineRule="exact"/>
              <w:ind w:firstLine="482"/>
              <w:rPr>
                <w:rFonts w:ascii="宋体" w:hAnsi="宋体" w:eastAsia="宋体" w:cs="宋体"/>
                <w:color w:val="000000" w:themeColor="text1"/>
                <w:kern w:val="0"/>
                <w:sz w:val="28"/>
                <w:szCs w:val="28"/>
              </w:rPr>
            </w:pPr>
            <w:r>
              <w:rPr>
                <w:rFonts w:hint="eastAsia" w:ascii="仿宋_GB2312" w:eastAsia="仿宋_GB2312"/>
                <w:b/>
                <w:color w:val="000000" w:themeColor="text1"/>
                <w:sz w:val="24"/>
              </w:rPr>
              <w:t>一入口服务：</w:t>
            </w:r>
            <w:r>
              <w:rPr>
                <w:rFonts w:hint="eastAsia" w:ascii="仿宋_GB2312" w:eastAsia="仿宋_GB2312"/>
                <w:color w:val="000000" w:themeColor="text1"/>
                <w:sz w:val="24"/>
              </w:rPr>
              <w:t>面向政府、企业、市民三类主体，统一身份认证，打造南昌市统一的应用服务门户和入口，统筹各类客户端、热线、网站等城市管理和服务渠道建设，提供“一站式”服务。</w:t>
            </w:r>
          </w:p>
        </w:tc>
      </w:tr>
    </w:tbl>
    <w:p>
      <w:pPr>
        <w:pStyle w:val="59"/>
        <w:widowControl w:val="0"/>
        <w:adjustRightInd/>
        <w:snapToGrid/>
        <w:spacing w:line="558" w:lineRule="exact"/>
        <w:ind w:firstLine="640"/>
      </w:pPr>
    </w:p>
    <w:p>
      <w:pPr>
        <w:pStyle w:val="59"/>
        <w:widowControl w:val="0"/>
        <w:adjustRightInd/>
        <w:snapToGrid/>
        <w:spacing w:line="558" w:lineRule="exact"/>
        <w:ind w:firstLine="640"/>
      </w:pPr>
    </w:p>
    <w:p>
      <w:pPr>
        <w:pStyle w:val="74"/>
        <w:adjustRightInd/>
        <w:snapToGrid/>
        <w:spacing w:line="558" w:lineRule="exact"/>
        <w:rPr>
          <w:rFonts w:ascii="楷体_GB2312" w:eastAsia="楷体_GB2312"/>
          <w:color w:val="000000" w:themeColor="text1"/>
        </w:rPr>
      </w:pPr>
      <w:bookmarkStart w:id="189" w:name="_Toc1565"/>
      <w:bookmarkStart w:id="190" w:name="_Toc14235"/>
      <w:bookmarkStart w:id="191" w:name="_Toc64542129"/>
    </w:p>
    <w:p>
      <w:pPr>
        <w:pStyle w:val="74"/>
        <w:adjustRightInd/>
        <w:snapToGrid/>
        <w:spacing w:line="558" w:lineRule="exact"/>
        <w:rPr>
          <w:rFonts w:ascii="楷体_GB2312" w:eastAsia="楷体_GB2312"/>
          <w:color w:val="000000" w:themeColor="text1"/>
        </w:rPr>
      </w:pPr>
      <w:r>
        <w:rPr>
          <w:rFonts w:hint="eastAsia" w:ascii="楷体_GB2312" w:eastAsia="楷体_GB2312"/>
          <w:color w:val="000000" w:themeColor="text1"/>
        </w:rPr>
        <w:t>第二节  加快数字乡村建设</w:t>
      </w:r>
      <w:bookmarkEnd w:id="189"/>
      <w:bookmarkEnd w:id="190"/>
      <w:bookmarkEnd w:id="191"/>
    </w:p>
    <w:p>
      <w:pPr>
        <w:spacing w:line="558" w:lineRule="exact"/>
        <w:ind w:firstLine="640"/>
        <w:rPr>
          <w:rFonts w:ascii="仿宋_GB2312" w:eastAsia="仿宋_GB2312"/>
          <w:color w:val="000000" w:themeColor="text1"/>
          <w:kern w:val="0"/>
        </w:rPr>
      </w:pPr>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实施乡村信息基础设施振兴行动，促进网络深度覆盖和光纤宽带提速，提升农村用户普及率和网络接入覆盖率。打造开放、共享、功能更加完备的农业农村综合信息服务网络。加快推进农业生产大数据应用，探索农产品质量安全数字化管理。推动农村物流、电子商务基础设施建设，积极培育“互联网+”现代农业新业态。深入推进农业生产物联网应用示范。推动“互联网+党建”，建立完善农村基层党建信息平台。推动党务、村务、财务网上公开，畅通社情民意。推动“互联网+社区”向农村延伸，大力推动乡村建设和规划管理信息化。</w:t>
      </w:r>
    </w:p>
    <w:p>
      <w:pPr>
        <w:pStyle w:val="31"/>
        <w:autoSpaceDN/>
        <w:spacing w:line="558" w:lineRule="exact"/>
        <w:ind w:firstLine="640"/>
      </w:pPr>
    </w:p>
    <w:p>
      <w:pPr>
        <w:pStyle w:val="74"/>
        <w:adjustRightInd/>
        <w:snapToGrid/>
        <w:spacing w:line="558" w:lineRule="exact"/>
        <w:rPr>
          <w:rFonts w:ascii="楷体_GB2312" w:eastAsia="楷体_GB2312"/>
          <w:color w:val="000000" w:themeColor="text1"/>
        </w:rPr>
      </w:pPr>
      <w:bookmarkStart w:id="192" w:name="_Toc7881"/>
      <w:bookmarkStart w:id="193" w:name="_Toc1601"/>
      <w:bookmarkStart w:id="194" w:name="_Toc64542130"/>
      <w:r>
        <w:rPr>
          <w:rFonts w:hint="eastAsia" w:ascii="楷体_GB2312" w:eastAsia="楷体_GB2312"/>
          <w:color w:val="000000" w:themeColor="text1"/>
        </w:rPr>
        <w:t>第三节  提升全民数字技能</w:t>
      </w:r>
      <w:bookmarkEnd w:id="192"/>
      <w:bookmarkEnd w:id="193"/>
      <w:bookmarkEnd w:id="194"/>
    </w:p>
    <w:p>
      <w:pPr>
        <w:spacing w:line="558" w:lineRule="exact"/>
        <w:ind w:firstLine="640"/>
        <w:rPr>
          <w:rFonts w:ascii="仿宋_GB2312" w:eastAsia="仿宋_GB2312"/>
          <w:color w:val="000000" w:themeColor="text1"/>
          <w:kern w:val="0"/>
        </w:rPr>
      </w:pPr>
    </w:p>
    <w:p>
      <w:pPr>
        <w:spacing w:line="558" w:lineRule="exact"/>
        <w:ind w:firstLine="640"/>
        <w:rPr>
          <w:color w:val="000000" w:themeColor="text1"/>
        </w:rPr>
      </w:pPr>
      <w:r>
        <w:rPr>
          <w:rFonts w:hint="eastAsia" w:ascii="仿宋_GB2312" w:eastAsia="仿宋_GB2312"/>
          <w:color w:val="000000" w:themeColor="text1"/>
          <w:kern w:val="0"/>
        </w:rPr>
        <w:t>以数字平台企业、数字科研机构、高校院所等数字初创人才基地、数字应用类企业和组织为重点，引进和培育数字技能人才和产业从业群体。加强企业职工数字技能培训，持续提升劳动者的数字素养。推进数字经济再教育计划，建立覆盖全市党组织、政府机关、学校、企业和社区的数字经济教育培训网络。加大中老年人和残障人士等特殊群体帮扶，消除“数字鸿沟”。将编程列入中小学必修课，加强网络健康教育，防止青少年对虚拟网络世界的过度迷恋和依赖。大力开展“净网”“清网”等专项行动。</w:t>
      </w:r>
      <w:r>
        <w:rPr>
          <w:rFonts w:hint="eastAsia"/>
          <w:color w:val="000000" w:themeColor="text1"/>
        </w:rPr>
        <w:br w:type="page"/>
      </w:r>
    </w:p>
    <w:p>
      <w:pPr>
        <w:pStyle w:val="29"/>
        <w:adjustRightInd/>
        <w:snapToGrid/>
        <w:spacing w:line="580" w:lineRule="exact"/>
        <w:rPr>
          <w:color w:val="000000" w:themeColor="text1"/>
        </w:rPr>
      </w:pPr>
      <w:bookmarkStart w:id="195" w:name="_Toc57195672"/>
      <w:bookmarkStart w:id="196" w:name="_Toc6778"/>
      <w:bookmarkStart w:id="197" w:name="_Toc57194211"/>
      <w:bookmarkStart w:id="198" w:name="_Toc29005"/>
      <w:bookmarkStart w:id="199" w:name="_Toc64542131"/>
      <w:bookmarkStart w:id="200" w:name="_Toc57195689"/>
      <w:bookmarkStart w:id="201" w:name="_Toc57194228"/>
    </w:p>
    <w:p>
      <w:pPr>
        <w:pStyle w:val="29"/>
        <w:adjustRightInd/>
        <w:snapToGrid/>
        <w:spacing w:line="580" w:lineRule="exact"/>
        <w:rPr>
          <w:color w:val="000000" w:themeColor="text1"/>
        </w:rPr>
      </w:pPr>
      <w:r>
        <w:rPr>
          <w:rFonts w:hint="eastAsia"/>
          <w:color w:val="000000" w:themeColor="text1"/>
        </w:rPr>
        <w:t>第四篇  发展现代产业体系</w:t>
      </w:r>
      <w:bookmarkEnd w:id="195"/>
      <w:bookmarkEnd w:id="196"/>
      <w:bookmarkEnd w:id="197"/>
      <w:bookmarkEnd w:id="198"/>
      <w:bookmarkEnd w:id="199"/>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坚持把发展经济着力点放在实体经济上，持续推动经济发展质量变革、效率变革、动力变革，全力打造工业强市、现代服务业强市，加快构建具有竞争力的现代产业体系。</w:t>
      </w:r>
    </w:p>
    <w:p>
      <w:pPr>
        <w:pStyle w:val="31"/>
        <w:autoSpaceDN/>
        <w:spacing w:line="580" w:lineRule="exact"/>
        <w:ind w:firstLine="640"/>
      </w:pPr>
    </w:p>
    <w:p>
      <w:pPr>
        <w:pStyle w:val="23"/>
        <w:adjustRightInd/>
        <w:snapToGrid/>
        <w:spacing w:line="580" w:lineRule="exact"/>
        <w:rPr>
          <w:b w:val="0"/>
          <w:color w:val="000000" w:themeColor="text1"/>
        </w:rPr>
      </w:pPr>
      <w:bookmarkStart w:id="202" w:name="_Toc57195673"/>
      <w:bookmarkStart w:id="203" w:name="_Toc700"/>
      <w:bookmarkStart w:id="204" w:name="_Toc25700"/>
      <w:bookmarkStart w:id="205" w:name="_Toc64542132"/>
      <w:bookmarkStart w:id="206" w:name="_Toc57194212"/>
      <w:r>
        <w:rPr>
          <w:rFonts w:hint="eastAsia"/>
          <w:b w:val="0"/>
          <w:color w:val="000000" w:themeColor="text1"/>
        </w:rPr>
        <w:t>第十三章  塑造南昌制造新优势</w:t>
      </w:r>
      <w:bookmarkEnd w:id="202"/>
      <w:bookmarkEnd w:id="203"/>
      <w:bookmarkEnd w:id="204"/>
      <w:bookmarkEnd w:id="205"/>
      <w:bookmarkEnd w:id="206"/>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着力推动产业基础高级化和产业链现代化，聚力打造三大国际性战略新兴产业集群，四大全国性优势制造基地，九条标志性产业链，形成一批千亿级产业集群集聚态势，夯实南昌工业经济发展支柱，重塑南昌制造辉煌。</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207" w:name="_Toc11719"/>
      <w:bookmarkStart w:id="208" w:name="_Toc735"/>
      <w:bookmarkStart w:id="209" w:name="_Toc64542133"/>
      <w:r>
        <w:rPr>
          <w:rFonts w:hint="eastAsia" w:ascii="楷体_GB2312" w:eastAsia="楷体_GB2312"/>
          <w:color w:val="000000" w:themeColor="text1"/>
        </w:rPr>
        <w:t>第一节  实施产业基础再造及产业链提升行动</w:t>
      </w:r>
      <w:bookmarkEnd w:id="207"/>
      <w:bookmarkEnd w:id="208"/>
      <w:bookmarkEnd w:id="209"/>
      <w:bookmarkStart w:id="210" w:name="_Toc57195675"/>
      <w:bookmarkStart w:id="211" w:name="_Toc57194214"/>
    </w:p>
    <w:p>
      <w:pPr>
        <w:spacing w:line="580" w:lineRule="exact"/>
        <w:ind w:firstLine="640"/>
        <w:rPr>
          <w:rFonts w:ascii="仿宋_GB2312" w:eastAsia="仿宋_GB2312"/>
          <w:color w:val="000000" w:themeColor="text1"/>
          <w:kern w:val="0"/>
        </w:rPr>
      </w:pPr>
    </w:p>
    <w:p>
      <w:pPr>
        <w:spacing w:after="217" w:afterLines="50"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坚持防风险与促提升相统一、补短板与锻长板相结合，以电子信息、航空装备、汽车和新能源汽车、生物医药、虚拟现实、5G等产业为重点，加大工业软件、</w:t>
      </w:r>
      <w:r>
        <w:rPr>
          <w:rFonts w:hint="eastAsia" w:ascii="仿宋_GB2312" w:hAnsi="仿宋_GB2312" w:eastAsia="仿宋_GB2312" w:cs="仿宋_GB2312"/>
          <w:color w:val="000000" w:themeColor="text1"/>
          <w:spacing w:val="-2"/>
          <w:szCs w:val="34"/>
        </w:rPr>
        <w:t>微机电系统</w:t>
      </w:r>
      <w:r>
        <w:rPr>
          <w:rFonts w:hint="eastAsia" w:ascii="仿宋_GB2312" w:eastAsia="仿宋_GB2312"/>
          <w:color w:val="000000" w:themeColor="text1"/>
          <w:kern w:val="0"/>
        </w:rPr>
        <w:t>（M</w:t>
      </w:r>
      <w:r>
        <w:rPr>
          <w:rFonts w:ascii="仿宋_GB2312" w:eastAsia="仿宋_GB2312"/>
          <w:color w:val="000000" w:themeColor="text1"/>
          <w:kern w:val="0"/>
        </w:rPr>
        <w:t>EMS</w:t>
      </w:r>
      <w:r>
        <w:rPr>
          <w:rFonts w:hint="eastAsia" w:ascii="仿宋_GB2312" w:eastAsia="仿宋_GB2312"/>
          <w:color w:val="000000" w:themeColor="text1"/>
          <w:kern w:val="0"/>
        </w:rPr>
        <w:t>）等关键领域基础部件强弱项、补短板力度，深入实施产业链“链长制”，全链条防范产业链供应链风险，全方位推进产业基础再造和产业链提升。支持企业深入参与国家产业基础再造工程，实现关键零部件、关键原材料产业化应用和本地配套生产协同发展。加快承接京津冀、长三角、粤港澳大湾区等地区产业转移，在产业转移和产业配套等领域形成合力。积极推进各产业构建以本土龙头企业为核心，上下游相关企业共同协作、良性互动的高效供应体系。加快进口替代步伐，做好备链计划。</w:t>
      </w:r>
    </w:p>
    <w:p>
      <w:pPr>
        <w:pStyle w:val="2"/>
        <w:spacing w:after="0"/>
        <w:ind w:firstLine="0" w:firstLineChars="0"/>
        <w:rPr>
          <w:rFonts w:ascii="仿宋_GB2312" w:hAnsi="仿宋_GB2312" w:eastAsia="仿宋_GB2312"/>
          <w:color w:val="000000" w:themeColor="text1"/>
        </w:rPr>
      </w:pPr>
      <w:r>
        <w:rPr>
          <w:rFonts w:ascii="仿宋_GB2312" w:hAnsi="仿宋_GB2312" w:eastAsia="仿宋_GB2312"/>
          <w:color w:val="000000" w:themeColor="text1"/>
        </w:rPr>
        <w:drawing>
          <wp:inline distT="0" distB="0" distL="0" distR="0">
            <wp:extent cx="5760720" cy="2674620"/>
            <wp:effectExtent l="19050" t="0" r="0" b="0"/>
            <wp:docPr id="4" name="图片 1" descr="C:\Users\yy\AppData\Local\Temp\16148439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yy\AppData\Local\Temp\1614843907(1).png"/>
                    <pic:cNvPicPr>
                      <a:picLocks noChangeAspect="1" noChangeArrowheads="1"/>
                    </pic:cNvPicPr>
                  </pic:nvPicPr>
                  <pic:blipFill>
                    <a:blip r:embed="rId18" cstate="print"/>
                    <a:srcRect/>
                    <a:stretch>
                      <a:fillRect/>
                    </a:stretch>
                  </pic:blipFill>
                  <pic:spPr>
                    <a:xfrm>
                      <a:off x="0" y="0"/>
                      <a:ext cx="5760720" cy="2675169"/>
                    </a:xfrm>
                    <a:prstGeom prst="rect">
                      <a:avLst/>
                    </a:prstGeom>
                    <a:noFill/>
                    <a:ln w="9525">
                      <a:noFill/>
                      <a:miter lim="800000"/>
                      <a:headEnd/>
                      <a:tailEnd/>
                    </a:ln>
                  </pic:spPr>
                </pic:pic>
              </a:graphicData>
            </a:graphic>
          </wp:inline>
        </w:drawing>
      </w:r>
    </w:p>
    <w:p>
      <w:pPr>
        <w:pStyle w:val="2"/>
        <w:spacing w:after="0" w:line="580" w:lineRule="exact"/>
        <w:ind w:firstLine="0" w:firstLineChars="0"/>
        <w:jc w:val="center"/>
        <w:rPr>
          <w:rFonts w:ascii="楷体_GB2312" w:hAnsi="楷体_GB2312" w:eastAsia="楷体_GB2312" w:cs="楷体_GB2312"/>
          <w:color w:val="000000" w:themeColor="text1"/>
        </w:rPr>
      </w:pPr>
      <w:r>
        <w:rPr>
          <w:rFonts w:hint="eastAsia" w:ascii="楷体_GB2312" w:hAnsi="楷体_GB2312" w:eastAsia="楷体_GB2312" w:cs="楷体_GB2312"/>
          <w:b/>
          <w:bCs/>
          <w:color w:val="000000" w:themeColor="text1"/>
          <w:kern w:val="0"/>
          <w:sz w:val="28"/>
          <w:szCs w:val="28"/>
        </w:rPr>
        <w:t>图5：制造业产业体系</w:t>
      </w:r>
    </w:p>
    <w:p>
      <w:pPr>
        <w:pStyle w:val="59"/>
        <w:ind w:firstLine="640"/>
      </w:pPr>
      <w:bookmarkStart w:id="212" w:name="_Toc30113"/>
    </w:p>
    <w:p>
      <w:pPr>
        <w:pStyle w:val="74"/>
        <w:adjustRightInd/>
        <w:snapToGrid/>
        <w:spacing w:line="580" w:lineRule="exact"/>
        <w:rPr>
          <w:rFonts w:ascii="楷体_GB2312" w:eastAsia="楷体_GB2312"/>
          <w:color w:val="000000" w:themeColor="text1"/>
        </w:rPr>
      </w:pPr>
      <w:bookmarkStart w:id="213" w:name="_Toc17115"/>
      <w:bookmarkStart w:id="214" w:name="_Toc64542134"/>
      <w:r>
        <w:rPr>
          <w:rFonts w:hint="eastAsia" w:ascii="楷体_GB2312" w:eastAsia="楷体_GB2312"/>
          <w:color w:val="000000" w:themeColor="text1"/>
        </w:rPr>
        <w:t>第二节  大力发展国际性战略新兴产业集群</w:t>
      </w:r>
      <w:bookmarkEnd w:id="212"/>
      <w:bookmarkEnd w:id="213"/>
      <w:bookmarkEnd w:id="214"/>
    </w:p>
    <w:bookmarkEnd w:id="210"/>
    <w:bookmarkEnd w:id="211"/>
    <w:p>
      <w:pPr>
        <w:spacing w:line="580" w:lineRule="exact"/>
        <w:ind w:firstLine="643"/>
        <w:rPr>
          <w:rFonts w:ascii="仿宋_GB2312" w:eastAsia="仿宋_GB2312"/>
          <w:b/>
          <w:color w:val="000000" w:themeColor="text1"/>
          <w:kern w:val="0"/>
        </w:rPr>
      </w:pPr>
      <w:bookmarkStart w:id="215" w:name="_Toc57195678"/>
      <w:bookmarkStart w:id="216" w:name="_Toc57194217"/>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电子信息产业集群。</w:t>
      </w:r>
      <w:r>
        <w:rPr>
          <w:rFonts w:hint="eastAsia" w:ascii="仿宋_GB2312" w:eastAsia="仿宋_GB2312"/>
          <w:color w:val="000000" w:themeColor="text1"/>
          <w:kern w:val="0"/>
        </w:rPr>
        <w:t>聚焦电子信息制造、信息技术服务与软件业等，以龙头企业培育和引进为动力，以产业大环境塑造为支撑，持续增强产业技术创新能力，做大产业规模，做强产业整体实力和竞争力。重点打造虚拟现实、移动智能终端、LED和5G产业链。</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生命健康产业集群。</w:t>
      </w:r>
      <w:r>
        <w:rPr>
          <w:rFonts w:hint="eastAsia" w:ascii="仿宋_GB2312" w:eastAsia="仿宋_GB2312"/>
          <w:color w:val="000000" w:themeColor="text1"/>
          <w:kern w:val="0"/>
        </w:rPr>
        <w:t>面向重大疾病治疗和疫情防控，聚焦生物产业、医药、生命健康制造和医疗器械等，以做优存量和做大增量为主线，加强产业化项目和技术的同步引进，快速提升产业整体规模，推进“医、药、养”融合发展，形成一批带动性强的重磅产品和服务，创新发展生命健康产业。重点打造中医药、生物制药和医疗器械产业链。</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高端装备产业集群。</w:t>
      </w:r>
      <w:r>
        <w:rPr>
          <w:rFonts w:hint="eastAsia" w:ascii="仿宋_GB2312" w:eastAsia="仿宋_GB2312"/>
          <w:color w:val="000000" w:themeColor="text1"/>
          <w:kern w:val="0"/>
        </w:rPr>
        <w:t>发挥数字科技优势，聚焦智能装备制造、高端机床与机器人等重点领域，着力突破核心技术和关键部件，推动装备制造业数字化、服务化转型，输出未来工厂建设解决方案，提升高</w:t>
      </w:r>
      <w:r>
        <w:rPr>
          <w:rFonts w:hint="eastAsia" w:ascii="仿宋_GB2312" w:eastAsia="仿宋_GB2312"/>
          <w:color w:val="000000" w:themeColor="text1"/>
          <w:spacing w:val="-6"/>
          <w:kern w:val="0"/>
        </w:rPr>
        <w:t>端装备产业综合实力。重点打造汽车和新能源汽车链和航空产业链。</w:t>
      </w:r>
    </w:p>
    <w:tbl>
      <w:tblPr>
        <w:tblStyle w:val="3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1" w:type="dxa"/>
            <w:tcBorders>
              <w:top w:val="single" w:color="auto" w:sz="4" w:space="0"/>
              <w:left w:val="single" w:color="auto" w:sz="4" w:space="0"/>
              <w:bottom w:val="single" w:color="auto" w:sz="4" w:space="0"/>
              <w:right w:val="single" w:color="auto" w:sz="4" w:space="0"/>
            </w:tcBorders>
            <w:vAlign w:val="center"/>
          </w:tcPr>
          <w:p>
            <w:pPr>
              <w:pStyle w:val="52"/>
              <w:numPr>
                <w:ilvl w:val="0"/>
                <w:numId w:val="0"/>
              </w:numPr>
              <w:spacing w:after="0" w:line="320" w:lineRule="exact"/>
              <w:jc w:val="center"/>
              <w:rPr>
                <w:rFonts w:ascii="仿宋_GB2312" w:eastAsia="仿宋_GB2312"/>
                <w:color w:val="000000" w:themeColor="text1"/>
                <w:sz w:val="24"/>
              </w:rPr>
            </w:pPr>
            <w:r>
              <w:rPr>
                <w:rFonts w:hint="eastAsia" w:ascii="黑体" w:hAnsi="黑体" w:eastAsia="黑体" w:cs="黑体"/>
                <w:bCs/>
                <w:color w:val="000000" w:themeColor="text1"/>
                <w:sz w:val="28"/>
                <w:szCs w:val="28"/>
              </w:rPr>
              <w:t>专栏8：九大标志性产业链发展导向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71" w:type="dxa"/>
            <w:tcBorders>
              <w:top w:val="single" w:color="auto" w:sz="4" w:space="0"/>
              <w:left w:val="single" w:color="auto" w:sz="4" w:space="0"/>
              <w:bottom w:val="single" w:color="auto" w:sz="4" w:space="0"/>
              <w:right w:val="single" w:color="auto" w:sz="4" w:space="0"/>
            </w:tcBorders>
          </w:tcPr>
          <w:p>
            <w:pPr>
              <w:pStyle w:val="51"/>
              <w:spacing w:line="400" w:lineRule="exact"/>
              <w:ind w:firstLine="482"/>
              <w:rPr>
                <w:rFonts w:ascii="仿宋_GB2312" w:eastAsia="仿宋_GB2312"/>
                <w:b/>
                <w:color w:val="000000" w:themeColor="text1"/>
                <w:kern w:val="0"/>
                <w:sz w:val="24"/>
              </w:rPr>
            </w:pPr>
            <w:r>
              <w:rPr>
                <w:rFonts w:hint="eastAsia" w:ascii="仿宋_GB2312" w:eastAsia="仿宋_GB2312"/>
                <w:b/>
                <w:color w:val="000000" w:themeColor="text1"/>
                <w:kern w:val="0"/>
                <w:sz w:val="24"/>
              </w:rPr>
              <w:t>（一）电子信息产业集群</w:t>
            </w:r>
          </w:p>
          <w:p>
            <w:pPr>
              <w:spacing w:line="400" w:lineRule="exact"/>
              <w:ind w:firstLine="482"/>
              <w:rPr>
                <w:rFonts w:ascii="仿宋_GB2312" w:eastAsia="仿宋_GB2312"/>
                <w:bCs/>
                <w:color w:val="000000" w:themeColor="text1"/>
                <w:kern w:val="0"/>
                <w:sz w:val="24"/>
              </w:rPr>
            </w:pPr>
            <w:r>
              <w:rPr>
                <w:rFonts w:hint="eastAsia" w:ascii="仿宋_GB2312" w:eastAsia="仿宋_GB2312"/>
                <w:b/>
                <w:color w:val="000000" w:themeColor="text1"/>
                <w:kern w:val="0"/>
                <w:sz w:val="24"/>
              </w:rPr>
              <w:t>虚拟现实产业链。</w:t>
            </w:r>
            <w:r>
              <w:rPr>
                <w:rFonts w:hint="eastAsia" w:ascii="仿宋_GB2312" w:eastAsia="仿宋_GB2312"/>
                <w:bCs/>
                <w:color w:val="000000" w:themeColor="text1"/>
                <w:kern w:val="0"/>
                <w:sz w:val="24"/>
              </w:rPr>
              <w:t>重点发展虚拟现实终端设备、核心组件、交互设备、专用软件和虚拟现实集成、测试业务，构建形成“硬件+软件+相关服务”产业生态，打造世界级VR产业中心。到2025年，VR产业营业收入达1000亿元。</w:t>
            </w:r>
          </w:p>
          <w:p>
            <w:pPr>
              <w:spacing w:line="400" w:lineRule="exact"/>
              <w:ind w:firstLine="482"/>
              <w:rPr>
                <w:rFonts w:ascii="仿宋_GB2312" w:eastAsia="仿宋_GB2312"/>
                <w:bCs/>
                <w:color w:val="000000" w:themeColor="text1"/>
                <w:kern w:val="0"/>
                <w:sz w:val="24"/>
              </w:rPr>
            </w:pPr>
            <w:r>
              <w:rPr>
                <w:rFonts w:hint="eastAsia" w:ascii="仿宋_GB2312" w:eastAsia="仿宋_GB2312"/>
                <w:b/>
                <w:color w:val="000000" w:themeColor="text1"/>
                <w:kern w:val="0"/>
                <w:sz w:val="24"/>
              </w:rPr>
              <w:t>移动智能终端产业链。</w:t>
            </w:r>
            <w:r>
              <w:rPr>
                <w:rFonts w:hint="eastAsia" w:ascii="仿宋_GB2312" w:eastAsia="仿宋_GB2312"/>
                <w:bCs/>
                <w:color w:val="000000" w:themeColor="text1"/>
                <w:kern w:val="0"/>
                <w:sz w:val="24"/>
              </w:rPr>
              <w:t>突出整机、关键元器件、软件多向协作和相互配套，加快建设移动智能终端制造基地，构建以“品牌、代工、配套”为核心的移动智能终端产业业态，形成关键产业链上有龙头、配套产业有聚集的态势。到2025年，移动智能终端产业营业收入达2500亿元。</w:t>
            </w:r>
          </w:p>
          <w:p>
            <w:pPr>
              <w:spacing w:line="400" w:lineRule="exact"/>
              <w:ind w:firstLine="482"/>
              <w:rPr>
                <w:rFonts w:ascii="仿宋_GB2312" w:eastAsia="仿宋_GB2312"/>
                <w:bCs/>
                <w:color w:val="000000" w:themeColor="text1"/>
                <w:kern w:val="0"/>
                <w:sz w:val="24"/>
              </w:rPr>
            </w:pPr>
            <w:r>
              <w:rPr>
                <w:rFonts w:hint="eastAsia" w:ascii="仿宋_GB2312" w:eastAsia="仿宋_GB2312"/>
                <w:b/>
                <w:color w:val="000000" w:themeColor="text1"/>
                <w:kern w:val="0"/>
                <w:sz w:val="24"/>
              </w:rPr>
              <w:t>LED产业链。</w:t>
            </w:r>
            <w:r>
              <w:rPr>
                <w:rFonts w:hint="eastAsia" w:ascii="仿宋_GB2312" w:eastAsia="仿宋_GB2312"/>
                <w:bCs/>
                <w:color w:val="000000" w:themeColor="text1"/>
                <w:kern w:val="0"/>
                <w:sz w:val="24"/>
              </w:rPr>
              <w:t>大力实施硅衬底LED全球合伙人计划，重点发展硅衬底GaN基为主的LED外延材料、LED下游应用技术和产品、封装产业及相关配套产品，全面提升基于硅衬底LED制造技术的半导体照明产品市场占有率，加快“蓝宝石”LED引进，打造南昌光谷。到2025年，LED产业营业收入达500亿元。</w:t>
            </w:r>
          </w:p>
          <w:p>
            <w:pPr>
              <w:spacing w:line="400" w:lineRule="exact"/>
              <w:ind w:firstLine="482"/>
              <w:rPr>
                <w:rFonts w:ascii="仿宋_GB2312" w:eastAsia="仿宋_GB2312"/>
                <w:bCs/>
                <w:color w:val="000000" w:themeColor="text1"/>
                <w:kern w:val="0"/>
                <w:sz w:val="24"/>
              </w:rPr>
            </w:pPr>
            <w:r>
              <w:rPr>
                <w:rFonts w:hint="eastAsia" w:ascii="仿宋_GB2312" w:eastAsia="仿宋_GB2312"/>
                <w:b/>
                <w:color w:val="000000" w:themeColor="text1"/>
                <w:kern w:val="0"/>
                <w:sz w:val="24"/>
              </w:rPr>
              <w:t>5G产业链。</w:t>
            </w:r>
            <w:r>
              <w:rPr>
                <w:rFonts w:hint="eastAsia" w:ascii="仿宋_GB2312" w:eastAsia="仿宋_GB2312"/>
                <w:bCs/>
                <w:color w:val="000000" w:themeColor="text1"/>
                <w:kern w:val="0"/>
                <w:sz w:val="24"/>
              </w:rPr>
              <w:t>重点发展5G基础产业，实现从通信技术标准、系统、设备、终端、芯片到行业应用的全产业链布局，全面推动5G与新兴产业领域深度融合创新，赋能5G关联产业，打造全国有重要影响力和省内引领的5G产业集聚发展新高地。到2025年，5G及相关产业营业收入达1000亿元。</w:t>
            </w:r>
          </w:p>
          <w:p>
            <w:pPr>
              <w:pStyle w:val="51"/>
              <w:spacing w:line="380" w:lineRule="exact"/>
              <w:ind w:firstLine="482"/>
              <w:rPr>
                <w:rFonts w:ascii="仿宋_GB2312" w:eastAsia="仿宋_GB2312"/>
                <w:b/>
                <w:color w:val="000000" w:themeColor="text1"/>
                <w:kern w:val="0"/>
                <w:sz w:val="24"/>
              </w:rPr>
            </w:pPr>
            <w:r>
              <w:rPr>
                <w:rFonts w:hint="eastAsia" w:ascii="仿宋_GB2312" w:eastAsia="仿宋_GB2312"/>
                <w:b/>
                <w:color w:val="000000" w:themeColor="text1"/>
                <w:kern w:val="0"/>
                <w:sz w:val="24"/>
              </w:rPr>
              <w:t>（二）生命健康产业集群</w:t>
            </w:r>
          </w:p>
          <w:p>
            <w:pPr>
              <w:spacing w:line="380" w:lineRule="exact"/>
              <w:ind w:firstLine="482"/>
              <w:rPr>
                <w:rFonts w:ascii="仿宋_GB2312" w:eastAsia="仿宋_GB2312"/>
                <w:bCs/>
                <w:color w:val="000000" w:themeColor="text1"/>
                <w:kern w:val="0"/>
                <w:sz w:val="24"/>
              </w:rPr>
            </w:pPr>
            <w:r>
              <w:rPr>
                <w:rFonts w:hint="eastAsia" w:ascii="仿宋_GB2312" w:eastAsia="仿宋_GB2312"/>
                <w:b/>
                <w:color w:val="000000" w:themeColor="text1"/>
                <w:kern w:val="0"/>
                <w:sz w:val="24"/>
              </w:rPr>
              <w:t>中医药产业链。</w:t>
            </w:r>
            <w:r>
              <w:rPr>
                <w:rFonts w:hint="eastAsia" w:ascii="仿宋_GB2312" w:eastAsia="仿宋_GB2312"/>
                <w:bCs/>
                <w:color w:val="000000" w:themeColor="text1"/>
                <w:kern w:val="0"/>
                <w:sz w:val="24"/>
              </w:rPr>
              <w:t>开展名医名方新药筛选，研制一批治疗重大疾病的创新中成药产品或保健产品。支持名优中成药大品种的二次开发和生产全过程质控体系建设，加快研究中药制剂技术，实现中药产品剂型多元化。到</w:t>
            </w:r>
            <w:r>
              <w:rPr>
                <w:rFonts w:ascii="仿宋_GB2312" w:eastAsia="仿宋_GB2312"/>
                <w:bCs/>
                <w:color w:val="000000" w:themeColor="text1"/>
                <w:kern w:val="0"/>
                <w:sz w:val="24"/>
              </w:rPr>
              <w:t>2025</w:t>
            </w:r>
            <w:r>
              <w:rPr>
                <w:rFonts w:hint="eastAsia" w:ascii="仿宋_GB2312" w:eastAsia="仿宋_GB2312"/>
                <w:bCs/>
                <w:color w:val="000000" w:themeColor="text1"/>
                <w:kern w:val="0"/>
                <w:sz w:val="24"/>
              </w:rPr>
              <w:t>年，中医药产业营业收入达300</w:t>
            </w:r>
            <w:r>
              <w:rPr>
                <w:rFonts w:ascii="仿宋_GB2312" w:eastAsia="仿宋_GB2312"/>
                <w:bCs/>
                <w:color w:val="000000" w:themeColor="text1"/>
                <w:kern w:val="0"/>
                <w:sz w:val="24"/>
              </w:rPr>
              <w:t>亿元。</w:t>
            </w:r>
          </w:p>
          <w:p>
            <w:pPr>
              <w:spacing w:line="380" w:lineRule="exact"/>
              <w:ind w:firstLine="482"/>
              <w:rPr>
                <w:rFonts w:ascii="仿宋_GB2312" w:eastAsia="仿宋_GB2312"/>
                <w:bCs/>
                <w:color w:val="000000" w:themeColor="text1"/>
                <w:kern w:val="0"/>
                <w:sz w:val="24"/>
              </w:rPr>
            </w:pPr>
            <w:r>
              <w:rPr>
                <w:rFonts w:hint="eastAsia" w:ascii="仿宋_GB2312" w:eastAsia="仿宋_GB2312"/>
                <w:b/>
                <w:color w:val="000000" w:themeColor="text1"/>
                <w:kern w:val="0"/>
                <w:sz w:val="24"/>
              </w:rPr>
              <w:t>生物制药产业链。</w:t>
            </w:r>
            <w:r>
              <w:rPr>
                <w:rFonts w:hint="eastAsia" w:ascii="仿宋_GB2312" w:eastAsia="仿宋_GB2312"/>
                <w:bCs/>
                <w:color w:val="000000" w:themeColor="text1"/>
                <w:kern w:val="0"/>
                <w:sz w:val="24"/>
              </w:rPr>
              <w:t>主攻疫苗、基因工程及多肽药物、抗体药物、核酸药物、干细胞等领域，发展具有自主知识产权的生物创新药物，打造生物医药制造和研发高地</w:t>
            </w:r>
            <w:r>
              <w:rPr>
                <w:rFonts w:ascii="仿宋_GB2312" w:eastAsia="仿宋_GB2312"/>
                <w:bCs/>
                <w:color w:val="000000" w:themeColor="text1"/>
                <w:kern w:val="0"/>
                <w:sz w:val="24"/>
              </w:rPr>
              <w:t>。</w:t>
            </w:r>
            <w:r>
              <w:rPr>
                <w:rFonts w:hint="eastAsia" w:ascii="仿宋_GB2312" w:eastAsia="仿宋_GB2312"/>
                <w:bCs/>
                <w:color w:val="000000" w:themeColor="text1"/>
                <w:kern w:val="0"/>
                <w:sz w:val="24"/>
              </w:rPr>
              <w:t>到</w:t>
            </w:r>
            <w:r>
              <w:rPr>
                <w:rFonts w:ascii="仿宋_GB2312" w:eastAsia="仿宋_GB2312"/>
                <w:bCs/>
                <w:color w:val="000000" w:themeColor="text1"/>
                <w:kern w:val="0"/>
                <w:sz w:val="24"/>
              </w:rPr>
              <w:t>2025</w:t>
            </w:r>
            <w:r>
              <w:rPr>
                <w:rFonts w:hint="eastAsia" w:ascii="仿宋_GB2312" w:eastAsia="仿宋_GB2312"/>
                <w:bCs/>
                <w:color w:val="000000" w:themeColor="text1"/>
                <w:kern w:val="0"/>
                <w:sz w:val="24"/>
              </w:rPr>
              <w:t>年，生物制药产业营业收入达200</w:t>
            </w:r>
            <w:r>
              <w:rPr>
                <w:rFonts w:ascii="仿宋_GB2312" w:eastAsia="仿宋_GB2312"/>
                <w:bCs/>
                <w:color w:val="000000" w:themeColor="text1"/>
                <w:kern w:val="0"/>
                <w:sz w:val="24"/>
              </w:rPr>
              <w:t>亿元。</w:t>
            </w:r>
          </w:p>
          <w:p>
            <w:pPr>
              <w:spacing w:line="380" w:lineRule="exact"/>
              <w:ind w:firstLine="482"/>
              <w:rPr>
                <w:rFonts w:ascii="仿宋_GB2312" w:eastAsia="仿宋_GB2312"/>
                <w:bCs/>
                <w:color w:val="000000" w:themeColor="text1"/>
                <w:kern w:val="0"/>
                <w:sz w:val="24"/>
              </w:rPr>
            </w:pPr>
            <w:r>
              <w:rPr>
                <w:rFonts w:hint="eastAsia" w:ascii="仿宋_GB2312" w:eastAsia="仿宋_GB2312"/>
                <w:b/>
                <w:color w:val="000000" w:themeColor="text1"/>
                <w:kern w:val="0"/>
                <w:sz w:val="24"/>
              </w:rPr>
              <w:t>医疗器械产业链。</w:t>
            </w:r>
            <w:r>
              <w:rPr>
                <w:rFonts w:hint="eastAsia" w:ascii="仿宋_GB2312" w:eastAsia="仿宋_GB2312"/>
                <w:bCs/>
                <w:color w:val="000000" w:themeColor="text1"/>
                <w:kern w:val="0"/>
                <w:sz w:val="24"/>
              </w:rPr>
              <w:t>重点布局高值耗材、体外诊断医疗器械、医用影像设备、监护设备、麻醉呼吸器械、血液净化器械、家庭护理设备等领域。到</w:t>
            </w:r>
            <w:r>
              <w:rPr>
                <w:rFonts w:ascii="仿宋_GB2312" w:eastAsia="仿宋_GB2312"/>
                <w:bCs/>
                <w:color w:val="000000" w:themeColor="text1"/>
                <w:kern w:val="0"/>
                <w:sz w:val="24"/>
              </w:rPr>
              <w:t>2025</w:t>
            </w:r>
            <w:r>
              <w:rPr>
                <w:rFonts w:hint="eastAsia" w:ascii="仿宋_GB2312" w:eastAsia="仿宋_GB2312"/>
                <w:bCs/>
                <w:color w:val="000000" w:themeColor="text1"/>
                <w:kern w:val="0"/>
                <w:sz w:val="24"/>
              </w:rPr>
              <w:t>年，医疗器械产业营业收入达</w:t>
            </w:r>
            <w:r>
              <w:rPr>
                <w:rFonts w:ascii="仿宋_GB2312" w:eastAsia="仿宋_GB2312"/>
                <w:bCs/>
                <w:color w:val="000000" w:themeColor="text1"/>
                <w:kern w:val="0"/>
                <w:sz w:val="24"/>
              </w:rPr>
              <w:t>1000</w:t>
            </w:r>
            <w:r>
              <w:rPr>
                <w:rFonts w:hint="eastAsia" w:ascii="仿宋_GB2312" w:eastAsia="仿宋_GB2312"/>
                <w:bCs/>
                <w:color w:val="000000" w:themeColor="text1"/>
                <w:kern w:val="0"/>
                <w:sz w:val="24"/>
              </w:rPr>
              <w:t>亿元。</w:t>
            </w:r>
          </w:p>
          <w:p>
            <w:pPr>
              <w:pStyle w:val="51"/>
              <w:spacing w:line="380" w:lineRule="exact"/>
              <w:ind w:firstLine="482"/>
              <w:rPr>
                <w:rFonts w:ascii="仿宋_GB2312" w:eastAsia="仿宋_GB2312"/>
                <w:b/>
                <w:color w:val="000000" w:themeColor="text1"/>
                <w:kern w:val="0"/>
                <w:sz w:val="24"/>
              </w:rPr>
            </w:pPr>
            <w:r>
              <w:rPr>
                <w:rFonts w:hint="eastAsia" w:ascii="仿宋_GB2312" w:eastAsia="仿宋_GB2312"/>
                <w:b/>
                <w:color w:val="000000" w:themeColor="text1"/>
                <w:kern w:val="0"/>
                <w:sz w:val="24"/>
              </w:rPr>
              <w:t>（三）高端装备产业集群</w:t>
            </w:r>
          </w:p>
          <w:p>
            <w:pPr>
              <w:spacing w:line="380" w:lineRule="exact"/>
              <w:ind w:firstLine="482"/>
              <w:rPr>
                <w:rFonts w:ascii="仿宋_GB2312" w:eastAsia="仿宋_GB2312"/>
                <w:bCs/>
                <w:color w:val="000000" w:themeColor="text1"/>
                <w:kern w:val="0"/>
                <w:sz w:val="24"/>
              </w:rPr>
            </w:pPr>
            <w:r>
              <w:rPr>
                <w:rFonts w:hint="eastAsia" w:ascii="仿宋_GB2312" w:eastAsia="仿宋_GB2312"/>
                <w:b/>
                <w:color w:val="000000" w:themeColor="text1"/>
                <w:kern w:val="0"/>
                <w:sz w:val="24"/>
              </w:rPr>
              <w:t>汽车和新能源汽车产业链。</w:t>
            </w:r>
            <w:r>
              <w:rPr>
                <w:rFonts w:hint="eastAsia" w:ascii="仿宋_GB2312" w:eastAsia="仿宋_GB2312"/>
                <w:bCs/>
                <w:color w:val="000000" w:themeColor="text1"/>
                <w:kern w:val="0"/>
                <w:sz w:val="24"/>
              </w:rPr>
              <w:t>重点突破高效内燃机、先进变速器、怠速启停、先进电子电器、动力电池与电池管理系统、电机驱动与电力电子总成、电动汽车智能化技术等汽车关键领域。做大做强整车制造与研发，巩固轻型商用车、轻型客车优势，大力发展乘用车、大型客车和专用汽车，打造安全可控的汽车零部件配套体系。以智能网联汽车和新能源汽车为突破口，积极培育汽车产业发展新动能，积极布局氢能源汽车产业。到</w:t>
            </w:r>
            <w:r>
              <w:rPr>
                <w:rFonts w:ascii="仿宋_GB2312" w:eastAsia="仿宋_GB2312"/>
                <w:bCs/>
                <w:color w:val="000000" w:themeColor="text1"/>
                <w:kern w:val="0"/>
                <w:sz w:val="24"/>
              </w:rPr>
              <w:t>2025</w:t>
            </w:r>
            <w:r>
              <w:rPr>
                <w:rFonts w:hint="eastAsia" w:ascii="仿宋_GB2312" w:eastAsia="仿宋_GB2312"/>
                <w:bCs/>
                <w:color w:val="000000" w:themeColor="text1"/>
                <w:kern w:val="0"/>
                <w:sz w:val="24"/>
              </w:rPr>
              <w:t>年，汽车和新能源汽车产业营业收入达到</w:t>
            </w:r>
            <w:r>
              <w:rPr>
                <w:rFonts w:ascii="仿宋_GB2312" w:eastAsia="仿宋_GB2312"/>
                <w:bCs/>
                <w:color w:val="000000" w:themeColor="text1"/>
                <w:kern w:val="0"/>
                <w:sz w:val="24"/>
              </w:rPr>
              <w:t>3000</w:t>
            </w:r>
            <w:r>
              <w:rPr>
                <w:rFonts w:hint="eastAsia" w:ascii="仿宋_GB2312" w:eastAsia="仿宋_GB2312"/>
                <w:bCs/>
                <w:color w:val="000000" w:themeColor="text1"/>
                <w:kern w:val="0"/>
                <w:sz w:val="24"/>
              </w:rPr>
              <w:t>亿元。</w:t>
            </w:r>
          </w:p>
          <w:p>
            <w:pPr>
              <w:pStyle w:val="2"/>
              <w:spacing w:after="0" w:line="380" w:lineRule="exact"/>
              <w:ind w:firstLine="482" w:firstLineChars="200"/>
              <w:rPr>
                <w:rFonts w:ascii="仿宋_GB2312" w:eastAsia="仿宋_GB2312"/>
                <w:bCs/>
                <w:color w:val="000000" w:themeColor="text1"/>
                <w:kern w:val="0"/>
                <w:sz w:val="24"/>
              </w:rPr>
            </w:pPr>
            <w:r>
              <w:rPr>
                <w:rFonts w:hint="eastAsia" w:ascii="仿宋_GB2312" w:eastAsia="仿宋_GB2312"/>
                <w:b/>
                <w:color w:val="000000" w:themeColor="text1"/>
                <w:kern w:val="0"/>
                <w:sz w:val="24"/>
              </w:rPr>
              <w:t>航空产业链。</w:t>
            </w:r>
            <w:r>
              <w:rPr>
                <w:rFonts w:hint="eastAsia" w:ascii="仿宋_GB2312" w:eastAsia="仿宋_GB2312"/>
                <w:bCs/>
                <w:color w:val="000000" w:themeColor="text1"/>
                <w:kern w:val="0"/>
                <w:sz w:val="24"/>
              </w:rPr>
              <w:t>主攻通航整机、大飞机部件、航空发动机、核心零部件及航空新材料研制，围绕教练机、无人机、通用飞机和大飞机等四大重点项目，构建航空制造、民航运输、航空服务、临空经济“四位一体”协同发展的航空产业体系，打造集设计研发、制造、试验试飞、适航审定、航空维修、航材交易、航空物流于一体的全链条产业基地，建设国产大飞机“重要研制试飞基地”和中国航空之都。到2</w:t>
            </w:r>
            <w:r>
              <w:rPr>
                <w:rFonts w:ascii="仿宋_GB2312" w:eastAsia="仿宋_GB2312"/>
                <w:bCs/>
                <w:color w:val="000000" w:themeColor="text1"/>
                <w:kern w:val="0"/>
                <w:sz w:val="24"/>
              </w:rPr>
              <w:t>025</w:t>
            </w:r>
            <w:r>
              <w:rPr>
                <w:rFonts w:hint="eastAsia" w:ascii="仿宋_GB2312" w:eastAsia="仿宋_GB2312"/>
                <w:bCs/>
                <w:color w:val="000000" w:themeColor="text1"/>
                <w:kern w:val="0"/>
                <w:sz w:val="24"/>
              </w:rPr>
              <w:t>年，航空产业营业收入达到2</w:t>
            </w:r>
            <w:r>
              <w:rPr>
                <w:rFonts w:ascii="仿宋_GB2312" w:eastAsia="仿宋_GB2312"/>
                <w:bCs/>
                <w:color w:val="000000" w:themeColor="text1"/>
                <w:kern w:val="0"/>
                <w:sz w:val="24"/>
              </w:rPr>
              <w:t>000</w:t>
            </w:r>
            <w:r>
              <w:rPr>
                <w:rFonts w:hint="eastAsia" w:ascii="仿宋_GB2312" w:eastAsia="仿宋_GB2312"/>
                <w:bCs/>
                <w:color w:val="000000" w:themeColor="text1"/>
                <w:kern w:val="0"/>
                <w:sz w:val="24"/>
              </w:rPr>
              <w:t>亿元。</w:t>
            </w:r>
          </w:p>
        </w:tc>
      </w:tr>
    </w:tbl>
    <w:p>
      <w:pPr>
        <w:pStyle w:val="59"/>
        <w:spacing w:line="580" w:lineRule="exact"/>
        <w:ind w:firstLine="0" w:firstLineChars="0"/>
      </w:pPr>
      <w:bookmarkStart w:id="217" w:name="_Toc9687"/>
      <w:bookmarkStart w:id="218" w:name="_Toc57195676"/>
      <w:bookmarkStart w:id="219" w:name="_Toc57194215"/>
    </w:p>
    <w:p>
      <w:pPr>
        <w:pStyle w:val="74"/>
        <w:adjustRightInd/>
        <w:snapToGrid/>
        <w:spacing w:line="580" w:lineRule="exact"/>
        <w:rPr>
          <w:rFonts w:ascii="楷体_GB2312" w:eastAsia="楷体_GB2312"/>
          <w:color w:val="000000" w:themeColor="text1"/>
        </w:rPr>
      </w:pPr>
      <w:bookmarkStart w:id="220" w:name="_Toc64542135"/>
      <w:bookmarkStart w:id="221" w:name="_Toc26768"/>
      <w:r>
        <w:rPr>
          <w:rFonts w:hint="eastAsia" w:ascii="楷体_GB2312" w:eastAsia="楷体_GB2312"/>
          <w:color w:val="000000" w:themeColor="text1"/>
        </w:rPr>
        <w:t>第三节  推动传统制造业优化升级</w:t>
      </w:r>
      <w:bookmarkEnd w:id="217"/>
      <w:bookmarkEnd w:id="218"/>
      <w:bookmarkEnd w:id="219"/>
      <w:bookmarkEnd w:id="220"/>
      <w:bookmarkEnd w:id="221"/>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坚持智能化、创意化、高端化、品牌化原则，以智能制造为主攻方向，开展传统产业智能化改造提升试点，推动绿色食品、现代针纺、新型材料、机电装备等传统优势产业转型升级。</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绿色食品。</w:t>
      </w:r>
      <w:r>
        <w:rPr>
          <w:rFonts w:hint="eastAsia" w:ascii="仿宋_GB2312" w:eastAsia="仿宋_GB2312"/>
          <w:color w:val="000000" w:themeColor="text1"/>
          <w:kern w:val="0"/>
        </w:rPr>
        <w:t>重点发展具有资源优势的粮食加工、粮油制品、肉制品、乳制品、休闲食品、饮料、烟草、饲料等，加快发展蔬菜果品、肉制品等农产品加工及贸易，提升都市型食品加工业发展水平。</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现代针纺。</w:t>
      </w:r>
      <w:r>
        <w:rPr>
          <w:rFonts w:hint="eastAsia" w:ascii="仿宋_GB2312" w:eastAsia="仿宋_GB2312"/>
          <w:color w:val="000000" w:themeColor="text1"/>
          <w:kern w:val="0"/>
        </w:rPr>
        <w:t>突出智能化技术改造，推动纺织服装从订单加工型向品牌经营型转变，重点发展针织服装产业。</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新型材料。</w:t>
      </w:r>
      <w:r>
        <w:rPr>
          <w:rFonts w:hint="eastAsia" w:ascii="仿宋_GB2312" w:eastAsia="仿宋_GB2312"/>
          <w:color w:val="000000" w:themeColor="text1"/>
          <w:kern w:val="0"/>
        </w:rPr>
        <w:t>着力发展有色金属深加工。推进建材行业联合重组和品牌建设，大力发展非金属矿物及制品、新型建材等产业。加快铝型材向工业型材和高端集成门窗转型步伐，大力发展装配式建筑部品部件产业。</w:t>
      </w:r>
    </w:p>
    <w:p>
      <w:pPr>
        <w:spacing w:line="580" w:lineRule="exact"/>
        <w:ind w:firstLine="643"/>
        <w:rPr>
          <w:rFonts w:ascii="仿宋_GB2312" w:eastAsia="仿宋_GB2312"/>
          <w:color w:val="000000" w:themeColor="text1"/>
          <w:kern w:val="0"/>
        </w:rPr>
      </w:pPr>
      <w:r>
        <w:rPr>
          <w:rFonts w:hint="eastAsia" w:ascii="仿宋_GB2312" w:eastAsia="仿宋_GB2312"/>
          <w:b/>
          <w:color w:val="000000" w:themeColor="text1"/>
          <w:kern w:val="0"/>
        </w:rPr>
        <w:t>机电装备。</w:t>
      </w:r>
      <w:r>
        <w:rPr>
          <w:rFonts w:hint="eastAsia" w:ascii="仿宋_GB2312" w:eastAsia="仿宋_GB2312"/>
          <w:color w:val="000000" w:themeColor="text1"/>
          <w:kern w:val="0"/>
        </w:rPr>
        <w:t>提高自主设计和制造大型成套装备、高新技术装备、关键零部件及基础件能力，加快发展轨道交通装备和新型工程机械产业。</w:t>
      </w:r>
    </w:p>
    <w:tbl>
      <w:tblPr>
        <w:tblStyle w:val="3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tcBorders>
              <w:top w:val="single" w:color="auto" w:sz="4" w:space="0"/>
              <w:left w:val="single" w:color="auto" w:sz="4" w:space="0"/>
              <w:bottom w:val="single" w:color="auto" w:sz="4" w:space="0"/>
              <w:right w:val="single" w:color="auto" w:sz="4" w:space="0"/>
            </w:tcBorders>
            <w:vAlign w:val="center"/>
          </w:tcPr>
          <w:p>
            <w:pPr>
              <w:pStyle w:val="52"/>
              <w:numPr>
                <w:ilvl w:val="0"/>
                <w:numId w:val="0"/>
              </w:numPr>
              <w:spacing w:after="0" w:line="360" w:lineRule="exact"/>
              <w:jc w:val="center"/>
              <w:rPr>
                <w:rFonts w:ascii="黑体" w:hAnsi="黑体" w:eastAsia="黑体" w:cs="黑体"/>
                <w:bCs/>
                <w:color w:val="000000" w:themeColor="text1"/>
                <w:sz w:val="24"/>
              </w:rPr>
            </w:pPr>
            <w:r>
              <w:rPr>
                <w:rFonts w:hint="eastAsia" w:ascii="黑体" w:hAnsi="黑体" w:eastAsia="黑体" w:cs="黑体"/>
                <w:bCs/>
                <w:color w:val="000000" w:themeColor="text1"/>
                <w:sz w:val="28"/>
                <w:szCs w:val="28"/>
              </w:rPr>
              <w:br w:type="page"/>
            </w:r>
            <w:r>
              <w:rPr>
                <w:rFonts w:hint="eastAsia" w:ascii="黑体" w:hAnsi="黑体" w:eastAsia="黑体" w:cs="黑体"/>
                <w:bCs/>
                <w:color w:val="000000" w:themeColor="text1"/>
                <w:sz w:val="28"/>
                <w:szCs w:val="28"/>
              </w:rPr>
              <w:t>专栏9：优势传统产业发展导向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（一）绿色食品</w:t>
            </w:r>
          </w:p>
          <w:p>
            <w:pPr>
              <w:spacing w:line="400" w:lineRule="exact"/>
              <w:ind w:firstLine="480"/>
              <w:rPr>
                <w:rFonts w:ascii="仿宋_GB2312" w:eastAsia="仿宋_GB2312"/>
                <w:color w:val="000000" w:themeColor="text1"/>
                <w:sz w:val="24"/>
              </w:rPr>
            </w:pPr>
            <w:r>
              <w:rPr>
                <w:rFonts w:hint="eastAsia" w:ascii="仿宋_GB2312" w:eastAsia="仿宋_GB2312"/>
                <w:color w:val="000000" w:themeColor="text1"/>
                <w:sz w:val="24"/>
              </w:rPr>
              <w:t>持续推进品种多样化和品质提升、品牌发展，引导企业加大技术改造投入力度，推动规模化、智能化、柔性化生产，延伸产业链条，推动全市食品产业高质量跨越式发展。到2025年，绿色食品营业收入力争突破</w:t>
            </w:r>
            <w:r>
              <w:rPr>
                <w:rFonts w:ascii="仿宋_GB2312" w:eastAsia="仿宋_GB2312"/>
                <w:color w:val="000000" w:themeColor="text1"/>
                <w:sz w:val="24"/>
              </w:rPr>
              <w:t>2000</w:t>
            </w:r>
            <w:r>
              <w:rPr>
                <w:rFonts w:hint="eastAsia" w:ascii="仿宋_GB2312" w:eastAsia="仿宋_GB2312"/>
                <w:color w:val="000000" w:themeColor="text1"/>
                <w:sz w:val="24"/>
              </w:rPr>
              <w:t>亿元。</w:t>
            </w:r>
          </w:p>
          <w:p>
            <w:pPr>
              <w:spacing w:line="40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（二）现代针纺</w:t>
            </w:r>
          </w:p>
          <w:p>
            <w:pPr>
              <w:spacing w:line="400" w:lineRule="exact"/>
              <w:ind w:firstLine="480"/>
              <w:rPr>
                <w:rFonts w:ascii="仿宋_GB2312" w:eastAsia="仿宋_GB2312"/>
                <w:color w:val="000000" w:themeColor="text1"/>
                <w:sz w:val="24"/>
              </w:rPr>
            </w:pPr>
            <w:r>
              <w:rPr>
                <w:rFonts w:hint="eastAsia" w:ascii="仿宋_GB2312" w:eastAsia="仿宋_GB2312"/>
                <w:color w:val="000000" w:themeColor="text1"/>
                <w:sz w:val="24"/>
              </w:rPr>
              <w:t>推广印染全流程智能化、印染清洁化等纺织新技术，鼓励企业实施智能化、绿色化改造提升，加快智能吊挂、信息化、自动化控制系统等技术和装备应用，提升产品品质，打造全省纺织产业优化升级示范区、全国重要的纺织产业基地。到2025年，现代针纺营业收入力争突破</w:t>
            </w:r>
            <w:r>
              <w:rPr>
                <w:rFonts w:ascii="仿宋_GB2312" w:eastAsia="仿宋_GB2312"/>
                <w:color w:val="000000" w:themeColor="text1"/>
                <w:sz w:val="24"/>
              </w:rPr>
              <w:t>600</w:t>
            </w:r>
            <w:r>
              <w:rPr>
                <w:rFonts w:hint="eastAsia" w:ascii="仿宋_GB2312" w:eastAsia="仿宋_GB2312"/>
                <w:color w:val="000000" w:themeColor="text1"/>
                <w:sz w:val="24"/>
              </w:rPr>
              <w:t>亿元。</w:t>
            </w:r>
          </w:p>
          <w:p>
            <w:pPr>
              <w:spacing w:line="40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（三）新型材料</w:t>
            </w:r>
          </w:p>
          <w:p>
            <w:pPr>
              <w:spacing w:line="400" w:lineRule="exact"/>
              <w:ind w:firstLine="480"/>
              <w:rPr>
                <w:rFonts w:ascii="仿宋_GB2312" w:eastAsia="仿宋_GB2312"/>
                <w:b/>
                <w:color w:val="000000" w:themeColor="text1"/>
                <w:sz w:val="24"/>
              </w:rPr>
            </w:pPr>
            <w:r>
              <w:rPr>
                <w:rFonts w:hint="eastAsia" w:ascii="仿宋_GB2312" w:eastAsia="仿宋_GB2312"/>
                <w:color w:val="000000" w:themeColor="text1"/>
                <w:sz w:val="24"/>
              </w:rPr>
              <w:t>引导铝型材由民用型材向工业型材、初级产品加工向终端产品（高端集成门窗）规模化发展。大力发展钢结构、多功能建筑材料、海绵城市建设需要的特需建材产品和装配式部品部件等新型建材，推动绿色建筑高质量发展。到2025年，新型材料营业收入力争突破1</w:t>
            </w:r>
            <w:r>
              <w:rPr>
                <w:rFonts w:ascii="仿宋_GB2312" w:eastAsia="仿宋_GB2312"/>
                <w:color w:val="000000" w:themeColor="text1"/>
                <w:sz w:val="24"/>
              </w:rPr>
              <w:t>5</w:t>
            </w:r>
            <w:r>
              <w:rPr>
                <w:rFonts w:hint="eastAsia" w:ascii="仿宋_GB2312" w:eastAsia="仿宋_GB2312"/>
                <w:color w:val="000000" w:themeColor="text1"/>
                <w:sz w:val="24"/>
              </w:rPr>
              <w:t>00亿元。</w:t>
            </w:r>
          </w:p>
          <w:p>
            <w:pPr>
              <w:spacing w:line="40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（四）机电装备</w:t>
            </w:r>
          </w:p>
          <w:p>
            <w:pPr>
              <w:spacing w:line="400" w:lineRule="exact"/>
              <w:ind w:firstLine="480"/>
              <w:rPr>
                <w:rFonts w:ascii="仿宋_GB2312" w:eastAsia="仿宋_GB2312"/>
                <w:color w:val="000000" w:themeColor="text1"/>
                <w:sz w:val="24"/>
              </w:rPr>
            </w:pPr>
            <w:r>
              <w:rPr>
                <w:rFonts w:hint="eastAsia" w:ascii="仿宋_GB2312" w:eastAsia="仿宋_GB2312"/>
                <w:color w:val="000000" w:themeColor="text1"/>
                <w:sz w:val="24"/>
              </w:rPr>
              <w:t>壮大家电、电力设备、锅炉、矿山与工程机械、轨道交通装备、仪器仪表、环保设备、清洁能源设备等产业，积极发展农业、食品加工和旅游装备等。到2025年，机电装备营业收入力争突破</w:t>
            </w:r>
            <w:r>
              <w:rPr>
                <w:rFonts w:ascii="仿宋_GB2312" w:eastAsia="仿宋_GB2312"/>
                <w:color w:val="000000" w:themeColor="text1"/>
                <w:sz w:val="24"/>
              </w:rPr>
              <w:t>1200</w:t>
            </w:r>
            <w:r>
              <w:rPr>
                <w:rFonts w:hint="eastAsia" w:ascii="仿宋_GB2312" w:eastAsia="仿宋_GB2312"/>
                <w:color w:val="000000" w:themeColor="text1"/>
                <w:sz w:val="24"/>
              </w:rPr>
              <w:t>亿元。</w:t>
            </w:r>
          </w:p>
        </w:tc>
      </w:tr>
    </w:tbl>
    <w:p>
      <w:pPr>
        <w:pStyle w:val="74"/>
        <w:adjustRightInd/>
        <w:snapToGrid/>
        <w:spacing w:line="580" w:lineRule="exact"/>
        <w:rPr>
          <w:rFonts w:ascii="楷体_GB2312" w:eastAsia="楷体_GB2312"/>
          <w:color w:val="000000" w:themeColor="text1"/>
        </w:rPr>
      </w:pPr>
      <w:bookmarkStart w:id="222" w:name="_Toc64542136"/>
      <w:bookmarkStart w:id="223" w:name="_Toc24232"/>
      <w:bookmarkStart w:id="224" w:name="_Toc5589"/>
    </w:p>
    <w:p>
      <w:pPr>
        <w:pStyle w:val="74"/>
        <w:adjustRightInd/>
        <w:snapToGrid/>
        <w:spacing w:line="580" w:lineRule="exact"/>
        <w:rPr>
          <w:rFonts w:ascii="楷体_GB2312" w:eastAsia="楷体_GB2312"/>
          <w:color w:val="000000" w:themeColor="text1"/>
        </w:rPr>
      </w:pPr>
      <w:r>
        <w:rPr>
          <w:rFonts w:hint="eastAsia" w:ascii="楷体_GB2312" w:eastAsia="楷体_GB2312"/>
          <w:color w:val="000000" w:themeColor="text1"/>
        </w:rPr>
        <w:t>第四节  联动发展军民融合产业</w:t>
      </w:r>
      <w:bookmarkEnd w:id="222"/>
      <w:bookmarkEnd w:id="223"/>
    </w:p>
    <w:p>
      <w:pPr>
        <w:pStyle w:val="59"/>
        <w:ind w:firstLine="0" w:firstLineChars="0"/>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推进军民深度融合，大力发展航空、军民两用电子信息、卫星应用等军民融合产业。推进军民融合两用技术成果转化，建设军民融合计量、检验、标准资源共享、技术交易等公共服务平台。推动认定一批市级军民融合示范企业。支持县区、开发区建设国家、省级军民融合产业示范基地（园区），重点建设高新区航空产业军民融合示范基地、小蓝经开区智能制造装备（军民融合）特色产业园、临空经济区军民融合科技园和北斗科技产业园等军民融合产业基地。</w:t>
      </w:r>
    </w:p>
    <w:p>
      <w:pPr>
        <w:pStyle w:val="14"/>
        <w:spacing w:after="0" w:line="580" w:lineRule="exact"/>
        <w:ind w:left="0" w:leftChars="0" w:firstLine="0" w:firstLineChars="0"/>
      </w:pPr>
    </w:p>
    <w:p>
      <w:pPr>
        <w:pStyle w:val="23"/>
        <w:adjustRightInd/>
        <w:snapToGrid/>
        <w:spacing w:line="580" w:lineRule="exact"/>
        <w:rPr>
          <w:b w:val="0"/>
          <w:color w:val="000000" w:themeColor="text1"/>
        </w:rPr>
      </w:pPr>
      <w:bookmarkStart w:id="225" w:name="_Toc64542137"/>
      <w:bookmarkStart w:id="226" w:name="_Toc15913"/>
      <w:r>
        <w:rPr>
          <w:rFonts w:hint="eastAsia"/>
          <w:b w:val="0"/>
          <w:color w:val="000000" w:themeColor="text1"/>
        </w:rPr>
        <w:t>第十四章  铸造南昌服务新品牌</w:t>
      </w:r>
      <w:bookmarkEnd w:id="215"/>
      <w:bookmarkEnd w:id="216"/>
      <w:bookmarkEnd w:id="224"/>
      <w:bookmarkEnd w:id="225"/>
      <w:bookmarkEnd w:id="226"/>
    </w:p>
    <w:p>
      <w:pPr>
        <w:spacing w:line="580" w:lineRule="exact"/>
        <w:ind w:firstLine="640"/>
        <w:rPr>
          <w:rFonts w:ascii="仿宋_GB2312" w:eastAsia="仿宋_GB2312"/>
          <w:color w:val="000000" w:themeColor="text1"/>
          <w:kern w:val="0"/>
        </w:rPr>
      </w:pPr>
      <w:bookmarkStart w:id="227" w:name="_Toc57194218"/>
      <w:bookmarkStart w:id="228" w:name="_Toc57195679"/>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健全省会特质的服务经济体系，全面优化服务布局，增强服务功能，拓展服务半径，</w:t>
      </w:r>
      <w:r>
        <w:rPr>
          <w:rFonts w:eastAsia="仿宋_GB2312" w:cs="仿宋_GB2312"/>
          <w:color w:val="000000" w:themeColor="text1"/>
          <w:szCs w:val="34"/>
        </w:rPr>
        <w:t>全力</w:t>
      </w:r>
      <w:r>
        <w:rPr>
          <w:rFonts w:hint="eastAsia" w:eastAsia="仿宋_GB2312" w:cs="仿宋_GB2312"/>
          <w:color w:val="000000" w:themeColor="text1"/>
          <w:szCs w:val="34"/>
        </w:rPr>
        <w:t>打造</w:t>
      </w:r>
      <w:r>
        <w:rPr>
          <w:rFonts w:eastAsia="仿宋_GB2312" w:cs="仿宋_GB2312"/>
          <w:color w:val="000000" w:themeColor="text1"/>
          <w:szCs w:val="34"/>
        </w:rPr>
        <w:t>区域性现代金融</w:t>
      </w:r>
      <w:r>
        <w:rPr>
          <w:rFonts w:hint="eastAsia" w:eastAsia="仿宋_GB2312" w:cs="仿宋_GB2312"/>
          <w:color w:val="000000" w:themeColor="text1"/>
          <w:szCs w:val="34"/>
        </w:rPr>
        <w:t>中心</w:t>
      </w:r>
      <w:r>
        <w:rPr>
          <w:rFonts w:eastAsia="仿宋_GB2312" w:cs="仿宋_GB2312"/>
          <w:color w:val="000000" w:themeColor="text1"/>
          <w:szCs w:val="34"/>
        </w:rPr>
        <w:t>、交通物流</w:t>
      </w:r>
      <w:r>
        <w:rPr>
          <w:rFonts w:hint="eastAsia" w:eastAsia="仿宋_GB2312" w:cs="仿宋_GB2312"/>
          <w:color w:val="000000" w:themeColor="text1"/>
          <w:szCs w:val="34"/>
        </w:rPr>
        <w:t>中心</w:t>
      </w:r>
      <w:r>
        <w:rPr>
          <w:rFonts w:eastAsia="仿宋_GB2312" w:cs="仿宋_GB2312"/>
          <w:color w:val="000000" w:themeColor="text1"/>
          <w:szCs w:val="34"/>
        </w:rPr>
        <w:t>、创新创意</w:t>
      </w:r>
      <w:r>
        <w:rPr>
          <w:rFonts w:hint="eastAsia" w:eastAsia="仿宋_GB2312" w:cs="仿宋_GB2312"/>
          <w:color w:val="000000" w:themeColor="text1"/>
          <w:szCs w:val="34"/>
        </w:rPr>
        <w:t>中心</w:t>
      </w:r>
      <w:r>
        <w:rPr>
          <w:rFonts w:eastAsia="仿宋_GB2312" w:cs="仿宋_GB2312"/>
          <w:color w:val="000000" w:themeColor="text1"/>
          <w:szCs w:val="34"/>
        </w:rPr>
        <w:t>、综合消费</w:t>
      </w:r>
      <w:r>
        <w:rPr>
          <w:rFonts w:hint="eastAsia" w:eastAsia="仿宋_GB2312" w:cs="仿宋_GB2312"/>
          <w:color w:val="000000" w:themeColor="text1"/>
          <w:szCs w:val="34"/>
        </w:rPr>
        <w:t>中心</w:t>
      </w:r>
      <w:r>
        <w:rPr>
          <w:rFonts w:eastAsia="仿宋_GB2312" w:cs="仿宋_GB2312"/>
          <w:color w:val="000000" w:themeColor="text1"/>
          <w:szCs w:val="34"/>
        </w:rPr>
        <w:t>、总部营运</w:t>
      </w:r>
      <w:r>
        <w:rPr>
          <w:rFonts w:hint="eastAsia" w:eastAsia="仿宋_GB2312" w:cs="仿宋_GB2312"/>
          <w:color w:val="000000" w:themeColor="text1"/>
          <w:szCs w:val="34"/>
        </w:rPr>
        <w:t>中心</w:t>
      </w:r>
      <w:r>
        <w:rPr>
          <w:rFonts w:eastAsia="仿宋_GB2312" w:cs="仿宋_GB2312"/>
          <w:color w:val="000000" w:themeColor="text1"/>
          <w:szCs w:val="34"/>
        </w:rPr>
        <w:t>，</w:t>
      </w:r>
      <w:r>
        <w:rPr>
          <w:rFonts w:hint="eastAsia" w:ascii="仿宋_GB2312" w:eastAsia="仿宋_GB2312"/>
          <w:color w:val="000000" w:themeColor="text1"/>
          <w:kern w:val="0"/>
        </w:rPr>
        <w:t>进一步提升“南昌服务”影响力。</w:t>
      </w:r>
    </w:p>
    <w:p>
      <w:pPr>
        <w:pStyle w:val="31"/>
        <w:autoSpaceDN/>
        <w:spacing w:line="580" w:lineRule="exact"/>
        <w:ind w:firstLine="0" w:firstLineChars="0"/>
      </w:pPr>
    </w:p>
    <w:p>
      <w:pPr>
        <w:pStyle w:val="74"/>
        <w:adjustRightInd/>
        <w:snapToGrid/>
        <w:spacing w:line="580" w:lineRule="exact"/>
        <w:rPr>
          <w:rFonts w:ascii="楷体_GB2312" w:eastAsia="楷体_GB2312"/>
          <w:color w:val="000000" w:themeColor="text1"/>
        </w:rPr>
      </w:pPr>
      <w:bookmarkStart w:id="229" w:name="_Toc15403"/>
      <w:bookmarkStart w:id="230" w:name="_Toc64542138"/>
      <w:bookmarkStart w:id="231" w:name="_Toc13303"/>
      <w:r>
        <w:rPr>
          <w:rFonts w:hint="eastAsia" w:ascii="楷体_GB2312" w:eastAsia="楷体_GB2312"/>
          <w:color w:val="000000" w:themeColor="text1"/>
        </w:rPr>
        <w:t>第一节  推动生产性服务业融合化发展</w:t>
      </w:r>
      <w:bookmarkEnd w:id="227"/>
      <w:bookmarkEnd w:id="228"/>
      <w:bookmarkEnd w:id="229"/>
      <w:bookmarkEnd w:id="230"/>
      <w:bookmarkEnd w:id="231"/>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聚焦提升生产性服务业服务实体经济能力，以产业转型升级需求为导向，加速生产性服务业数字化、智能化、专业化、规模化、高端化发展。重点在金融服务、现代物流、创新创意、总部运营、楼宇经济、科技服务、人力资源、检验检测、服务外包等领域取得突破，促进生产性服务业规模扩张和质态提升。推动各类市场主体参与服务供给，鼓励服务业龙头企业提升服务质量、扩大服务覆盖范围，为大南昌都市圈及周边城市提供高质量高品质服务。</w:t>
      </w:r>
    </w:p>
    <w:tbl>
      <w:tblPr>
        <w:tblStyle w:val="3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1" w:type="dxa"/>
            <w:tcBorders>
              <w:top w:val="single" w:color="auto" w:sz="4" w:space="0"/>
              <w:left w:val="single" w:color="auto" w:sz="4" w:space="0"/>
              <w:bottom w:val="single" w:color="auto" w:sz="4" w:space="0"/>
              <w:right w:val="single" w:color="auto" w:sz="4" w:space="0"/>
            </w:tcBorders>
            <w:vAlign w:val="center"/>
          </w:tcPr>
          <w:p>
            <w:pPr>
              <w:pStyle w:val="52"/>
              <w:numPr>
                <w:ilvl w:val="0"/>
                <w:numId w:val="0"/>
              </w:numPr>
              <w:spacing w:after="0" w:line="360" w:lineRule="exact"/>
              <w:jc w:val="center"/>
              <w:rPr>
                <w:rFonts w:ascii="仿宋_GB2312" w:hAnsi="Times New Roman" w:eastAsia="仿宋_GB2312" w:cs="Times New Roman"/>
                <w:color w:val="000000" w:themeColor="text1"/>
              </w:rPr>
            </w:pPr>
            <w:r>
              <w:rPr>
                <w:rFonts w:hint="eastAsia" w:ascii="黑体" w:hAnsi="黑体" w:eastAsia="黑体" w:cs="黑体"/>
                <w:bCs/>
                <w:color w:val="000000" w:themeColor="text1"/>
                <w:sz w:val="28"/>
                <w:szCs w:val="28"/>
              </w:rPr>
              <w:t>专栏10：生产性服务业发展导向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71" w:type="dxa"/>
            <w:tcBorders>
              <w:top w:val="single" w:color="auto" w:sz="4" w:space="0"/>
              <w:left w:val="single" w:color="auto" w:sz="4" w:space="0"/>
              <w:bottom w:val="single" w:color="auto" w:sz="4" w:space="0"/>
              <w:right w:val="single" w:color="auto" w:sz="4" w:space="0"/>
            </w:tcBorders>
          </w:tcPr>
          <w:p>
            <w:pPr>
              <w:spacing w:line="360" w:lineRule="exact"/>
              <w:ind w:firstLine="359" w:firstLineChars="149"/>
              <w:rPr>
                <w:rFonts w:ascii="仿宋_GB2312" w:eastAsia="仿宋_GB2312"/>
                <w:b/>
                <w:color w:val="000000" w:themeColor="text1"/>
                <w:sz w:val="24"/>
              </w:rPr>
            </w:pPr>
            <w:r>
              <w:rPr>
                <w:rFonts w:hint="eastAsia" w:ascii="仿宋_GB2312" w:eastAsia="仿宋_GB2312"/>
                <w:b/>
                <w:color w:val="000000" w:themeColor="text1"/>
                <w:sz w:val="24"/>
              </w:rPr>
              <w:t>（一）现代金融</w:t>
            </w:r>
          </w:p>
          <w:p>
            <w:pPr>
              <w:spacing w:line="360" w:lineRule="exact"/>
              <w:ind w:firstLine="357" w:firstLineChars="149"/>
              <w:rPr>
                <w:rFonts w:ascii="仿宋_GB2312" w:eastAsia="仿宋_GB2312"/>
                <w:bCs/>
                <w:color w:val="000000" w:themeColor="text1"/>
                <w:sz w:val="24"/>
              </w:rPr>
            </w:pPr>
            <w:r>
              <w:rPr>
                <w:rFonts w:hint="eastAsia" w:ascii="仿宋_GB2312" w:eastAsia="仿宋_GB2312"/>
                <w:bCs/>
                <w:color w:val="000000" w:themeColor="text1"/>
                <w:sz w:val="24"/>
              </w:rPr>
              <w:t>全力做强红谷滩全省金融商务区，引导重点总部、投融资和金融后台项目加快向红谷滩聚集，建设金融后台基地和数字金融聚集地。延伸布局金融大数据、智慧金融等各类新兴金融企业。重点推进平安金融中心、中国人寿江西分公司办公大楼、南昌金投集团总部大楼等一批金融总部项目建设，打造“立足江西、对标沪深、面向全国、走向国际”的中部新兴区域金融中心。力争到2025年，金融业增加值达到800亿元，占GDP比重保持在10%左右。</w:t>
            </w:r>
          </w:p>
          <w:p>
            <w:pPr>
              <w:spacing w:line="360" w:lineRule="exact"/>
              <w:ind w:firstLine="359" w:firstLineChars="149"/>
              <w:rPr>
                <w:rFonts w:ascii="仿宋_GB2312" w:eastAsia="仿宋_GB2312"/>
                <w:b/>
                <w:color w:val="000000" w:themeColor="text1"/>
                <w:sz w:val="24"/>
              </w:rPr>
            </w:pPr>
            <w:r>
              <w:rPr>
                <w:rFonts w:hint="eastAsia" w:ascii="仿宋_GB2312" w:eastAsia="仿宋_GB2312"/>
                <w:b/>
                <w:color w:val="000000" w:themeColor="text1"/>
                <w:sz w:val="24"/>
              </w:rPr>
              <w:t>（二）现代物流</w:t>
            </w:r>
          </w:p>
          <w:p>
            <w:pPr>
              <w:spacing w:line="360" w:lineRule="exact"/>
              <w:ind w:firstLine="357" w:firstLineChars="149"/>
              <w:rPr>
                <w:rFonts w:ascii="仿宋_GB2312" w:eastAsia="仿宋_GB2312"/>
                <w:bCs/>
                <w:color w:val="000000" w:themeColor="text1"/>
                <w:sz w:val="24"/>
              </w:rPr>
            </w:pPr>
            <w:r>
              <w:rPr>
                <w:rFonts w:hint="eastAsia" w:ascii="仿宋_GB2312" w:eastAsia="仿宋_GB2312"/>
                <w:bCs/>
                <w:color w:val="000000" w:themeColor="text1"/>
                <w:sz w:val="24"/>
              </w:rPr>
              <w:t>加快推进向塘物流枢纽建设，重点发展汽车物流、公路货运、铁路运输、制造业物流、大宗产品物流等，建成南方地区公路零担、快件集散（分拨）中心。依托昌北机场建设，大幅提高航空运输物流和智慧服务能力。依托新洪城大市场等商贸集聚区，积极发展城乡高效配送、冷链物流等，建设国内领先的城市物流配送体系。重点推进京东亚洲一号物流园、传化智能公路港、韵达江西供应链基地、鑫润物流园二期、宇培（南昌）电商物流园、中永数字智能化物流基地、江西省供销电子商务有限公司物联网+递四方物流集配中心等一批现代物流项目建设。到2025年，全市社会物流总额近2万亿元，全市A级物流企业超过60家。</w:t>
            </w:r>
          </w:p>
          <w:p>
            <w:pPr>
              <w:spacing w:line="360" w:lineRule="exact"/>
              <w:ind w:firstLine="359" w:firstLineChars="149"/>
              <w:rPr>
                <w:rFonts w:ascii="仿宋_GB2312" w:eastAsia="仿宋_GB2312"/>
                <w:b/>
                <w:color w:val="000000" w:themeColor="text1"/>
                <w:sz w:val="24"/>
              </w:rPr>
            </w:pPr>
            <w:r>
              <w:rPr>
                <w:rFonts w:hint="eastAsia" w:ascii="仿宋_GB2312" w:eastAsia="仿宋_GB2312"/>
                <w:b/>
                <w:color w:val="000000" w:themeColor="text1"/>
                <w:sz w:val="24"/>
              </w:rPr>
              <w:t>（三）创新创意</w:t>
            </w:r>
          </w:p>
          <w:p>
            <w:pPr>
              <w:spacing w:line="360" w:lineRule="exact"/>
              <w:ind w:firstLine="357" w:firstLineChars="149"/>
              <w:rPr>
                <w:rFonts w:ascii="仿宋_GB2312" w:eastAsia="仿宋_GB2312"/>
                <w:bCs/>
                <w:color w:val="000000" w:themeColor="text1"/>
                <w:sz w:val="24"/>
              </w:rPr>
            </w:pPr>
            <w:r>
              <w:rPr>
                <w:rFonts w:hint="eastAsia" w:ascii="仿宋_GB2312" w:eastAsia="仿宋_GB2312"/>
                <w:bCs/>
                <w:color w:val="000000" w:themeColor="text1"/>
                <w:sz w:val="24"/>
              </w:rPr>
              <w:t>针对“南昌制造”研发设计短板，培育发展科技咨询、创业投资、创业孵化等专业机构，引进培育一批高水平工业设计机构，建设南昌工业设计城。推进数字传媒、动漫游戏、工艺美术、演艺娱乐等文化创意产业发展，重点推进玖珑文化创意谷、中国（江西）针织服装创意产业园二期、江西省笔文化创意产业园、雅言人文化教育创意产业园等一批创意园区建设。加快培育一批文化科技创意企业，着力构建涵盖科技创新、文化创意产品的创新体系，高标准推进平台建设,打造国内领先、国际知名的创新创意高地。</w:t>
            </w:r>
          </w:p>
          <w:p>
            <w:pPr>
              <w:spacing w:line="360" w:lineRule="exact"/>
              <w:ind w:firstLine="359" w:firstLineChars="149"/>
              <w:rPr>
                <w:rFonts w:ascii="仿宋_GB2312" w:eastAsia="仿宋_GB2312"/>
                <w:b/>
                <w:color w:val="000000" w:themeColor="text1"/>
                <w:sz w:val="24"/>
              </w:rPr>
            </w:pPr>
            <w:r>
              <w:rPr>
                <w:rFonts w:hint="eastAsia" w:ascii="仿宋_GB2312" w:eastAsia="仿宋_GB2312"/>
                <w:b/>
                <w:color w:val="000000" w:themeColor="text1"/>
                <w:sz w:val="24"/>
              </w:rPr>
              <w:t>（四）总部营运</w:t>
            </w:r>
          </w:p>
          <w:p>
            <w:pPr>
              <w:spacing w:line="360" w:lineRule="exact"/>
              <w:ind w:firstLine="357" w:firstLineChars="149"/>
              <w:rPr>
                <w:rFonts w:ascii="仿宋_GB2312" w:eastAsia="仿宋_GB2312"/>
                <w:bCs/>
                <w:color w:val="000000" w:themeColor="text1"/>
                <w:sz w:val="24"/>
              </w:rPr>
            </w:pPr>
            <w:r>
              <w:rPr>
                <w:rFonts w:hint="eastAsia" w:ascii="仿宋_GB2312" w:eastAsia="仿宋_GB2312"/>
                <w:bCs/>
                <w:color w:val="000000" w:themeColor="text1"/>
                <w:sz w:val="24"/>
              </w:rPr>
              <w:t>着力优化总部经济空间布局，大力发展楼宇经济，聚焦高端产业、高端消费，统筹赣江江岸黄金水道楼宇集群布局，在城市近郊区域建设一批特色总部基地。充分发挥异地商会作用，争取在外赣商回昌设立综合型总部、区域型总部及功能性机构。重点推进央企总部产业园、赣商总部基地、泉州商会总部基地、赣江壹号（方大南昌总部）等一批总部营运项目建设。完善政策、服务支撑体系，大力引进和培育一批总部企业,构建大企业、大集团集聚集群发展的总部经济生态圈，加快打造中部总部营运新高地。</w:t>
            </w:r>
          </w:p>
          <w:p>
            <w:pPr>
              <w:spacing w:line="360" w:lineRule="exact"/>
              <w:ind w:firstLine="359" w:firstLineChars="149"/>
              <w:rPr>
                <w:rFonts w:ascii="仿宋_GB2312" w:eastAsia="仿宋_GB2312"/>
                <w:b/>
                <w:color w:val="000000" w:themeColor="text1"/>
                <w:sz w:val="24"/>
              </w:rPr>
            </w:pPr>
            <w:r>
              <w:rPr>
                <w:rFonts w:hint="eastAsia" w:ascii="仿宋_GB2312" w:eastAsia="仿宋_GB2312"/>
                <w:b/>
                <w:color w:val="000000" w:themeColor="text1"/>
                <w:sz w:val="24"/>
              </w:rPr>
              <w:t>（五）人力资源</w:t>
            </w:r>
          </w:p>
          <w:p>
            <w:pPr>
              <w:spacing w:line="360" w:lineRule="exact"/>
              <w:ind w:firstLine="357" w:firstLineChars="149"/>
              <w:rPr>
                <w:rFonts w:ascii="仿宋_GB2312" w:eastAsia="仿宋_GB2312"/>
                <w:b/>
                <w:color w:val="000000" w:themeColor="text1"/>
                <w:sz w:val="24"/>
              </w:rPr>
            </w:pPr>
            <w:r>
              <w:rPr>
                <w:rFonts w:hint="eastAsia" w:ascii="仿宋_GB2312" w:eastAsia="仿宋_GB2312"/>
                <w:bCs/>
                <w:color w:val="000000" w:themeColor="text1"/>
                <w:sz w:val="24"/>
              </w:rPr>
              <w:t>积极发展人力资源管理咨询、人才综合测评、高级人才寻访等高端服务，鼓励通过兼并、重组、联盟等方式，打造若干有较大影响力和竞争力的人力资源服务集团；积极推进中国（南昌）人力资源产业园二期建设和江西高层次人才产业园建设，加快建成具备区域集聚能力和辐射效应的人力资源服务产业基地。到2025年，入驻人力资源服务机构总数突破500家。</w:t>
            </w:r>
          </w:p>
        </w:tc>
      </w:tr>
    </w:tbl>
    <w:p>
      <w:pPr>
        <w:pStyle w:val="59"/>
        <w:ind w:firstLine="640"/>
      </w:pPr>
      <w:bookmarkStart w:id="232" w:name="_Toc57195680"/>
      <w:bookmarkStart w:id="233" w:name="_Toc57194219"/>
      <w:bookmarkStart w:id="234" w:name="_Toc15787"/>
    </w:p>
    <w:p>
      <w:pPr>
        <w:pStyle w:val="74"/>
        <w:adjustRightInd/>
        <w:snapToGrid/>
        <w:spacing w:line="580" w:lineRule="exact"/>
        <w:rPr>
          <w:rFonts w:ascii="楷体_GB2312" w:eastAsia="楷体_GB2312"/>
          <w:color w:val="000000" w:themeColor="text1"/>
        </w:rPr>
      </w:pPr>
      <w:bookmarkStart w:id="235" w:name="_Toc64542139"/>
      <w:bookmarkStart w:id="236" w:name="_Toc18572"/>
      <w:r>
        <w:rPr>
          <w:rFonts w:hint="eastAsia" w:ascii="楷体_GB2312" w:eastAsia="楷体_GB2312"/>
          <w:color w:val="000000" w:themeColor="text1"/>
        </w:rPr>
        <w:t>第二节  推动生活性服务业品质化发展</w:t>
      </w:r>
      <w:bookmarkEnd w:id="232"/>
      <w:bookmarkEnd w:id="233"/>
      <w:bookmarkEnd w:id="234"/>
      <w:bookmarkEnd w:id="235"/>
      <w:bookmarkEnd w:id="236"/>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立足人民群众对生活性服务业高层次、多元化需求，推动生活性服务业高品质、多样化发展，重点发展商务商贸和以文化旅游、健康养老和健身休闲为主要内容的“幸福产业”,推进教育、医疗等社会服务领域有序开放。引导发展教育培训、家政服务、法律服务业，加强公益性、基础性服务业供给，完善服务标准、信用、培训等体系，构建功能完善、管理规范、高效高质的生活性服务业体系。大力发展平台经济、分享经济、体验经济等新服务经济，加快推动模式创新、业态创新和服务创新。</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vAlign w:val="center"/>
          </w:tcPr>
          <w:p>
            <w:pPr>
              <w:pStyle w:val="52"/>
              <w:numPr>
                <w:ilvl w:val="0"/>
                <w:numId w:val="0"/>
              </w:numPr>
              <w:spacing w:after="0" w:line="360" w:lineRule="exact"/>
              <w:jc w:val="center"/>
              <w:rPr>
                <w:color w:val="000000" w:themeColor="text1"/>
              </w:rPr>
            </w:pPr>
            <w:r>
              <w:rPr>
                <w:rFonts w:hint="eastAsia" w:ascii="黑体" w:hAnsi="黑体" w:eastAsia="黑体" w:cs="黑体"/>
                <w:bCs/>
                <w:color w:val="000000" w:themeColor="text1"/>
                <w:sz w:val="28"/>
                <w:szCs w:val="28"/>
              </w:rPr>
              <w:t>专栏11：生活性服务业发展导向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9071" w:type="dxa"/>
          </w:tcPr>
          <w:p>
            <w:pPr>
              <w:spacing w:line="350" w:lineRule="exact"/>
              <w:ind w:firstLine="359" w:firstLineChars="149"/>
              <w:rPr>
                <w:rFonts w:ascii="仿宋_GB2312" w:eastAsia="仿宋_GB2312"/>
                <w:b/>
                <w:color w:val="000000" w:themeColor="text1"/>
                <w:sz w:val="24"/>
              </w:rPr>
            </w:pPr>
            <w:r>
              <w:rPr>
                <w:rFonts w:hint="eastAsia" w:ascii="仿宋_GB2312" w:eastAsia="仿宋_GB2312"/>
                <w:b/>
                <w:color w:val="000000" w:themeColor="text1"/>
                <w:sz w:val="24"/>
              </w:rPr>
              <w:t>（一）商务商贸</w:t>
            </w:r>
          </w:p>
          <w:p>
            <w:pPr>
              <w:spacing w:line="350" w:lineRule="exact"/>
              <w:ind w:firstLine="357" w:firstLineChars="149"/>
              <w:rPr>
                <w:rFonts w:ascii="仿宋_GB2312" w:eastAsia="仿宋_GB2312"/>
                <w:bCs/>
                <w:color w:val="000000" w:themeColor="text1"/>
                <w:sz w:val="24"/>
              </w:rPr>
            </w:pPr>
            <w:r>
              <w:rPr>
                <w:rFonts w:hint="eastAsia" w:ascii="仿宋_GB2312" w:eastAsia="仿宋_GB2312"/>
                <w:bCs/>
                <w:color w:val="000000" w:themeColor="text1"/>
                <w:sz w:val="24"/>
              </w:rPr>
              <w:t>加快提升重点商圈功能，完善由万达、铜锣湾等商业综合体，绳金塔特色商业街、胜利路步行街等特色商业街，社区便利店，农贸市场等构成的商业网点布局。推进苏宁广场、华润万象城、铜锣湾广场、红星美凯龙大型家居购物广场等一批大型商业综合体项目建设。推动商务数字化、网络化、智能化发展。加快培育和引进一批综合性、第三方和垂直电商，做大做强电子商务。持续做好产业展会策划实施，大力发展“产业+会展”项目，打造中部会展名城。到2025年，批零住餐业增加值达到750亿元。</w:t>
            </w:r>
          </w:p>
          <w:p>
            <w:pPr>
              <w:spacing w:line="350" w:lineRule="exact"/>
              <w:ind w:firstLine="359" w:firstLineChars="149"/>
              <w:rPr>
                <w:rFonts w:ascii="仿宋_GB2312" w:eastAsia="仿宋_GB2312"/>
                <w:b/>
                <w:color w:val="000000" w:themeColor="text1"/>
                <w:sz w:val="24"/>
              </w:rPr>
            </w:pPr>
            <w:r>
              <w:rPr>
                <w:rFonts w:hint="eastAsia" w:ascii="仿宋_GB2312" w:eastAsia="仿宋_GB2312"/>
                <w:b/>
                <w:color w:val="000000" w:themeColor="text1"/>
                <w:sz w:val="24"/>
              </w:rPr>
              <w:t>（二）文化旅游</w:t>
            </w:r>
          </w:p>
          <w:p>
            <w:pPr>
              <w:spacing w:line="350" w:lineRule="exact"/>
              <w:ind w:firstLine="357" w:firstLineChars="149"/>
              <w:rPr>
                <w:rFonts w:ascii="仿宋_GB2312" w:eastAsia="仿宋_GB2312"/>
                <w:bCs/>
                <w:color w:val="000000" w:themeColor="text1"/>
                <w:sz w:val="24"/>
              </w:rPr>
            </w:pPr>
            <w:r>
              <w:rPr>
                <w:rFonts w:hint="eastAsia" w:ascii="仿宋_GB2312" w:eastAsia="仿宋_GB2312"/>
                <w:bCs/>
                <w:color w:val="000000" w:themeColor="text1"/>
                <w:sz w:val="24"/>
              </w:rPr>
              <w:t>做强“文物博览”“八一传承”等国际性产品，做优“绿色生态”“历史街区”等标杆性产品，做精“梅湖文艺”“农耕休闲”等主题型旅游产品。实施文旅融合示范工程，围绕“海昏侯国遗址”“八一起义”“滕王阁”“八大山人”等地域文化特色发展全域旅游。推动非物质文化遗产融入食住行、游购娱各个环节，推进文旅创意可视化、演艺化、节庆化、园区化、商品化。加快推进海昏侯国遗址公园二期、军山湖全域旅游开发、一江两岸城市风光旅游带、白水湖历史文化生态园、华侨城“欢乐象湖”大型文旅综合项目等项目建设。</w:t>
            </w:r>
          </w:p>
          <w:p>
            <w:pPr>
              <w:spacing w:line="350" w:lineRule="exact"/>
              <w:ind w:firstLine="359" w:firstLineChars="149"/>
              <w:rPr>
                <w:rFonts w:ascii="仿宋_GB2312" w:eastAsia="仿宋_GB2312"/>
                <w:b/>
                <w:color w:val="000000" w:themeColor="text1"/>
                <w:sz w:val="24"/>
              </w:rPr>
            </w:pPr>
            <w:r>
              <w:rPr>
                <w:rFonts w:hint="eastAsia" w:ascii="仿宋_GB2312" w:eastAsia="仿宋_GB2312"/>
                <w:b/>
                <w:color w:val="000000" w:themeColor="text1"/>
                <w:sz w:val="24"/>
              </w:rPr>
              <w:t>（三）健康养老</w:t>
            </w:r>
          </w:p>
          <w:p>
            <w:pPr>
              <w:spacing w:line="350" w:lineRule="exact"/>
              <w:ind w:firstLine="357" w:firstLineChars="149"/>
              <w:rPr>
                <w:rFonts w:ascii="仿宋_GB2312" w:eastAsia="仿宋_GB2312"/>
                <w:bCs/>
                <w:color w:val="000000" w:themeColor="text1"/>
                <w:sz w:val="24"/>
              </w:rPr>
            </w:pPr>
            <w:r>
              <w:rPr>
                <w:rFonts w:hint="eastAsia" w:ascii="仿宋_GB2312" w:eastAsia="仿宋_GB2312"/>
                <w:bCs/>
                <w:color w:val="000000" w:themeColor="text1"/>
                <w:sz w:val="24"/>
              </w:rPr>
              <w:t>完善以居家为基础、社区为依托、机构为补充、医养相结合的健康养老服务体系，支持江中集团、济民可信、汇仁药业等企业发展中医保健、健康管理、医疗美容等健康服务和基因检测、干细胞研发应用等高端医学服务。加快健康服务业集聚区建设，推进泰康之家·赣园等重点项目建设，打造若干康养小镇、医疗医药服务名街名巷。支持各类主体新建智慧养老机构。</w:t>
            </w:r>
          </w:p>
          <w:p>
            <w:pPr>
              <w:spacing w:line="350" w:lineRule="exact"/>
              <w:ind w:firstLine="359" w:firstLineChars="149"/>
              <w:rPr>
                <w:rFonts w:ascii="仿宋_GB2312" w:eastAsia="仿宋_GB2312"/>
                <w:b/>
                <w:color w:val="000000" w:themeColor="text1"/>
                <w:sz w:val="24"/>
              </w:rPr>
            </w:pPr>
            <w:r>
              <w:rPr>
                <w:rFonts w:hint="eastAsia" w:ascii="仿宋_GB2312" w:eastAsia="仿宋_GB2312"/>
                <w:b/>
                <w:color w:val="000000" w:themeColor="text1"/>
                <w:sz w:val="24"/>
              </w:rPr>
              <w:t>（四）新服务经济</w:t>
            </w:r>
          </w:p>
          <w:p>
            <w:pPr>
              <w:spacing w:line="350" w:lineRule="exact"/>
              <w:ind w:firstLine="359" w:firstLineChars="149"/>
              <w:rPr>
                <w:rFonts w:ascii="仿宋_GB2312" w:eastAsia="仿宋_GB2312"/>
                <w:b/>
                <w:color w:val="000000" w:themeColor="text1"/>
                <w:sz w:val="24"/>
              </w:rPr>
            </w:pPr>
            <w:r>
              <w:rPr>
                <w:rFonts w:hint="eastAsia" w:ascii="仿宋_GB2312" w:eastAsia="仿宋_GB2312"/>
                <w:b/>
                <w:color w:val="000000" w:themeColor="text1"/>
                <w:sz w:val="24"/>
              </w:rPr>
              <w:t>平台经济。</w:t>
            </w:r>
            <w:r>
              <w:rPr>
                <w:rFonts w:hint="eastAsia" w:ascii="仿宋_GB2312" w:eastAsia="仿宋_GB2312"/>
                <w:bCs/>
                <w:color w:val="000000" w:themeColor="text1"/>
                <w:sz w:val="24"/>
              </w:rPr>
              <w:t>围绕商品交易、服务供给、要素支撑等重点方向，加强大数据、云计算、物联网等技术的应用推广，重点发展电子商务平台、物流服务平台、政务服务平台等领域。</w:t>
            </w:r>
            <w:r>
              <w:rPr>
                <w:rFonts w:hint="eastAsia" w:ascii="仿宋_GB2312" w:eastAsia="仿宋_GB2312"/>
                <w:b/>
                <w:color w:val="000000" w:themeColor="text1"/>
                <w:sz w:val="24"/>
              </w:rPr>
              <w:t>分享经济。</w:t>
            </w:r>
            <w:r>
              <w:rPr>
                <w:rFonts w:hint="eastAsia" w:ascii="仿宋_GB2312" w:eastAsia="仿宋_GB2312"/>
                <w:bCs/>
                <w:color w:val="000000" w:themeColor="text1"/>
                <w:sz w:val="24"/>
              </w:rPr>
              <w:t>坚持培育和引进相结合，重点围绕生产能力、创新资源、交通出行和物流运输、旅游资源和其他生活领域发展。</w:t>
            </w:r>
            <w:r>
              <w:rPr>
                <w:rFonts w:hint="eastAsia" w:ascii="仿宋_GB2312" w:eastAsia="仿宋_GB2312"/>
                <w:b/>
                <w:color w:val="000000" w:themeColor="text1"/>
                <w:sz w:val="24"/>
              </w:rPr>
              <w:t>体验经济。</w:t>
            </w:r>
            <w:r>
              <w:rPr>
                <w:rFonts w:hint="eastAsia" w:ascii="仿宋_GB2312" w:eastAsia="仿宋_GB2312"/>
                <w:bCs/>
                <w:color w:val="000000" w:themeColor="text1"/>
                <w:sz w:val="24"/>
              </w:rPr>
              <w:t>以顾客的感受性和满足感为导向，加大AR/VR等新技术推广应用力度，开发沉浸式体验新产品新服务，推动发展社交化、情景化和智能化新商圈。重点在新型超市、智能零售终端、新型书店等领域精心打造具有南昌特色的体验经济。</w:t>
            </w:r>
          </w:p>
        </w:tc>
      </w:tr>
    </w:tbl>
    <w:p>
      <w:pPr>
        <w:pStyle w:val="14"/>
        <w:spacing w:after="0" w:line="580" w:lineRule="exact"/>
        <w:ind w:left="0" w:leftChars="0" w:firstLine="640"/>
      </w:pPr>
      <w:bookmarkStart w:id="237" w:name="_Toc5458"/>
      <w:bookmarkStart w:id="238" w:name="_Toc57194225"/>
      <w:bookmarkStart w:id="239" w:name="_Toc57195686"/>
    </w:p>
    <w:p>
      <w:pPr>
        <w:pStyle w:val="23"/>
        <w:adjustRightInd/>
        <w:snapToGrid/>
        <w:spacing w:line="580" w:lineRule="exact"/>
        <w:rPr>
          <w:b w:val="0"/>
          <w:color w:val="000000" w:themeColor="text1"/>
        </w:rPr>
      </w:pPr>
      <w:bookmarkStart w:id="240" w:name="_Toc64542140"/>
      <w:bookmarkStart w:id="241" w:name="_Toc20478"/>
    </w:p>
    <w:p>
      <w:pPr>
        <w:pStyle w:val="23"/>
        <w:adjustRightInd/>
        <w:snapToGrid/>
        <w:spacing w:line="580" w:lineRule="exact"/>
        <w:rPr>
          <w:b w:val="0"/>
          <w:color w:val="000000" w:themeColor="text1"/>
        </w:rPr>
      </w:pPr>
    </w:p>
    <w:p>
      <w:pPr>
        <w:pStyle w:val="23"/>
        <w:adjustRightInd/>
        <w:snapToGrid/>
        <w:spacing w:line="580" w:lineRule="exact"/>
        <w:rPr>
          <w:b w:val="0"/>
          <w:color w:val="000000" w:themeColor="text1"/>
        </w:rPr>
      </w:pPr>
      <w:r>
        <w:rPr>
          <w:rFonts w:hint="eastAsia"/>
          <w:b w:val="0"/>
          <w:color w:val="000000" w:themeColor="text1"/>
        </w:rPr>
        <w:t>第十五章  做强产业发展“主战场”</w:t>
      </w:r>
      <w:bookmarkEnd w:id="237"/>
      <w:bookmarkEnd w:id="238"/>
      <w:bookmarkEnd w:id="239"/>
      <w:bookmarkEnd w:id="240"/>
      <w:bookmarkEnd w:id="241"/>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以总量指标前移、效益指标进位、速度指标争先为导向，全面创新提升开发区能级，培育一批超千亿工业园，发展一批特色工业园，打造支撑我市高质量跨越式发展的大平台。</w:t>
      </w:r>
      <w:bookmarkStart w:id="242" w:name="_Toc57194226"/>
      <w:bookmarkStart w:id="243" w:name="_Toc57195687"/>
      <w:bookmarkStart w:id="244" w:name="_Toc3287"/>
    </w:p>
    <w:p>
      <w:pPr>
        <w:pStyle w:val="2"/>
        <w:ind w:firstLine="320"/>
      </w:pPr>
    </w:p>
    <w:p>
      <w:pPr>
        <w:pStyle w:val="74"/>
        <w:adjustRightInd/>
        <w:snapToGrid/>
        <w:spacing w:line="580" w:lineRule="exact"/>
        <w:rPr>
          <w:bCs/>
          <w:color w:val="000000" w:themeColor="text1"/>
          <w:lang w:val="zh-CN"/>
        </w:rPr>
      </w:pPr>
      <w:bookmarkStart w:id="245" w:name="_Toc13447"/>
      <w:bookmarkStart w:id="246" w:name="_Toc64542141"/>
      <w:r>
        <w:rPr>
          <w:rFonts w:hint="eastAsia" w:ascii="楷体_GB2312" w:eastAsia="楷体_GB2312"/>
          <w:color w:val="000000" w:themeColor="text1"/>
        </w:rPr>
        <w:t>第一节  促进开发区提质升级</w:t>
      </w:r>
      <w:bookmarkEnd w:id="242"/>
      <w:bookmarkEnd w:id="243"/>
      <w:bookmarkEnd w:id="244"/>
      <w:bookmarkEnd w:id="245"/>
      <w:bookmarkEnd w:id="246"/>
    </w:p>
    <w:p>
      <w:pPr>
        <w:spacing w:line="580" w:lineRule="exact"/>
        <w:ind w:firstLine="640"/>
        <w:rPr>
          <w:rFonts w:ascii="仿宋_GB2312" w:hAnsi="仿宋_GB2312" w:eastAsia="仿宋_GB2312" w:cs="仿宋_GB2312"/>
          <w:bCs/>
          <w:color w:val="000000" w:themeColor="text1"/>
          <w:szCs w:val="32"/>
          <w:lang w:val="zh-CN"/>
        </w:rPr>
      </w:pPr>
    </w:p>
    <w:p>
      <w:pPr>
        <w:widowControl/>
        <w:spacing w:line="580" w:lineRule="exact"/>
        <w:ind w:firstLine="640"/>
        <w:rPr>
          <w:rFonts w:ascii="仿宋_GB2312" w:hAnsi="仿宋_GB2312" w:eastAsia="仿宋_GB2312" w:cs="仿宋_GB2312"/>
          <w:bCs/>
          <w:color w:val="000000" w:themeColor="text1"/>
          <w:szCs w:val="32"/>
          <w:lang w:val="zh-CN"/>
        </w:rPr>
      </w:pPr>
      <w:r>
        <w:rPr>
          <w:rFonts w:hint="eastAsia" w:ascii="仿宋_GB2312" w:hAnsi="仿宋_GB2312" w:eastAsia="仿宋_GB2312" w:cs="仿宋_GB2312"/>
          <w:bCs/>
          <w:color w:val="000000" w:themeColor="text1"/>
          <w:szCs w:val="32"/>
          <w:lang w:val="zh-CN"/>
        </w:rPr>
        <w:t>加快产业集聚发展，深入推进开发区集群式项目满园扩园、“两型三化”管理提标提档等行动，大力实施优势产业集群提能升级计划，推动国家级开发区“僵尸”企业“出清”、低效低质企业出园，加快特色工业园区首位产业集聚发展，提升园区企业和项目技术水平、投资效益和盈利能力。优化产业空间布局，实施国家级开发区进位赶超计划。深入实施“节地增效”行动，强化“亩产论英雄”导向，加快落实“标准地”要求，建立以亩均产出为导向的企业分类综合评价机制。推动</w:t>
      </w:r>
      <w:r>
        <w:rPr>
          <w:rFonts w:hint="eastAsia" w:ascii="仿宋_GB2312" w:hAnsi="仿宋_GB2312" w:eastAsia="仿宋_GB2312" w:cs="仿宋_GB2312"/>
          <w:bCs/>
          <w:color w:val="000000" w:themeColor="text1"/>
          <w:szCs w:val="32"/>
        </w:rPr>
        <w:t>进贤产业园、</w:t>
      </w:r>
      <w:r>
        <w:rPr>
          <w:rFonts w:hint="eastAsia" w:ascii="仿宋_GB2312" w:hAnsi="仿宋_GB2312" w:eastAsia="仿宋_GB2312" w:cs="仿宋_GB2312"/>
          <w:bCs/>
          <w:color w:val="000000" w:themeColor="text1"/>
          <w:szCs w:val="32"/>
          <w:lang w:val="zh-CN"/>
        </w:rPr>
        <w:t>安义工业园</w:t>
      </w:r>
      <w:r>
        <w:rPr>
          <w:rFonts w:hint="eastAsia" w:ascii="仿宋_GB2312" w:hAnsi="仿宋_GB2312" w:eastAsia="仿宋_GB2312" w:cs="仿宋_GB2312"/>
          <w:bCs/>
          <w:color w:val="000000" w:themeColor="text1"/>
          <w:szCs w:val="32"/>
        </w:rPr>
        <w:t>等</w:t>
      </w:r>
      <w:r>
        <w:rPr>
          <w:rFonts w:hint="eastAsia" w:ascii="仿宋_GB2312" w:hAnsi="仿宋_GB2312" w:eastAsia="仿宋_GB2312" w:cs="仿宋_GB2312"/>
          <w:bCs/>
          <w:color w:val="000000" w:themeColor="text1"/>
          <w:szCs w:val="32"/>
          <w:lang w:val="zh-CN"/>
        </w:rPr>
        <w:t>扩区调区。完善生产生活功能配套，增强创新功能，优化生态布局，增加公共服务供给，构建“大园区</w:t>
      </w:r>
      <w:r>
        <w:rPr>
          <w:rFonts w:ascii="仿宋_GB2312" w:hAnsi="仿宋_GB2312" w:eastAsia="仿宋_GB2312" w:cs="仿宋_GB2312"/>
          <w:bCs/>
          <w:color w:val="000000" w:themeColor="text1"/>
          <w:szCs w:val="32"/>
          <w:lang w:val="zh-CN"/>
        </w:rPr>
        <w:t>+小城市”公共服务网络，打造宜产宜居生态开发区</w:t>
      </w:r>
      <w:r>
        <w:rPr>
          <w:rFonts w:hint="eastAsia" w:ascii="仿宋_GB2312" w:hAnsi="仿宋_GB2312" w:eastAsia="仿宋_GB2312" w:cs="仿宋_GB2312"/>
          <w:bCs/>
          <w:color w:val="000000" w:themeColor="text1"/>
          <w:szCs w:val="32"/>
          <w:lang w:val="zh-CN"/>
        </w:rPr>
        <w:t>。</w:t>
      </w:r>
      <w:bookmarkStart w:id="247" w:name="_Toc57195688"/>
      <w:bookmarkStart w:id="248" w:name="_Toc57194227"/>
    </w:p>
    <w:p>
      <w:pPr>
        <w:spacing w:line="580" w:lineRule="exact"/>
        <w:ind w:firstLine="0" w:firstLineChars="0"/>
        <w:rPr>
          <w:lang w:val="zh-CN"/>
        </w:rPr>
      </w:pPr>
      <w:bookmarkStart w:id="249" w:name="_Toc12815"/>
      <w:bookmarkStart w:id="250" w:name="_Toc30459"/>
      <w:bookmarkStart w:id="251" w:name="_Toc64542142"/>
    </w:p>
    <w:p>
      <w:pPr>
        <w:pStyle w:val="74"/>
        <w:adjustRightInd/>
        <w:snapToGrid/>
        <w:spacing w:line="580" w:lineRule="exact"/>
        <w:rPr>
          <w:rFonts w:ascii="楷体_GB2312" w:eastAsia="楷体_GB2312"/>
          <w:color w:val="000000" w:themeColor="text1"/>
        </w:rPr>
      </w:pPr>
    </w:p>
    <w:p>
      <w:pPr>
        <w:pStyle w:val="74"/>
        <w:adjustRightInd/>
        <w:snapToGrid/>
        <w:spacing w:line="580" w:lineRule="exact"/>
        <w:rPr>
          <w:rFonts w:ascii="楷体_GB2312" w:eastAsia="楷体_GB2312"/>
          <w:color w:val="000000" w:themeColor="text1"/>
        </w:rPr>
      </w:pPr>
    </w:p>
    <w:p>
      <w:pPr>
        <w:pStyle w:val="74"/>
        <w:adjustRightInd/>
        <w:snapToGrid/>
        <w:spacing w:line="580" w:lineRule="exact"/>
        <w:rPr>
          <w:rFonts w:ascii="楷体_GB2312" w:eastAsia="楷体_GB2312"/>
          <w:color w:val="000000" w:themeColor="text1"/>
        </w:rPr>
      </w:pPr>
      <w:r>
        <w:rPr>
          <w:rFonts w:hint="eastAsia" w:ascii="楷体_GB2312" w:eastAsia="楷体_GB2312"/>
          <w:color w:val="000000" w:themeColor="text1"/>
        </w:rPr>
        <w:t>第二节  完善开发区体制机制</w:t>
      </w:r>
      <w:bookmarkEnd w:id="247"/>
      <w:bookmarkEnd w:id="248"/>
      <w:bookmarkEnd w:id="249"/>
      <w:bookmarkEnd w:id="250"/>
      <w:bookmarkEnd w:id="251"/>
    </w:p>
    <w:p>
      <w:pPr>
        <w:widowControl/>
        <w:spacing w:line="580" w:lineRule="exact"/>
        <w:ind w:firstLine="640"/>
        <w:rPr>
          <w:rFonts w:ascii="仿宋_GB2312" w:hAnsi="仿宋_GB2312" w:eastAsia="仿宋_GB2312" w:cs="仿宋_GB2312"/>
          <w:bCs/>
          <w:color w:val="000000" w:themeColor="text1"/>
          <w:szCs w:val="32"/>
          <w:lang w:val="zh-CN"/>
        </w:rPr>
      </w:pPr>
    </w:p>
    <w:p>
      <w:pPr>
        <w:widowControl/>
        <w:spacing w:line="580" w:lineRule="exact"/>
        <w:ind w:firstLine="640"/>
        <w:rPr>
          <w:lang w:val="zh-CN"/>
        </w:rPr>
      </w:pPr>
      <w:r>
        <w:rPr>
          <w:rFonts w:hint="eastAsia" w:ascii="仿宋_GB2312" w:hAnsi="仿宋_GB2312" w:eastAsia="仿宋_GB2312" w:cs="仿宋_GB2312"/>
          <w:bCs/>
          <w:color w:val="000000" w:themeColor="text1"/>
          <w:szCs w:val="32"/>
          <w:lang w:val="zh-CN"/>
        </w:rPr>
        <w:t>强化开发区经济管理职能，赋予开发区更大改革创新自主权，推动全链审批赋权。深化开发区行政管理体制、运营体制、人事和薪酬制度及监管体制等改革，提升开发区发展活力。大力推进以全员聘任制和绩效工资制为核心的人事薪酬制度改革，探索建立灵活多样的调任制度，形成人员能进能出、职务能上能下、待遇能高能低的管理机制。</w:t>
      </w:r>
      <w:r>
        <w:rPr>
          <w:rFonts w:hint="eastAsia" w:ascii="仿宋_GB2312" w:hAnsi="仿宋_GB2312" w:eastAsia="仿宋_GB2312" w:cs="仿宋_GB2312"/>
          <w:bCs/>
          <w:color w:val="000000" w:themeColor="text1"/>
          <w:szCs w:val="32"/>
        </w:rPr>
        <w:t>支持国家级开发区与其他开发区联动设立</w:t>
      </w:r>
      <w:r>
        <w:rPr>
          <w:rFonts w:hint="eastAsia" w:ascii="仿宋_GB2312" w:hAnsi="仿宋_GB2312" w:eastAsia="仿宋_GB2312" w:cs="仿宋_GB2312"/>
          <w:bCs/>
          <w:color w:val="000000" w:themeColor="text1"/>
          <w:szCs w:val="32"/>
          <w:lang w:val="zh-CN"/>
        </w:rPr>
        <w:t>“飞地园区”，鼓励与沿海地区开发区共建“飞地园区”，探索“双飞地”发展模式，推进“沿海研发</w:t>
      </w:r>
      <w:r>
        <w:rPr>
          <w:rFonts w:ascii="仿宋_GB2312" w:hAnsi="仿宋_GB2312" w:eastAsia="仿宋_GB2312" w:cs="仿宋_GB2312"/>
          <w:bCs/>
          <w:color w:val="000000" w:themeColor="text1"/>
          <w:szCs w:val="32"/>
          <w:lang w:val="zh-CN"/>
        </w:rPr>
        <w:t>+南昌制造”有效互动。</w:t>
      </w:r>
      <w:r>
        <w:rPr>
          <w:rFonts w:hint="eastAsia" w:ascii="仿宋_GB2312" w:hAnsi="仿宋_GB2312" w:eastAsia="仿宋_GB2312" w:cs="仿宋_GB2312"/>
          <w:bCs/>
          <w:color w:val="000000" w:themeColor="text1"/>
          <w:szCs w:val="32"/>
          <w:lang w:val="zh-CN"/>
        </w:rPr>
        <w:t>适时启动国家级开发区设立行政区，推动向行政区</w:t>
      </w:r>
      <w:r>
        <w:rPr>
          <w:rFonts w:ascii="仿宋_GB2312" w:hAnsi="仿宋_GB2312" w:eastAsia="仿宋_GB2312" w:cs="仿宋_GB2312"/>
          <w:bCs/>
          <w:color w:val="000000" w:themeColor="text1"/>
          <w:szCs w:val="32"/>
          <w:lang w:val="zh-CN"/>
        </w:rPr>
        <w:t>+功能区转变</w:t>
      </w:r>
      <w:r>
        <w:rPr>
          <w:rFonts w:hint="eastAsia" w:ascii="仿宋_GB2312" w:hAnsi="仿宋_GB2312" w:eastAsia="仿宋_GB2312" w:cs="仿宋_GB2312"/>
          <w:bCs/>
          <w:color w:val="000000" w:themeColor="text1"/>
          <w:szCs w:val="32"/>
          <w:lang w:val="zh-CN"/>
        </w:rPr>
        <w:t>。</w:t>
      </w:r>
      <w:r>
        <w:rPr>
          <w:lang w:val="zh-CN"/>
        </w:rPr>
        <w:br w:type="page"/>
      </w:r>
    </w:p>
    <w:bookmarkEnd w:id="200"/>
    <w:bookmarkEnd w:id="201"/>
    <w:p>
      <w:pPr>
        <w:pStyle w:val="29"/>
        <w:widowControl/>
        <w:adjustRightInd/>
        <w:snapToGrid/>
        <w:spacing w:line="580" w:lineRule="exact"/>
        <w:rPr>
          <w:color w:val="000000" w:themeColor="text1"/>
        </w:rPr>
      </w:pPr>
      <w:bookmarkStart w:id="252" w:name="_Toc57612819"/>
      <w:bookmarkStart w:id="253" w:name="_Toc32099"/>
      <w:bookmarkStart w:id="254" w:name="_Toc18815"/>
      <w:bookmarkStart w:id="255" w:name="_Toc64542143"/>
      <w:bookmarkStart w:id="256" w:name="_Toc57612829"/>
      <w:bookmarkStart w:id="257" w:name="_Toc57195735"/>
      <w:bookmarkStart w:id="258" w:name="_Toc57195729"/>
      <w:bookmarkStart w:id="259" w:name="_Toc57201730"/>
      <w:bookmarkStart w:id="260" w:name="_Toc57194274"/>
      <w:bookmarkStart w:id="261" w:name="_Toc57194268"/>
      <w:bookmarkStart w:id="262" w:name="_Toc57279521"/>
      <w:bookmarkStart w:id="263" w:name="_Toc57195740"/>
      <w:bookmarkStart w:id="264" w:name="_Toc57194279"/>
    </w:p>
    <w:p>
      <w:pPr>
        <w:pStyle w:val="29"/>
        <w:widowControl/>
        <w:adjustRightInd/>
        <w:snapToGrid/>
        <w:spacing w:line="580" w:lineRule="exact"/>
        <w:rPr>
          <w:color w:val="000000" w:themeColor="text1"/>
        </w:rPr>
      </w:pPr>
      <w:r>
        <w:rPr>
          <w:rFonts w:hint="eastAsia"/>
          <w:color w:val="000000" w:themeColor="text1"/>
        </w:rPr>
        <w:t>第五</w:t>
      </w:r>
      <w:bookmarkEnd w:id="252"/>
      <w:r>
        <w:rPr>
          <w:rFonts w:hint="eastAsia"/>
          <w:color w:val="000000" w:themeColor="text1"/>
        </w:rPr>
        <w:t>篇  实施扩大内需战略</w:t>
      </w:r>
      <w:bookmarkEnd w:id="253"/>
      <w:bookmarkEnd w:id="254"/>
      <w:bookmarkEnd w:id="255"/>
    </w:p>
    <w:p>
      <w:pPr>
        <w:widowControl/>
        <w:spacing w:line="580" w:lineRule="exact"/>
        <w:ind w:firstLine="640"/>
        <w:rPr>
          <w:rFonts w:ascii="仿宋_GB2312" w:eastAsia="仿宋_GB2312"/>
          <w:color w:val="000000" w:themeColor="text1"/>
          <w:kern w:val="0"/>
        </w:rPr>
      </w:pPr>
    </w:p>
    <w:p>
      <w:pPr>
        <w:widowControl/>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顺应国内外发展格局深刻调整，把扩大内需战略与供给侧结构性改革有机结合，推动形成更高水平供需动态平衡，在“双循环”新发展格局中展现省会作为。</w:t>
      </w:r>
    </w:p>
    <w:p>
      <w:pPr>
        <w:pStyle w:val="31"/>
        <w:widowControl/>
        <w:autoSpaceDN/>
        <w:spacing w:line="580" w:lineRule="exact"/>
        <w:ind w:firstLine="640"/>
      </w:pPr>
    </w:p>
    <w:p>
      <w:pPr>
        <w:pStyle w:val="23"/>
        <w:widowControl/>
        <w:adjustRightInd/>
        <w:snapToGrid/>
        <w:spacing w:line="580" w:lineRule="exact"/>
        <w:rPr>
          <w:b w:val="0"/>
          <w:color w:val="000000" w:themeColor="text1"/>
        </w:rPr>
      </w:pPr>
      <w:bookmarkStart w:id="265" w:name="_Toc26385"/>
      <w:bookmarkStart w:id="266" w:name="_Toc64542144"/>
      <w:bookmarkStart w:id="267" w:name="_Toc11926"/>
      <w:r>
        <w:rPr>
          <w:rFonts w:hint="eastAsia"/>
          <w:b w:val="0"/>
          <w:color w:val="000000" w:themeColor="text1"/>
        </w:rPr>
        <w:t>第十六</w:t>
      </w:r>
      <w:bookmarkStart w:id="268" w:name="_Toc57612825"/>
      <w:bookmarkStart w:id="269" w:name="_Toc57195695"/>
      <w:bookmarkStart w:id="270" w:name="_Toc57194234"/>
      <w:r>
        <w:rPr>
          <w:rFonts w:hint="eastAsia"/>
          <w:b w:val="0"/>
          <w:color w:val="000000" w:themeColor="text1"/>
        </w:rPr>
        <w:t>章  持续释放消费潜力</w:t>
      </w:r>
      <w:bookmarkEnd w:id="265"/>
      <w:bookmarkEnd w:id="266"/>
      <w:bookmarkEnd w:id="267"/>
      <w:bookmarkEnd w:id="268"/>
      <w:bookmarkEnd w:id="269"/>
      <w:bookmarkEnd w:id="270"/>
    </w:p>
    <w:p>
      <w:pPr>
        <w:widowControl/>
        <w:spacing w:line="580" w:lineRule="exact"/>
        <w:ind w:firstLine="640"/>
        <w:rPr>
          <w:rFonts w:ascii="仿宋_GB2312" w:hAnsi="仿宋_GB2312" w:eastAsia="仿宋_GB2312"/>
          <w:color w:val="000000" w:themeColor="text1"/>
          <w:kern w:val="0"/>
        </w:rPr>
      </w:pPr>
      <w:bookmarkStart w:id="271" w:name="_Toc57195696"/>
      <w:bookmarkStart w:id="272" w:name="_Toc57194235"/>
      <w:bookmarkStart w:id="273" w:name="_Toc57612826"/>
    </w:p>
    <w:p>
      <w:pPr>
        <w:widowControl/>
        <w:spacing w:line="580" w:lineRule="exact"/>
        <w:ind w:firstLine="640"/>
        <w:rPr>
          <w:rFonts w:ascii="仿宋_GB2312" w:hAnsi="仿宋_GB2312" w:eastAsia="仿宋_GB2312"/>
          <w:color w:val="000000" w:themeColor="text1"/>
          <w:kern w:val="0"/>
        </w:rPr>
      </w:pPr>
      <w:r>
        <w:rPr>
          <w:rFonts w:hint="eastAsia" w:ascii="仿宋_GB2312" w:hAnsi="仿宋_GB2312" w:eastAsia="仿宋_GB2312"/>
          <w:color w:val="000000" w:themeColor="text1"/>
          <w:kern w:val="0"/>
        </w:rPr>
        <w:t>增强</w:t>
      </w:r>
      <w:r>
        <w:rPr>
          <w:rFonts w:ascii="仿宋_GB2312" w:hAnsi="仿宋_GB2312" w:eastAsia="仿宋_GB2312"/>
          <w:color w:val="000000" w:themeColor="text1"/>
          <w:kern w:val="0"/>
        </w:rPr>
        <w:t>消费对经济发展的基础性作用，</w:t>
      </w:r>
      <w:r>
        <w:rPr>
          <w:rFonts w:hint="eastAsia" w:ascii="仿宋_GB2312" w:hAnsi="仿宋_GB2312" w:eastAsia="仿宋_GB2312"/>
          <w:color w:val="000000" w:themeColor="text1"/>
          <w:kern w:val="0"/>
        </w:rPr>
        <w:t>顺应消费升级趋势，提高</w:t>
      </w:r>
      <w:r>
        <w:rPr>
          <w:rFonts w:ascii="仿宋_GB2312" w:hAnsi="仿宋_GB2312" w:eastAsia="仿宋_GB2312"/>
          <w:color w:val="000000" w:themeColor="text1"/>
          <w:kern w:val="0"/>
        </w:rPr>
        <w:t>供给质量和</w:t>
      </w:r>
      <w:r>
        <w:rPr>
          <w:rFonts w:hint="eastAsia" w:ascii="仿宋_GB2312" w:hAnsi="仿宋_GB2312" w:eastAsia="仿宋_GB2312"/>
          <w:color w:val="000000" w:themeColor="text1"/>
          <w:kern w:val="0"/>
        </w:rPr>
        <w:t>效率</w:t>
      </w:r>
      <w:r>
        <w:rPr>
          <w:rFonts w:ascii="仿宋_GB2312" w:hAnsi="仿宋_GB2312" w:eastAsia="仿宋_GB2312"/>
          <w:color w:val="000000" w:themeColor="text1"/>
          <w:kern w:val="0"/>
        </w:rPr>
        <w:t>，</w:t>
      </w:r>
      <w:r>
        <w:rPr>
          <w:rFonts w:hint="eastAsia" w:ascii="仿宋_GB2312" w:hAnsi="仿宋_GB2312" w:eastAsia="仿宋_GB2312"/>
          <w:color w:val="000000" w:themeColor="text1"/>
          <w:kern w:val="0"/>
        </w:rPr>
        <w:t>推动消费向体验化、品质化和数字化方向提档升级，建设中部消费中心城市。</w:t>
      </w:r>
    </w:p>
    <w:p>
      <w:pPr>
        <w:pStyle w:val="31"/>
        <w:widowControl/>
        <w:autoSpaceDN/>
        <w:spacing w:line="580" w:lineRule="exact"/>
        <w:ind w:firstLine="640"/>
      </w:pPr>
    </w:p>
    <w:p>
      <w:pPr>
        <w:pStyle w:val="74"/>
        <w:widowControl/>
        <w:adjustRightInd/>
        <w:snapToGrid/>
        <w:spacing w:line="580" w:lineRule="exact"/>
        <w:rPr>
          <w:rFonts w:ascii="楷体_GB2312" w:eastAsia="楷体_GB2312"/>
          <w:color w:val="000000" w:themeColor="text1"/>
        </w:rPr>
      </w:pPr>
      <w:bookmarkStart w:id="274" w:name="_Toc31500"/>
      <w:bookmarkStart w:id="275" w:name="_Toc16584"/>
      <w:bookmarkStart w:id="276" w:name="_Toc64542145"/>
      <w:r>
        <w:rPr>
          <w:rFonts w:hint="eastAsia" w:ascii="楷体_GB2312" w:eastAsia="楷体_GB2312"/>
          <w:color w:val="000000" w:themeColor="text1"/>
        </w:rPr>
        <w:t>第一节  促进消费提档升级</w:t>
      </w:r>
      <w:bookmarkEnd w:id="271"/>
      <w:bookmarkEnd w:id="272"/>
      <w:bookmarkEnd w:id="273"/>
      <w:bookmarkEnd w:id="274"/>
      <w:bookmarkEnd w:id="275"/>
      <w:bookmarkEnd w:id="276"/>
    </w:p>
    <w:p>
      <w:pPr>
        <w:widowControl/>
        <w:spacing w:line="580" w:lineRule="exact"/>
        <w:ind w:firstLine="640"/>
        <w:rPr>
          <w:rFonts w:ascii="仿宋_GB2312" w:hAnsi="仿宋_GB2312" w:eastAsia="仿宋_GB2312"/>
          <w:color w:val="000000" w:themeColor="text1"/>
          <w:kern w:val="0"/>
        </w:rPr>
      </w:pPr>
      <w:bookmarkStart w:id="277" w:name="_Toc57195697"/>
      <w:bookmarkStart w:id="278" w:name="_Toc57612827"/>
      <w:bookmarkStart w:id="279" w:name="_Toc57194236"/>
    </w:p>
    <w:p>
      <w:pPr>
        <w:widowControl/>
        <w:spacing w:line="580" w:lineRule="exact"/>
        <w:ind w:firstLine="640"/>
        <w:rPr>
          <w:rFonts w:ascii="仿宋_GB2312" w:hAnsi="仿宋_GB2312" w:eastAsia="仿宋_GB2312"/>
          <w:color w:val="000000" w:themeColor="text1"/>
          <w:kern w:val="0"/>
        </w:rPr>
      </w:pPr>
      <w:r>
        <w:rPr>
          <w:rFonts w:hint="eastAsia" w:ascii="仿宋_GB2312" w:hAnsi="仿宋_GB2312" w:eastAsia="仿宋_GB2312"/>
          <w:color w:val="000000" w:themeColor="text1"/>
          <w:kern w:val="0"/>
        </w:rPr>
        <w:t>实施重点商圈品质提升行动，加快推进特色街区改造提档，引进一批国内外知名品牌首店、旗舰店、体验店。实施名品、名店、名街联动，扩大城市时尚消费的辐射力、影响力，打造中部消费之都。整合南昌文化、旅游、体育等优质特色资源，培育“购物+美食+旅游+休闲+娱乐”一体化复合型消费链条，打造独具魅力的南昌消费IP。发挥枢纽优势，构建以南昌为中心的环鄱阳湖遗产群，联动环太湖遗产群、环徽州遗产群，合力打造浙皖赣世界级休闲区。积极开展标准化体系建设，在电子信息、中医药、新材料、绿色农产品等领域，培育一批标准“领跑者”，开展服务业标准准入制试点。</w:t>
      </w:r>
    </w:p>
    <w:p>
      <w:pPr>
        <w:pStyle w:val="2"/>
        <w:widowControl/>
        <w:spacing w:after="0" w:line="580" w:lineRule="exact"/>
        <w:ind w:firstLine="320"/>
      </w:pPr>
    </w:p>
    <w:p>
      <w:pPr>
        <w:pStyle w:val="74"/>
        <w:adjustRightInd/>
        <w:snapToGrid/>
        <w:spacing w:line="580" w:lineRule="exact"/>
        <w:rPr>
          <w:rFonts w:ascii="楷体_GB2312" w:eastAsia="楷体_GB2312"/>
          <w:color w:val="000000" w:themeColor="text1"/>
        </w:rPr>
      </w:pPr>
      <w:bookmarkStart w:id="280" w:name="_Toc64542146"/>
      <w:bookmarkStart w:id="281" w:name="_Toc1806"/>
      <w:bookmarkStart w:id="282" w:name="_Toc26791"/>
      <w:r>
        <w:rPr>
          <w:rFonts w:hint="eastAsia" w:ascii="楷体_GB2312" w:eastAsia="楷体_GB2312"/>
          <w:color w:val="000000" w:themeColor="text1"/>
        </w:rPr>
        <w:t>第二节  激发消费需求和潜力</w:t>
      </w:r>
      <w:bookmarkEnd w:id="277"/>
      <w:bookmarkEnd w:id="278"/>
      <w:bookmarkEnd w:id="279"/>
      <w:bookmarkEnd w:id="280"/>
      <w:bookmarkEnd w:id="281"/>
      <w:bookmarkEnd w:id="282"/>
    </w:p>
    <w:p>
      <w:pPr>
        <w:spacing w:line="580" w:lineRule="exact"/>
        <w:ind w:firstLine="640"/>
        <w:rPr>
          <w:rFonts w:ascii="仿宋_GB2312" w:hAnsi="仿宋_GB2312" w:eastAsia="仿宋_GB2312"/>
          <w:color w:val="000000" w:themeColor="text1"/>
          <w:kern w:val="0"/>
        </w:rPr>
      </w:pPr>
      <w:bookmarkStart w:id="283" w:name="_Toc57194237"/>
      <w:bookmarkStart w:id="284" w:name="_Toc57195698"/>
      <w:bookmarkStart w:id="285" w:name="_Toc57612828"/>
    </w:p>
    <w:p>
      <w:pPr>
        <w:spacing w:line="580" w:lineRule="exact"/>
        <w:ind w:firstLine="640"/>
        <w:rPr>
          <w:rFonts w:ascii="仿宋_GB2312" w:hAnsi="仿宋_GB2312" w:eastAsia="仿宋_GB2312"/>
          <w:color w:val="000000" w:themeColor="text1"/>
          <w:kern w:val="0"/>
        </w:rPr>
      </w:pPr>
      <w:r>
        <w:rPr>
          <w:rFonts w:hint="eastAsia" w:ascii="仿宋_GB2312" w:hAnsi="仿宋_GB2312" w:eastAsia="仿宋_GB2312"/>
          <w:color w:val="000000" w:themeColor="text1"/>
          <w:kern w:val="0"/>
        </w:rPr>
        <w:t>提档升级实物消费，推动汽车等消费品由购买管理向使用管理转变，促进住房消费健康发展。顺应年轻人消费需求，实施新兴消费高质量发展行动，促进数字消费、绿色消费、智能消费等新兴消费。鼓励消费金融创新，支持发展消费信贷。促进传统消费推陈出新，着力调整商贸、餐饮、娱乐等传统消费领域的产品结构，大力开发精品化、个性化消费产品。打造享誉国内的旅游目的地，形成“南昌旅游”的品牌效应。鼓励商贸流通企业渠道下沉乡村，引导优质商品和服务向农村延伸，挖掘农村消费潜力。全面建立重点消费品废旧回收循环利用体系，鼓励消费更新迭代。落实带薪休假制度，探索2.5天弹性休假制，扩大节假日消费。全面开展国家体育消费试点，满足人民体育消费需求。</w:t>
      </w:r>
    </w:p>
    <w:p>
      <w:pPr>
        <w:pStyle w:val="2"/>
        <w:spacing w:after="0" w:line="580" w:lineRule="exact"/>
        <w:ind w:firstLine="320"/>
      </w:pPr>
    </w:p>
    <w:p>
      <w:pPr>
        <w:pStyle w:val="74"/>
        <w:adjustRightInd/>
        <w:snapToGrid/>
        <w:spacing w:line="580" w:lineRule="exact"/>
        <w:rPr>
          <w:rFonts w:ascii="楷体_GB2312" w:eastAsia="楷体_GB2312"/>
          <w:color w:val="000000" w:themeColor="text1"/>
        </w:rPr>
      </w:pPr>
      <w:bookmarkStart w:id="286" w:name="_Toc5201"/>
      <w:bookmarkStart w:id="287" w:name="_Toc64542147"/>
      <w:bookmarkStart w:id="288" w:name="_Toc13039"/>
      <w:r>
        <w:rPr>
          <w:rFonts w:hint="eastAsia" w:ascii="楷体_GB2312" w:eastAsia="楷体_GB2312"/>
          <w:color w:val="000000" w:themeColor="text1"/>
        </w:rPr>
        <w:t>第三节  营造放心消费环境</w:t>
      </w:r>
      <w:bookmarkEnd w:id="283"/>
      <w:bookmarkEnd w:id="284"/>
      <w:bookmarkEnd w:id="285"/>
      <w:bookmarkEnd w:id="286"/>
      <w:bookmarkEnd w:id="287"/>
      <w:bookmarkEnd w:id="288"/>
    </w:p>
    <w:p>
      <w:pPr>
        <w:pStyle w:val="59"/>
        <w:widowControl w:val="0"/>
        <w:adjustRightInd/>
        <w:snapToGrid/>
        <w:spacing w:line="580" w:lineRule="exact"/>
        <w:ind w:firstLine="640"/>
        <w:rPr>
          <w:rFonts w:cstheme="minorBidi"/>
          <w:color w:val="000000" w:themeColor="text1"/>
          <w:szCs w:val="24"/>
        </w:rPr>
      </w:pPr>
    </w:p>
    <w:p>
      <w:pPr>
        <w:pStyle w:val="59"/>
        <w:widowControl w:val="0"/>
        <w:adjustRightInd/>
        <w:snapToGrid/>
        <w:spacing w:line="580" w:lineRule="exact"/>
        <w:ind w:firstLine="640"/>
        <w:rPr>
          <w:rFonts w:cstheme="minorBidi"/>
          <w:color w:val="000000" w:themeColor="text1"/>
          <w:szCs w:val="24"/>
        </w:rPr>
      </w:pPr>
      <w:r>
        <w:rPr>
          <w:rFonts w:hint="eastAsia" w:cstheme="minorBidi"/>
          <w:color w:val="000000" w:themeColor="text1"/>
          <w:szCs w:val="24"/>
        </w:rPr>
        <w:t>开展“消费在洪城”“放心消费在南昌”系列公益宣传，完善城乡商业网点布局，构建高效配送网络体系，降低流通成本。规范发展“地摊经济”，建立健全有利于促进消费的城市管理等配套政策体系。加强日常消费领域监管，规范电商、微商等新消费领域经营行为，建立适应多样化、个性化消费需求的维权监管新模式。强化消费者权益保护，畅通12315投诉举报渠道。健全特定消费领域规章制度，完善快捷消费纠纷调解援助等机制以及个人信息保护、消费后评价等制度。</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1" w:type="dxa"/>
            <w:vAlign w:val="center"/>
          </w:tcPr>
          <w:p>
            <w:pPr>
              <w:pStyle w:val="52"/>
              <w:numPr>
                <w:ilvl w:val="0"/>
                <w:numId w:val="0"/>
              </w:numPr>
              <w:spacing w:after="0" w:line="360" w:lineRule="exact"/>
              <w:jc w:val="center"/>
              <w:rPr>
                <w:b/>
                <w:color w:val="000000" w:themeColor="text1"/>
                <w:sz w:val="28"/>
                <w:szCs w:val="28"/>
              </w:rPr>
            </w:pPr>
            <w:r>
              <w:rPr>
                <w:rFonts w:hint="eastAsia" w:ascii="黑体" w:hAnsi="黑体" w:eastAsia="黑体" w:cs="黑体"/>
                <w:bCs/>
                <w:color w:val="000000" w:themeColor="text1"/>
                <w:sz w:val="28"/>
                <w:szCs w:val="28"/>
              </w:rPr>
              <w:t>专栏12：消费中心城市建设重点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2" w:hRule="atLeast"/>
          <w:jc w:val="center"/>
        </w:trPr>
        <w:tc>
          <w:tcPr>
            <w:tcW w:w="9071" w:type="dxa"/>
          </w:tcPr>
          <w:p>
            <w:pPr>
              <w:spacing w:line="380" w:lineRule="exact"/>
              <w:ind w:firstLine="482"/>
              <w:rPr>
                <w:rFonts w:ascii="仿宋_GB2312" w:eastAsia="仿宋_GB2312"/>
                <w:b/>
                <w:bCs/>
                <w:color w:val="000000" w:themeColor="text1"/>
                <w:sz w:val="24"/>
              </w:rPr>
            </w:pPr>
            <w:r>
              <w:rPr>
                <w:rFonts w:hint="eastAsia" w:ascii="仿宋_GB2312" w:eastAsia="仿宋_GB2312"/>
                <w:b/>
                <w:bCs/>
                <w:color w:val="000000" w:themeColor="text1"/>
                <w:sz w:val="24"/>
              </w:rPr>
              <w:t>（一）重点商圈品质提升行动</w:t>
            </w:r>
          </w:p>
          <w:p>
            <w:pPr>
              <w:spacing w:line="380" w:lineRule="exact"/>
              <w:ind w:firstLine="480"/>
              <w:rPr>
                <w:rFonts w:eastAsia="仿宋_GB2312"/>
              </w:rPr>
            </w:pPr>
            <w:r>
              <w:rPr>
                <w:rFonts w:hint="eastAsia" w:ascii="仿宋_GB2312" w:eastAsia="仿宋_GB2312"/>
                <w:color w:val="000000" w:themeColor="text1"/>
                <w:sz w:val="24"/>
              </w:rPr>
              <w:t>加快“1+4”商圈功能提升，构建“中字型”商圈布局，规划打造3个市级商业中心、12个区级商业中心、3个县级商业中心。增强“万寿宫+滕王阁+绳金塔”核心商圈文化内涵；扩展八一广场+中山路商圈重点综合服务能力；提升红谷滩时尚商圈国际元素，打造高端时尚消费中心；完善西湖区洪城商圈功能配套和服务品质。</w:t>
            </w:r>
          </w:p>
          <w:p>
            <w:pPr>
              <w:spacing w:line="380" w:lineRule="exact"/>
              <w:ind w:firstLine="482"/>
              <w:rPr>
                <w:rFonts w:ascii="仿宋_GB2312" w:eastAsia="仿宋_GB2312"/>
                <w:b/>
                <w:bCs/>
                <w:color w:val="000000" w:themeColor="text1"/>
                <w:sz w:val="24"/>
              </w:rPr>
            </w:pPr>
            <w:r>
              <w:rPr>
                <w:rFonts w:hint="eastAsia" w:ascii="仿宋_GB2312" w:eastAsia="仿宋_GB2312"/>
                <w:b/>
                <w:bCs/>
                <w:color w:val="000000" w:themeColor="text1"/>
                <w:sz w:val="24"/>
              </w:rPr>
              <w:t>（二）商业步行街改造提档行动</w:t>
            </w:r>
          </w:p>
          <w:p>
            <w:pPr>
              <w:spacing w:line="380" w:lineRule="exact"/>
              <w:ind w:firstLine="480"/>
              <w:rPr>
                <w:rFonts w:ascii="仿宋_GB2312" w:eastAsia="仿宋_GB2312"/>
                <w:color w:val="000000" w:themeColor="text1"/>
                <w:sz w:val="24"/>
              </w:rPr>
            </w:pPr>
            <w:r>
              <w:rPr>
                <w:rFonts w:hint="eastAsia" w:ascii="仿宋_GB2312" w:eastAsia="仿宋_GB2312"/>
                <w:color w:val="000000" w:themeColor="text1"/>
                <w:sz w:val="24"/>
              </w:rPr>
              <w:t>加快胜利路步行街、福州路酒吧街区、万寿宫历史文化街区、绳金塔商业街、699艺术街区、青湖欢乐街、欧罗巴商业街、绿地卢塞恩商业街等改造提升；全面提升消费体验，完善街区公共服务设施，引入新业态，打造智慧街区。到2025年，力争创建1条国家级试点步行街。</w:t>
            </w:r>
          </w:p>
          <w:p>
            <w:pPr>
              <w:spacing w:line="380" w:lineRule="exact"/>
              <w:ind w:firstLine="482"/>
              <w:rPr>
                <w:rFonts w:ascii="仿宋_GB2312" w:eastAsia="仿宋_GB2312"/>
                <w:color w:val="000000" w:themeColor="text1"/>
                <w:sz w:val="24"/>
              </w:rPr>
            </w:pPr>
            <w:r>
              <w:rPr>
                <w:rFonts w:hint="eastAsia" w:ascii="仿宋_GB2312" w:eastAsia="仿宋_GB2312"/>
                <w:b/>
                <w:bCs/>
                <w:color w:val="000000" w:themeColor="text1"/>
                <w:sz w:val="24"/>
              </w:rPr>
              <w:t>（三）专业市场综合改造升级行动</w:t>
            </w:r>
          </w:p>
          <w:p>
            <w:pPr>
              <w:spacing w:line="380" w:lineRule="exact"/>
              <w:ind w:firstLine="480"/>
              <w:rPr>
                <w:rFonts w:ascii="仿宋_GB2312" w:eastAsia="仿宋_GB2312"/>
                <w:b/>
                <w:bCs/>
                <w:color w:val="000000" w:themeColor="text1"/>
                <w:sz w:val="24"/>
              </w:rPr>
            </w:pPr>
            <w:r>
              <w:rPr>
                <w:rFonts w:hint="eastAsia" w:ascii="仿宋_GB2312" w:eastAsia="仿宋_GB2312"/>
                <w:color w:val="000000" w:themeColor="text1"/>
                <w:sz w:val="24"/>
              </w:rPr>
              <w:t>按照资源整合、业态提升、功能创新原则，重点加强对运通汽配市场、京东花鸟大市场等10个市场的规范整治；推动华东商</w:t>
            </w:r>
            <w:r>
              <w:rPr>
                <w:rFonts w:hint="eastAsia" w:ascii="仿宋_GB2312" w:eastAsia="仿宋_GB2312"/>
                <w:bCs/>
                <w:color w:val="000000" w:themeColor="text1"/>
                <w:kern w:val="0"/>
                <w:sz w:val="24"/>
              </w:rPr>
              <w:t>贸城、省装潢建材大市场等4个市场向国际化、展贸化、信息化转型升级；支持市建材大市场、阳光灯具市场等3个市场转营发展；引导水产品综合批发市场、肉食品交易批发市场、深圳农产品批产市场、废旧钢材交易市场等4个专业市场进行异地搬迁。</w:t>
            </w:r>
          </w:p>
          <w:p>
            <w:pPr>
              <w:spacing w:line="380" w:lineRule="exact"/>
              <w:ind w:firstLine="482"/>
              <w:rPr>
                <w:rFonts w:ascii="仿宋_GB2312" w:eastAsia="仿宋_GB2312"/>
                <w:b/>
                <w:bCs/>
                <w:color w:val="000000" w:themeColor="text1"/>
                <w:sz w:val="24"/>
              </w:rPr>
            </w:pPr>
            <w:r>
              <w:rPr>
                <w:rFonts w:hint="eastAsia" w:ascii="仿宋_GB2312" w:eastAsia="仿宋_GB2312"/>
                <w:b/>
                <w:bCs/>
                <w:color w:val="000000" w:themeColor="text1"/>
                <w:sz w:val="24"/>
              </w:rPr>
              <w:t>（四）社区商业设施便利化行动</w:t>
            </w:r>
          </w:p>
          <w:p>
            <w:pPr>
              <w:spacing w:line="380" w:lineRule="exact"/>
              <w:ind w:firstLine="480"/>
              <w:rPr>
                <w:rFonts w:ascii="仿宋_GB2312" w:eastAsia="仿宋_GB2312"/>
                <w:color w:val="000000" w:themeColor="text1"/>
                <w:sz w:val="24"/>
              </w:rPr>
            </w:pPr>
            <w:r>
              <w:rPr>
                <w:rFonts w:hint="eastAsia" w:ascii="仿宋_GB2312" w:eastAsia="仿宋_GB2312"/>
                <w:color w:val="000000" w:themeColor="text1"/>
                <w:sz w:val="24"/>
              </w:rPr>
              <w:t>以“居民出门步行5分钟到达便利店，10分钟到达超市、餐饮店，驱车15分钟到达购物中心”为目标，布局建设45个社区（卫星镇）商业中心。引进7-11、罗森等国际知名便利店品牌，推进100个无人便利店、150个社区生鲜便利店建设。</w:t>
            </w:r>
          </w:p>
          <w:p>
            <w:pPr>
              <w:spacing w:line="360" w:lineRule="exact"/>
              <w:ind w:firstLine="482"/>
              <w:rPr>
                <w:rFonts w:ascii="仿宋_GB2312" w:eastAsia="仿宋_GB2312"/>
                <w:b/>
                <w:bCs/>
                <w:color w:val="000000" w:themeColor="text1"/>
                <w:sz w:val="24"/>
              </w:rPr>
            </w:pPr>
            <w:r>
              <w:rPr>
                <w:rFonts w:hint="eastAsia" w:ascii="仿宋_GB2312" w:eastAsia="仿宋_GB2312"/>
                <w:b/>
                <w:bCs/>
                <w:color w:val="000000" w:themeColor="text1"/>
                <w:sz w:val="24"/>
              </w:rPr>
              <w:t>（五）夜间经济培育行动</w:t>
            </w:r>
          </w:p>
          <w:p>
            <w:pPr>
              <w:spacing w:line="360" w:lineRule="exact"/>
              <w:ind w:firstLine="480"/>
              <w:rPr>
                <w:rFonts w:ascii="仿宋_GB2312" w:eastAsia="仿宋_GB2312"/>
                <w:color w:val="000000" w:themeColor="text1"/>
                <w:sz w:val="24"/>
              </w:rPr>
            </w:pPr>
            <w:r>
              <w:rPr>
                <w:rFonts w:hint="eastAsia" w:ascii="仿宋_GB2312" w:eastAsia="仿宋_GB2312"/>
                <w:color w:val="000000" w:themeColor="text1"/>
                <w:sz w:val="24"/>
              </w:rPr>
              <w:t>打造“观南昌美景、品南昌美食、逛洪城商圈、赏豫章文化”夜间消费街区，重点推进东湖区福州路酒吧夜市街、夜东湖百花洲文旅夜市街区、西湖区潮阳里夜市、红谷滩区万达金街和经开区紫荆夜市5条市级高品位夜市街区建设。培育建设各类深夜食堂120家。全面提升已开街的20条夜市街区品质，不断优化周边服务设施。升级打造滕王阁夜游演艺项目，发展“夜宴、夜游、夜购、夜演、夜读、夜宿、夜练”新业态，建设高人气“网红”打卡地。</w:t>
            </w:r>
          </w:p>
          <w:p>
            <w:pPr>
              <w:spacing w:line="360" w:lineRule="exact"/>
              <w:ind w:firstLine="482"/>
              <w:rPr>
                <w:rFonts w:ascii="仿宋_GB2312" w:eastAsia="仿宋_GB2312"/>
                <w:b/>
                <w:bCs/>
                <w:color w:val="000000" w:themeColor="text1"/>
                <w:sz w:val="24"/>
              </w:rPr>
            </w:pPr>
            <w:r>
              <w:rPr>
                <w:rFonts w:hint="eastAsia" w:ascii="仿宋_GB2312" w:eastAsia="仿宋_GB2312"/>
                <w:b/>
                <w:bCs/>
                <w:color w:val="000000" w:themeColor="text1"/>
                <w:sz w:val="24"/>
              </w:rPr>
              <w:t>（六）会展名城建设行动</w:t>
            </w:r>
          </w:p>
          <w:p>
            <w:pPr>
              <w:spacing w:line="360" w:lineRule="exact"/>
              <w:ind w:firstLine="480"/>
              <w:rPr>
                <w:rFonts w:ascii="仿宋_GB2312" w:eastAsia="仿宋_GB2312"/>
                <w:color w:val="000000" w:themeColor="text1"/>
                <w:sz w:val="24"/>
              </w:rPr>
            </w:pPr>
            <w:r>
              <w:rPr>
                <w:rFonts w:hint="eastAsia" w:ascii="仿宋_GB2312" w:eastAsia="仿宋_GB2312"/>
                <w:color w:val="000000" w:themeColor="text1"/>
                <w:sz w:val="24"/>
              </w:rPr>
              <w:t>做大做强“产业+会展”项目，做大做强世界VR产业大会（VR/AR产品及应用展览会）、南昌飞行大会、中国通信电子产业博览会、中国绿色食品博览会等会展品牌，积极策划与全市产业发展重点相契合的新能源汽车、生物医药等展览活动。全力申办带动性较强的全国性品牌展会，积极推动世界中医药大会落户南昌。加快“互联网+会展”发展，优化会展流程、强化会展体验。</w:t>
            </w:r>
          </w:p>
          <w:p>
            <w:pPr>
              <w:spacing w:line="360" w:lineRule="exact"/>
              <w:ind w:firstLine="482"/>
              <w:rPr>
                <w:rFonts w:ascii="仿宋_GB2312" w:eastAsia="仿宋_GB2312"/>
                <w:b/>
                <w:bCs/>
                <w:color w:val="000000" w:themeColor="text1"/>
                <w:sz w:val="24"/>
              </w:rPr>
            </w:pPr>
            <w:r>
              <w:rPr>
                <w:rFonts w:hint="eastAsia" w:ascii="仿宋_GB2312" w:eastAsia="仿宋_GB2312"/>
                <w:b/>
                <w:bCs/>
                <w:color w:val="000000" w:themeColor="text1"/>
                <w:sz w:val="24"/>
              </w:rPr>
              <w:t>（七）南昌消费品牌创建行动</w:t>
            </w:r>
          </w:p>
          <w:p>
            <w:pPr>
              <w:spacing w:line="360" w:lineRule="exact"/>
              <w:ind w:firstLine="480"/>
              <w:rPr>
                <w:rFonts w:ascii="仿宋_GB2312" w:hAnsi="仿宋_GB2312" w:eastAsia="仿宋_GB2312"/>
                <w:color w:val="000000" w:themeColor="text1"/>
                <w:kern w:val="0"/>
                <w:sz w:val="24"/>
              </w:rPr>
            </w:pPr>
            <w:r>
              <w:rPr>
                <w:rFonts w:hint="eastAsia" w:ascii="仿宋_GB2312" w:eastAsia="仿宋_GB2312"/>
                <w:color w:val="000000" w:themeColor="text1"/>
                <w:sz w:val="24"/>
              </w:rPr>
              <w:t>引进国际品牌，鼓励本地服务业企业收购、兼并、参股国际品牌。鼓励老字号企业传承创新发展，支持老字号与文化创意等时尚元素结合，开发特色服务，打响万寿宫、绳金塔等一批老字号品牌。鼓励行业协会、权威机构发布重点商业品牌、优质服务商店等各类榜单，建立重点行业领域“优质服务企业名录库”。引导企业参与国际、国家、行业和地方标准制定，鼓励企业和社会组织制定严于国家标准、行业标准的企业标准和团体标准。</w:t>
            </w:r>
          </w:p>
        </w:tc>
      </w:tr>
    </w:tbl>
    <w:p>
      <w:pPr>
        <w:pStyle w:val="14"/>
        <w:spacing w:after="0" w:line="570" w:lineRule="exact"/>
        <w:ind w:left="0" w:leftChars="0" w:firstLine="640"/>
      </w:pPr>
      <w:bookmarkStart w:id="289" w:name="_Toc11156"/>
    </w:p>
    <w:p>
      <w:pPr>
        <w:pStyle w:val="23"/>
        <w:adjustRightInd/>
        <w:snapToGrid/>
        <w:spacing w:line="570" w:lineRule="exact"/>
        <w:rPr>
          <w:b w:val="0"/>
          <w:color w:val="000000" w:themeColor="text1"/>
        </w:rPr>
      </w:pPr>
      <w:bookmarkStart w:id="290" w:name="_Toc2145"/>
      <w:bookmarkStart w:id="291" w:name="_Toc64542148"/>
      <w:r>
        <w:rPr>
          <w:rFonts w:hint="eastAsia"/>
          <w:b w:val="0"/>
          <w:color w:val="000000" w:themeColor="text1"/>
        </w:rPr>
        <w:t>第十七章  全力拓展有效投资空间</w:t>
      </w:r>
      <w:bookmarkEnd w:id="289"/>
      <w:bookmarkEnd w:id="290"/>
      <w:bookmarkEnd w:id="291"/>
    </w:p>
    <w:p>
      <w:pPr>
        <w:spacing w:line="570" w:lineRule="exact"/>
        <w:ind w:firstLine="640"/>
        <w:rPr>
          <w:rFonts w:ascii="仿宋_GB2312" w:hAnsi="仿宋_GB2312" w:eastAsia="仿宋_GB2312"/>
          <w:color w:val="000000" w:themeColor="text1"/>
          <w:kern w:val="0"/>
        </w:rPr>
      </w:pPr>
    </w:p>
    <w:p>
      <w:pPr>
        <w:spacing w:line="570" w:lineRule="exact"/>
        <w:ind w:firstLine="640"/>
        <w:rPr>
          <w:rFonts w:ascii="仿宋_GB2312" w:hAnsi="仿宋_GB2312" w:eastAsia="仿宋_GB2312"/>
          <w:color w:val="000000" w:themeColor="text1"/>
          <w:kern w:val="0"/>
        </w:rPr>
      </w:pPr>
      <w:r>
        <w:rPr>
          <w:rFonts w:hint="eastAsia" w:ascii="仿宋_GB2312" w:hAnsi="仿宋_GB2312" w:eastAsia="仿宋_GB2312"/>
          <w:color w:val="000000" w:themeColor="text1"/>
          <w:kern w:val="0"/>
        </w:rPr>
        <w:t>发挥投资对</w:t>
      </w:r>
      <w:r>
        <w:rPr>
          <w:rFonts w:ascii="仿宋_GB2312" w:hAnsi="仿宋_GB2312" w:eastAsia="仿宋_GB2312"/>
          <w:color w:val="000000" w:themeColor="text1"/>
          <w:kern w:val="0"/>
        </w:rPr>
        <w:t>经济增长</w:t>
      </w:r>
      <w:r>
        <w:rPr>
          <w:rFonts w:hint="eastAsia" w:ascii="仿宋_GB2312" w:hAnsi="仿宋_GB2312" w:eastAsia="仿宋_GB2312"/>
          <w:color w:val="000000" w:themeColor="text1"/>
          <w:kern w:val="0"/>
        </w:rPr>
        <w:t>的关键性作用，扩大有效投资，提高投资的精准性和效率，进一步激发更多社会资本参与投资，拓展有效投资空间。</w:t>
      </w:r>
    </w:p>
    <w:p>
      <w:pPr>
        <w:pStyle w:val="31"/>
        <w:autoSpaceDN/>
        <w:spacing w:line="570" w:lineRule="exact"/>
        <w:ind w:firstLine="640"/>
      </w:pPr>
    </w:p>
    <w:p>
      <w:pPr>
        <w:pStyle w:val="74"/>
        <w:adjustRightInd/>
        <w:snapToGrid/>
        <w:spacing w:line="570" w:lineRule="exact"/>
        <w:rPr>
          <w:rFonts w:ascii="楷体_GB2312" w:eastAsia="楷体_GB2312"/>
          <w:color w:val="000000" w:themeColor="text1"/>
        </w:rPr>
      </w:pPr>
      <w:bookmarkStart w:id="292" w:name="_Toc15675"/>
      <w:bookmarkStart w:id="293" w:name="_Toc64542149"/>
      <w:bookmarkStart w:id="294" w:name="_Toc28663"/>
      <w:r>
        <w:rPr>
          <w:rFonts w:hint="eastAsia" w:ascii="楷体_GB2312" w:eastAsia="楷体_GB2312"/>
          <w:color w:val="000000" w:themeColor="text1"/>
        </w:rPr>
        <w:t>第一节  优化有效投资结构</w:t>
      </w:r>
      <w:bookmarkEnd w:id="292"/>
      <w:bookmarkEnd w:id="293"/>
      <w:bookmarkEnd w:id="294"/>
    </w:p>
    <w:p>
      <w:pPr>
        <w:pStyle w:val="2"/>
        <w:spacing w:after="0" w:line="570" w:lineRule="exact"/>
        <w:ind w:firstLine="640" w:firstLineChars="200"/>
        <w:rPr>
          <w:rFonts w:ascii="仿宋_GB2312" w:hAnsi="仿宋_GB2312" w:eastAsia="仿宋_GB2312"/>
          <w:color w:val="000000" w:themeColor="text1"/>
          <w:kern w:val="0"/>
        </w:rPr>
      </w:pPr>
    </w:p>
    <w:p>
      <w:pPr>
        <w:pStyle w:val="2"/>
        <w:spacing w:after="0" w:line="570" w:lineRule="exact"/>
        <w:ind w:firstLine="640" w:firstLineChars="200"/>
        <w:rPr>
          <w:rFonts w:ascii="仿宋_GB2312" w:hAnsi="仿宋_GB2312" w:eastAsia="仿宋_GB2312"/>
          <w:color w:val="000000" w:themeColor="text1"/>
          <w:kern w:val="0"/>
        </w:rPr>
      </w:pPr>
      <w:r>
        <w:rPr>
          <w:rFonts w:hint="eastAsia" w:ascii="仿宋_GB2312" w:hAnsi="仿宋_GB2312" w:eastAsia="仿宋_GB2312"/>
          <w:color w:val="000000" w:themeColor="text1"/>
          <w:kern w:val="0"/>
        </w:rPr>
        <w:t>发挥有效投资对优化供给结构关键作用，突出战略性投资，精准对接国家战略布局和政策导向，大力推进重大科创平台、综合交通、信息网络、地下综合管廊、开放平台建设、新型城镇化等方面的重大基础投资。</w:t>
      </w:r>
      <w:r>
        <w:rPr>
          <w:rFonts w:ascii="仿宋_GB2312" w:hAnsi="仿宋_GB2312" w:eastAsia="仿宋_GB2312"/>
          <w:color w:val="000000" w:themeColor="text1"/>
          <w:kern w:val="0"/>
        </w:rPr>
        <w:t>突出产业类投资，扩大</w:t>
      </w:r>
      <w:r>
        <w:rPr>
          <w:rFonts w:hint="eastAsia" w:ascii="仿宋_GB2312" w:hAnsi="仿宋_GB2312" w:eastAsia="仿宋_GB2312"/>
          <w:color w:val="000000" w:themeColor="text1"/>
          <w:kern w:val="0"/>
        </w:rPr>
        <w:t>新型基础设施建设</w:t>
      </w:r>
      <w:r>
        <w:rPr>
          <w:rFonts w:ascii="仿宋_GB2312" w:hAnsi="仿宋_GB2312" w:eastAsia="仿宋_GB2312"/>
          <w:color w:val="000000" w:themeColor="text1"/>
          <w:kern w:val="0"/>
        </w:rPr>
        <w:t>和公共平台投资，加大对龙头企业、总部经济、补链强链式企业等的招引和培育力度，推进全市主导产业和战略性新兴产业集群式发展</w:t>
      </w:r>
      <w:r>
        <w:rPr>
          <w:rFonts w:hint="eastAsia" w:ascii="仿宋_GB2312" w:hAnsi="仿宋_GB2312" w:eastAsia="仿宋_GB2312"/>
          <w:color w:val="000000" w:themeColor="text1"/>
          <w:kern w:val="0"/>
        </w:rPr>
        <w:t>。</w:t>
      </w:r>
      <w:r>
        <w:rPr>
          <w:rFonts w:ascii="仿宋_GB2312" w:hAnsi="仿宋_GB2312" w:eastAsia="仿宋_GB2312"/>
          <w:color w:val="000000" w:themeColor="text1"/>
          <w:kern w:val="0"/>
        </w:rPr>
        <w:t>突出民生类投资，加大对完善城市功能、建设美丽乡村、改善社会民生等兜底线、促公平的保障性领域投入。</w:t>
      </w:r>
    </w:p>
    <w:p>
      <w:pPr>
        <w:pStyle w:val="2"/>
        <w:spacing w:after="0" w:line="570" w:lineRule="exact"/>
        <w:ind w:firstLine="640" w:firstLineChars="200"/>
        <w:rPr>
          <w:rFonts w:ascii="仿宋_GB2312" w:hAnsi="仿宋_GB2312" w:eastAsia="仿宋_GB2312"/>
          <w:color w:val="000000" w:themeColor="text1"/>
          <w:kern w:val="0"/>
        </w:rPr>
      </w:pPr>
    </w:p>
    <w:p>
      <w:pPr>
        <w:pStyle w:val="74"/>
        <w:adjustRightInd/>
        <w:snapToGrid/>
        <w:spacing w:line="580" w:lineRule="exact"/>
        <w:rPr>
          <w:rFonts w:ascii="楷体_GB2312" w:eastAsia="楷体_GB2312"/>
        </w:rPr>
      </w:pPr>
      <w:bookmarkStart w:id="295" w:name="_Toc64542150"/>
      <w:bookmarkStart w:id="296" w:name="_Toc14714"/>
      <w:bookmarkStart w:id="297" w:name="_Toc32204"/>
      <w:r>
        <w:rPr>
          <w:rFonts w:hint="eastAsia" w:ascii="楷体_GB2312" w:eastAsia="楷体_GB2312"/>
        </w:rPr>
        <w:t>第二节  提高投资规模效益</w:t>
      </w:r>
      <w:bookmarkEnd w:id="295"/>
      <w:bookmarkEnd w:id="296"/>
      <w:bookmarkEnd w:id="297"/>
    </w:p>
    <w:p>
      <w:pPr>
        <w:pStyle w:val="2"/>
        <w:spacing w:after="0" w:line="580" w:lineRule="exact"/>
        <w:ind w:firstLine="640" w:firstLineChars="200"/>
        <w:rPr>
          <w:rFonts w:ascii="仿宋_GB2312" w:hAnsi="仿宋_GB2312" w:eastAsia="仿宋_GB2312"/>
          <w:color w:val="000000" w:themeColor="text1"/>
          <w:kern w:val="0"/>
        </w:rPr>
      </w:pPr>
    </w:p>
    <w:p>
      <w:pPr>
        <w:pStyle w:val="2"/>
        <w:spacing w:after="0" w:line="580" w:lineRule="exact"/>
        <w:ind w:firstLine="640" w:firstLineChars="200"/>
        <w:rPr>
          <w:rFonts w:ascii="仿宋_GB2312" w:hAnsi="仿宋_GB2312" w:eastAsia="仿宋_GB2312"/>
          <w:color w:val="000000" w:themeColor="text1"/>
          <w:kern w:val="0"/>
        </w:rPr>
      </w:pPr>
      <w:r>
        <w:rPr>
          <w:rFonts w:hint="eastAsia" w:ascii="仿宋_GB2312" w:hAnsi="仿宋_GB2312" w:eastAsia="仿宋_GB2312"/>
          <w:color w:val="000000" w:themeColor="text1"/>
          <w:kern w:val="0"/>
        </w:rPr>
        <w:t>牢固树立招商引资是经济工作生命线的意识，坚持“大项目”带动战略不动摇，按照“在谈项目抓落地、落地项目抓开工、开工项目抓进度、竣工项目抓运行”的要求，坚定不移抓好重大项目。坚持问题导向，按照“要素跟着项目走”“能快则快”的原则，切实解决项目推进难题，营造良好环境。有效完善重大招商引资项目决策推进、协调调度、督查考核机制，常态长效推进重大项目建设。围绕产业、创新、开放、交通、强基、信息化、城镇化、城市功能、生态、文化、民生、改革等十二大领域，加快项目谋划，建立重大项目库，有计划、分步骤实施，有效推动规划落实落地。推动项目实施由粗放型向精细化转变，提高资金使用效率。</w:t>
      </w:r>
    </w:p>
    <w:p>
      <w:pPr>
        <w:pStyle w:val="2"/>
        <w:spacing w:after="0" w:line="580" w:lineRule="exact"/>
        <w:ind w:firstLine="640" w:firstLineChars="200"/>
        <w:rPr>
          <w:rFonts w:ascii="仿宋_GB2312" w:hAnsi="仿宋_GB2312" w:eastAsia="仿宋_GB2312"/>
          <w:color w:val="000000" w:themeColor="text1"/>
          <w:kern w:val="0"/>
        </w:rPr>
      </w:pPr>
    </w:p>
    <w:p>
      <w:pPr>
        <w:pStyle w:val="74"/>
        <w:adjustRightInd/>
        <w:snapToGrid/>
        <w:spacing w:line="580" w:lineRule="exact"/>
        <w:rPr>
          <w:rFonts w:ascii="楷体_GB2312" w:eastAsia="楷体_GB2312"/>
          <w:color w:val="000000" w:themeColor="text1"/>
        </w:rPr>
      </w:pPr>
      <w:bookmarkStart w:id="298" w:name="_Toc14683"/>
      <w:bookmarkStart w:id="299" w:name="_Toc64542151"/>
      <w:bookmarkStart w:id="300" w:name="_Toc25257"/>
    </w:p>
    <w:p>
      <w:pPr>
        <w:pStyle w:val="74"/>
        <w:adjustRightInd/>
        <w:snapToGrid/>
        <w:spacing w:line="580" w:lineRule="exact"/>
        <w:rPr>
          <w:rFonts w:ascii="楷体_GB2312" w:eastAsia="楷体_GB2312"/>
          <w:color w:val="000000" w:themeColor="text1"/>
        </w:rPr>
      </w:pPr>
    </w:p>
    <w:p>
      <w:pPr>
        <w:pStyle w:val="74"/>
        <w:adjustRightInd/>
        <w:snapToGrid/>
        <w:spacing w:line="580" w:lineRule="exact"/>
        <w:rPr>
          <w:rFonts w:ascii="楷体_GB2312" w:eastAsia="楷体_GB2312"/>
          <w:color w:val="000000" w:themeColor="text1"/>
        </w:rPr>
      </w:pPr>
    </w:p>
    <w:p>
      <w:pPr>
        <w:pStyle w:val="74"/>
        <w:adjustRightInd/>
        <w:snapToGrid/>
        <w:spacing w:line="580" w:lineRule="exact"/>
        <w:rPr>
          <w:rFonts w:ascii="楷体_GB2312" w:eastAsia="楷体_GB2312"/>
          <w:color w:val="000000" w:themeColor="text1"/>
        </w:rPr>
      </w:pPr>
      <w:r>
        <w:rPr>
          <w:rFonts w:hint="eastAsia" w:ascii="楷体_GB2312" w:eastAsia="楷体_GB2312"/>
          <w:color w:val="000000" w:themeColor="text1"/>
        </w:rPr>
        <w:t>第三节  建立健全投资内生增长机制</w:t>
      </w:r>
      <w:bookmarkEnd w:id="298"/>
      <w:bookmarkEnd w:id="299"/>
      <w:bookmarkEnd w:id="300"/>
    </w:p>
    <w:p>
      <w:pPr>
        <w:spacing w:line="580" w:lineRule="exact"/>
        <w:ind w:firstLine="640"/>
        <w:rPr>
          <w:rFonts w:ascii="仿宋_GB2312" w:hAnsi="仿宋_GB2312" w:eastAsia="仿宋_GB2312"/>
          <w:color w:val="000000" w:themeColor="text1"/>
          <w:kern w:val="0"/>
        </w:rPr>
      </w:pPr>
    </w:p>
    <w:p>
      <w:pPr>
        <w:spacing w:line="580" w:lineRule="exact"/>
        <w:ind w:firstLine="640"/>
        <w:rPr>
          <w:rFonts w:ascii="仿宋_GB2312" w:hAnsi="仿宋_GB2312" w:eastAsia="仿宋_GB2312"/>
          <w:color w:val="000000" w:themeColor="text1"/>
          <w:kern w:val="0"/>
        </w:rPr>
      </w:pPr>
      <w:r>
        <w:rPr>
          <w:rFonts w:hint="eastAsia" w:ascii="仿宋_GB2312" w:hAnsi="仿宋_GB2312" w:eastAsia="仿宋_GB2312"/>
          <w:color w:val="000000" w:themeColor="text1"/>
          <w:kern w:val="0"/>
        </w:rPr>
        <w:t>推动政府投资由财政拨款向财政投资转型，完善投资决策、管理与监督机制。推进国有控股平台整合，提升资本市场化运作水平，力争打造资产规模超五千亿的“巨无霸”投资平台。加快建立企业投资市场主导、融资渠道丰富畅通、政府服务灵活高效、监管适度科学的新型企业投资管理体制。完善政府和社会资本合作模式，支持更多民间资本投资公共服务、经营性基础设施、市政公用事业、金融服务等领域，进一步激发民间投资活力。</w:t>
      </w:r>
    </w:p>
    <w:p>
      <w:pPr>
        <w:pStyle w:val="31"/>
        <w:spacing w:line="580" w:lineRule="exact"/>
        <w:ind w:firstLine="640"/>
      </w:pPr>
    </w:p>
    <w:p>
      <w:pPr>
        <w:pStyle w:val="23"/>
        <w:adjustRightInd/>
        <w:snapToGrid/>
        <w:spacing w:line="580" w:lineRule="exact"/>
        <w:rPr>
          <w:b w:val="0"/>
          <w:color w:val="000000" w:themeColor="text1"/>
        </w:rPr>
      </w:pPr>
      <w:bookmarkStart w:id="301" w:name="_Toc816"/>
      <w:bookmarkStart w:id="302" w:name="_Toc64542152"/>
      <w:bookmarkStart w:id="303" w:name="_Toc13461"/>
      <w:r>
        <w:rPr>
          <w:rFonts w:hint="eastAsia"/>
          <w:b w:val="0"/>
          <w:color w:val="000000" w:themeColor="text1"/>
        </w:rPr>
        <w:t>第十八章  加快畅通经济循环</w:t>
      </w:r>
      <w:bookmarkEnd w:id="301"/>
      <w:bookmarkEnd w:id="302"/>
      <w:bookmarkEnd w:id="303"/>
    </w:p>
    <w:p>
      <w:pPr>
        <w:spacing w:line="580" w:lineRule="exact"/>
        <w:ind w:firstLine="640"/>
        <w:rPr>
          <w:rFonts w:ascii="仿宋_GB2312" w:hAnsi="仿宋_GB2312" w:eastAsia="仿宋_GB2312"/>
          <w:color w:val="000000" w:themeColor="text1"/>
        </w:rPr>
      </w:pPr>
    </w:p>
    <w:p>
      <w:pPr>
        <w:spacing w:line="580" w:lineRule="exact"/>
        <w:ind w:firstLine="640"/>
        <w:rPr>
          <w:rFonts w:ascii="仿宋_GB2312" w:hAnsi="仿宋_GB2312" w:eastAsia="仿宋_GB2312"/>
          <w:color w:val="000000" w:themeColor="text1"/>
        </w:rPr>
      </w:pPr>
      <w:r>
        <w:rPr>
          <w:rFonts w:hint="eastAsia" w:ascii="仿宋_GB2312" w:hAnsi="仿宋_GB2312" w:eastAsia="仿宋_GB2312"/>
          <w:color w:val="000000" w:themeColor="text1"/>
        </w:rPr>
        <w:t>着力畅通国民经济循环，提升供给质量，集聚高端要素，构建现代流通体系，推动形成全方位全要素、高能级高效率的经济循环格局，加快打造国家现代流通体系重要枢纽。</w:t>
      </w:r>
    </w:p>
    <w:p>
      <w:pPr>
        <w:pStyle w:val="31"/>
        <w:spacing w:line="580" w:lineRule="exact"/>
        <w:ind w:firstLine="640"/>
        <w:rPr>
          <w:rFonts w:ascii="仿宋_GB2312" w:hAnsi="仿宋_GB2312"/>
          <w:color w:val="000000" w:themeColor="text1"/>
        </w:rPr>
      </w:pPr>
    </w:p>
    <w:p>
      <w:pPr>
        <w:pStyle w:val="74"/>
        <w:adjustRightInd/>
        <w:snapToGrid/>
        <w:spacing w:line="580" w:lineRule="exact"/>
        <w:rPr>
          <w:rFonts w:ascii="楷体_GB2312" w:eastAsia="楷体_GB2312"/>
          <w:color w:val="000000" w:themeColor="text1"/>
        </w:rPr>
      </w:pPr>
      <w:bookmarkStart w:id="304" w:name="_Toc27961"/>
      <w:bookmarkStart w:id="305" w:name="_Toc8378"/>
      <w:bookmarkStart w:id="306" w:name="_Toc64542153"/>
      <w:bookmarkStart w:id="307" w:name="_Toc57194254"/>
      <w:bookmarkStart w:id="308" w:name="_Toc57612845"/>
      <w:bookmarkStart w:id="309" w:name="_Toc57195690"/>
      <w:bookmarkStart w:id="310" w:name="_Toc57612820"/>
      <w:bookmarkStart w:id="311" w:name="_Toc57201716"/>
      <w:bookmarkStart w:id="312" w:name="_Toc57195715"/>
      <w:bookmarkStart w:id="313" w:name="_Toc57194229"/>
      <w:r>
        <w:rPr>
          <w:rFonts w:hint="eastAsia" w:ascii="楷体_GB2312" w:eastAsia="楷体_GB2312"/>
          <w:color w:val="000000" w:themeColor="text1"/>
        </w:rPr>
        <w:t>第一节  推进南昌产品行销天下</w:t>
      </w:r>
      <w:bookmarkEnd w:id="304"/>
      <w:bookmarkEnd w:id="305"/>
      <w:bookmarkEnd w:id="306"/>
    </w:p>
    <w:p>
      <w:pPr>
        <w:spacing w:line="580" w:lineRule="exact"/>
        <w:ind w:firstLine="632"/>
        <w:rPr>
          <w:rFonts w:ascii="仿宋_GB2312" w:hAnsi="仿宋_GB2312" w:eastAsia="仿宋_GB2312"/>
          <w:color w:val="000000" w:themeColor="text1"/>
          <w:spacing w:val="-2"/>
        </w:rPr>
      </w:pPr>
    </w:p>
    <w:p>
      <w:pPr>
        <w:spacing w:line="580" w:lineRule="exact"/>
        <w:ind w:firstLine="632"/>
        <w:rPr>
          <w:rFonts w:ascii="仿宋_GB2312" w:hAnsi="仿宋_GB2312" w:eastAsia="仿宋_GB2312"/>
          <w:color w:val="000000" w:themeColor="text1"/>
          <w:spacing w:val="-2"/>
        </w:rPr>
      </w:pPr>
      <w:r>
        <w:rPr>
          <w:rFonts w:hint="eastAsia" w:ascii="仿宋_GB2312" w:hAnsi="仿宋_GB2312" w:eastAsia="仿宋_GB2312"/>
          <w:color w:val="000000" w:themeColor="text1"/>
          <w:spacing w:val="-2"/>
        </w:rPr>
        <w:t>深入开展质量强市、品牌兴市行动，实施产品质量提升工程，构建工业设计、用材、流程管控、组装集成全过程服务体系，加快内外销产品“同线同标同质”，实施区域品牌塑造工程，维护品牌权益，打响“南昌制造”“南昌服务”“南昌消费”品牌。实施企业质量信用信息公开、质量黑名单和缺陷产品主动召回制度，引导支持企业推进产品、技术、品牌、管理和商业模式创新，提升内需供给能力和质量。积极开展标准创建，建立政府主导制定标准与市场主体自主制定标准协同发展的标准体系，建设一批区域性行业性标准中心和检测中心。加大“品字标”培育和宣传力度</w:t>
      </w:r>
      <w:r>
        <w:rPr>
          <w:rFonts w:ascii="仿宋_GB2312" w:hAnsi="仿宋_GB2312" w:eastAsia="仿宋_GB2312"/>
          <w:color w:val="000000" w:themeColor="text1"/>
          <w:spacing w:val="-2"/>
        </w:rPr>
        <w:t>。</w:t>
      </w:r>
      <w:r>
        <w:rPr>
          <w:rFonts w:hint="eastAsia" w:ascii="仿宋_GB2312" w:hAnsi="仿宋_GB2312" w:eastAsia="仿宋_GB2312"/>
          <w:color w:val="000000" w:themeColor="text1"/>
          <w:spacing w:val="-2"/>
        </w:rPr>
        <w:t>建立健全“南昌货全国行”营销网络，开发“好产品·南昌造”系列品牌，举办南昌好产品网上团购节等系列活动。</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314" w:name="_Toc19518"/>
      <w:bookmarkStart w:id="315" w:name="_Toc11448"/>
      <w:bookmarkStart w:id="316" w:name="_Toc64542154"/>
      <w:r>
        <w:rPr>
          <w:rFonts w:hint="eastAsia" w:ascii="楷体_GB2312" w:eastAsia="楷体_GB2312"/>
          <w:color w:val="000000" w:themeColor="text1"/>
        </w:rPr>
        <w:t>第二节  加快集聚高端要素</w:t>
      </w:r>
      <w:bookmarkEnd w:id="314"/>
      <w:bookmarkEnd w:id="315"/>
      <w:bookmarkEnd w:id="316"/>
    </w:p>
    <w:p>
      <w:pPr>
        <w:spacing w:line="580" w:lineRule="exact"/>
        <w:ind w:firstLine="640"/>
        <w:rPr>
          <w:rFonts w:ascii="仿宋_GB2312" w:hAnsi="仿宋_GB2312" w:eastAsia="仿宋_GB2312"/>
          <w:color w:val="000000" w:themeColor="text1"/>
        </w:rPr>
      </w:pPr>
    </w:p>
    <w:p>
      <w:pPr>
        <w:spacing w:line="580" w:lineRule="exact"/>
        <w:ind w:firstLine="640"/>
        <w:rPr>
          <w:rFonts w:ascii="仿宋_GB2312" w:hAnsi="仿宋_GB2312" w:eastAsia="仿宋_GB2312"/>
          <w:color w:val="000000" w:themeColor="text1"/>
        </w:rPr>
      </w:pPr>
      <w:r>
        <w:rPr>
          <w:rFonts w:hint="eastAsia" w:ascii="仿宋_GB2312" w:hAnsi="仿宋_GB2312" w:eastAsia="仿宋_GB2312"/>
          <w:color w:val="000000" w:themeColor="text1"/>
        </w:rPr>
        <w:t>聚焦增强高端要素集聚和配置功能，着力优环境、促联动、提能级，努力打造中部地区高端资源要素配置功能高地。推进高端人才要素集聚，加快从依靠中低端人才为主向中高端人才为主转变。推进先进产业要素集聚，加快从低端产品为主向中高端产业为主转变，提升产业创新力竞争力。推进优势资源要素集聚，增强产业链供应链稳定性和抗风险能力。推进资本要素集聚，加快从主要依靠间接融资向更多依靠直接融资转变，加快上市从国内市场融资向国外市场融资转变，以金融体系创新支持实体经济升级。推进市场组织方式转型，加快从有形市场为主向线上线下市场为主转变，支持企业利用线上展会、电商平台等渠道开展线上推介、在线洽谈和线上签约等。推动产业链供应链战略性整合，精准打通供应链堵点、断点，防范风险点，稳定海外高端核心零部件供应，拓展国内替代品供应，维护产业安全。</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317" w:name="_Toc14556"/>
      <w:bookmarkStart w:id="318" w:name="_Toc30921"/>
      <w:bookmarkStart w:id="319" w:name="_Toc64542155"/>
      <w:r>
        <w:rPr>
          <w:rFonts w:hint="eastAsia" w:ascii="楷体_GB2312" w:eastAsia="楷体_GB2312"/>
          <w:color w:val="000000" w:themeColor="text1"/>
        </w:rPr>
        <w:t>第三节  构建现代流通体系</w:t>
      </w:r>
      <w:bookmarkEnd w:id="317"/>
      <w:bookmarkEnd w:id="318"/>
      <w:bookmarkEnd w:id="319"/>
    </w:p>
    <w:bookmarkEnd w:id="307"/>
    <w:bookmarkEnd w:id="308"/>
    <w:bookmarkEnd w:id="309"/>
    <w:bookmarkEnd w:id="310"/>
    <w:bookmarkEnd w:id="311"/>
    <w:bookmarkEnd w:id="312"/>
    <w:bookmarkEnd w:id="313"/>
    <w:p>
      <w:pPr>
        <w:spacing w:line="580" w:lineRule="exact"/>
        <w:ind w:firstLine="640"/>
        <w:rPr>
          <w:rFonts w:ascii="仿宋_GB2312" w:hAnsi="仿宋_GB2312" w:eastAsia="仿宋_GB2312"/>
          <w:color w:val="000000" w:themeColor="text1"/>
        </w:rPr>
      </w:pPr>
    </w:p>
    <w:p>
      <w:pPr>
        <w:spacing w:line="580" w:lineRule="exact"/>
        <w:ind w:firstLine="640"/>
        <w:rPr>
          <w:rFonts w:ascii="仿宋_GB2312" w:hAnsi="仿宋_GB2312" w:eastAsia="仿宋_GB2312"/>
          <w:color w:val="000000" w:themeColor="text1"/>
        </w:rPr>
      </w:pPr>
      <w:r>
        <w:rPr>
          <w:rFonts w:hint="eastAsia" w:ascii="仿宋_GB2312" w:hAnsi="仿宋_GB2312" w:eastAsia="仿宋_GB2312"/>
          <w:color w:val="000000" w:themeColor="text1"/>
        </w:rPr>
        <w:t>大力发展水陆空“无缝对接”多式联运模式，加快完善现代集疏运体系。推进现代信息技术在供应链体系中的推广应用，着力提升物流配送体系现代化，着力提高流通效率。统筹现代流通体系硬件和软件建设，提升南昌水港、陆港、空港和信息港枢纽能级，推进优化研发管理、业态创新、人才培养、标准制定、市场营销等环节，打造内外兼修的物流枢纽体系。加快培育现代流通企业，推进数字化、智能化改造和跨界融合，支持关系居民日常生活的商贸流通设施改造升级、健康发展。</w:t>
      </w:r>
    </w:p>
    <w:p>
      <w:pPr>
        <w:pStyle w:val="31"/>
        <w:spacing w:line="580" w:lineRule="exact"/>
        <w:ind w:firstLine="640"/>
        <w:rPr>
          <w:rFonts w:ascii="仿宋_GB2312" w:hAnsi="仿宋_GB2312"/>
          <w:color w:val="000000" w:themeColor="text1"/>
        </w:rPr>
      </w:pPr>
    </w:p>
    <w:p>
      <w:pPr>
        <w:pStyle w:val="31"/>
        <w:spacing w:line="580" w:lineRule="exact"/>
        <w:ind w:firstLine="640"/>
        <w:rPr>
          <w:rFonts w:ascii="仿宋_GB2312" w:hAnsi="仿宋_GB2312"/>
          <w:color w:val="000000" w:themeColor="text1"/>
        </w:rPr>
      </w:pPr>
    </w:p>
    <w:p>
      <w:pPr>
        <w:pStyle w:val="31"/>
        <w:spacing w:line="580" w:lineRule="exact"/>
        <w:ind w:firstLine="640"/>
        <w:rPr>
          <w:rFonts w:ascii="仿宋_GB2312" w:hAnsi="仿宋_GB2312"/>
          <w:color w:val="000000" w:themeColor="text1"/>
        </w:rPr>
      </w:pPr>
    </w:p>
    <w:p>
      <w:pPr>
        <w:pStyle w:val="31"/>
        <w:spacing w:line="580" w:lineRule="exact"/>
        <w:ind w:firstLine="640"/>
        <w:rPr>
          <w:rFonts w:ascii="仿宋_GB2312" w:hAnsi="仿宋_GB2312"/>
          <w:color w:val="000000" w:themeColor="text1"/>
        </w:rPr>
      </w:pPr>
    </w:p>
    <w:p>
      <w:pPr>
        <w:pStyle w:val="31"/>
        <w:spacing w:line="580" w:lineRule="exact"/>
        <w:ind w:firstLine="640"/>
        <w:rPr>
          <w:rFonts w:ascii="仿宋_GB2312" w:hAnsi="仿宋_GB2312"/>
          <w:color w:val="000000" w:themeColor="text1"/>
        </w:rPr>
      </w:pPr>
    </w:p>
    <w:p>
      <w:pPr>
        <w:pStyle w:val="31"/>
        <w:spacing w:line="580" w:lineRule="exact"/>
        <w:ind w:firstLine="640"/>
        <w:rPr>
          <w:rFonts w:ascii="仿宋_GB2312" w:hAnsi="仿宋_GB2312"/>
          <w:color w:val="000000" w:themeColor="text1"/>
        </w:rPr>
      </w:pPr>
    </w:p>
    <w:p>
      <w:pPr>
        <w:pStyle w:val="31"/>
        <w:spacing w:line="580" w:lineRule="exact"/>
        <w:ind w:firstLine="640"/>
        <w:rPr>
          <w:rFonts w:ascii="仿宋_GB2312" w:hAnsi="仿宋_GB2312"/>
          <w:color w:val="000000" w:themeColor="text1"/>
        </w:rPr>
      </w:pPr>
    </w:p>
    <w:p>
      <w:pPr>
        <w:ind w:firstLine="0" w:firstLineChars="0"/>
        <w:rPr>
          <w:rFonts w:ascii="仿宋_GB2312" w:hAnsi="仿宋_GB2312" w:eastAsia="仿宋_GB2312"/>
          <w:color w:val="000000" w:themeColor="text1"/>
        </w:rPr>
      </w:pPr>
      <w:r>
        <w:rPr>
          <w:rFonts w:hint="eastAsia" w:ascii="仿宋_GB2312" w:hAnsi="仿宋_GB2312" w:eastAsia="仿宋_GB2312"/>
          <w:color w:val="000000" w:themeColor="text1"/>
        </w:rPr>
        <w:br w:type="page"/>
      </w:r>
    </w:p>
    <w:p>
      <w:pPr>
        <w:pStyle w:val="29"/>
        <w:adjustRightInd/>
        <w:snapToGrid/>
        <w:spacing w:line="580" w:lineRule="exact"/>
        <w:rPr>
          <w:color w:val="000000" w:themeColor="text1"/>
        </w:rPr>
      </w:pPr>
      <w:bookmarkStart w:id="320" w:name="_Toc10809"/>
      <w:bookmarkStart w:id="321" w:name="_Toc64542156"/>
      <w:bookmarkStart w:id="322" w:name="_Toc10514"/>
    </w:p>
    <w:p>
      <w:pPr>
        <w:pStyle w:val="29"/>
        <w:adjustRightInd/>
        <w:snapToGrid/>
        <w:spacing w:line="580" w:lineRule="exact"/>
        <w:rPr>
          <w:color w:val="000000" w:themeColor="text1"/>
        </w:rPr>
      </w:pPr>
      <w:r>
        <w:rPr>
          <w:rFonts w:hint="eastAsia"/>
          <w:color w:val="000000" w:themeColor="text1"/>
        </w:rPr>
        <w:t>第六篇  加快深层次市场化改革</w:t>
      </w:r>
      <w:bookmarkEnd w:id="256"/>
      <w:bookmarkEnd w:id="320"/>
      <w:bookmarkEnd w:id="321"/>
      <w:bookmarkEnd w:id="322"/>
    </w:p>
    <w:p>
      <w:pPr>
        <w:pStyle w:val="2"/>
        <w:spacing w:after="0" w:line="580" w:lineRule="exact"/>
        <w:ind w:firstLine="640" w:firstLineChars="200"/>
        <w:rPr>
          <w:rFonts w:ascii="宋体" w:hAnsi="宋体" w:eastAsia="仿宋_GB2312" w:cs="仿宋_GB2312"/>
          <w:bCs/>
          <w:color w:val="000000" w:themeColor="text1"/>
          <w:szCs w:val="32"/>
        </w:rPr>
      </w:pPr>
    </w:p>
    <w:p>
      <w:pPr>
        <w:pStyle w:val="2"/>
        <w:spacing w:after="0" w:line="580" w:lineRule="exact"/>
        <w:ind w:firstLine="640" w:firstLineChars="200"/>
        <w:rPr>
          <w:rFonts w:ascii="宋体" w:hAnsi="宋体" w:eastAsia="仿宋_GB2312" w:cs="仿宋_GB2312"/>
          <w:bCs/>
          <w:color w:val="000000" w:themeColor="text1"/>
          <w:szCs w:val="32"/>
        </w:rPr>
      </w:pPr>
      <w:r>
        <w:rPr>
          <w:rFonts w:hint="eastAsia" w:ascii="宋体" w:hAnsi="宋体" w:eastAsia="仿宋_GB2312" w:cs="仿宋_GB2312"/>
          <w:bCs/>
          <w:color w:val="000000" w:themeColor="text1"/>
          <w:szCs w:val="32"/>
        </w:rPr>
        <w:t>坚持和完善社会主义基本经济制度，推动有效市场和有为政府更好结合，以重点领域和关键环节改革为突破口，整体协同推进首创性、差异化改革探索，以改革红利打造发展优势，增强发展内生动力。</w:t>
      </w:r>
    </w:p>
    <w:p>
      <w:pPr>
        <w:pStyle w:val="2"/>
        <w:spacing w:after="0" w:line="580" w:lineRule="exact"/>
        <w:ind w:firstLine="640" w:firstLineChars="200"/>
        <w:rPr>
          <w:rFonts w:ascii="宋体" w:hAnsi="宋体" w:eastAsia="仿宋_GB2312" w:cs="仿宋_GB2312"/>
          <w:bCs/>
          <w:color w:val="000000" w:themeColor="text1"/>
          <w:szCs w:val="32"/>
        </w:rPr>
      </w:pPr>
    </w:p>
    <w:p>
      <w:pPr>
        <w:pStyle w:val="23"/>
        <w:adjustRightInd/>
        <w:snapToGrid/>
        <w:spacing w:line="580" w:lineRule="exact"/>
        <w:rPr>
          <w:b w:val="0"/>
          <w:color w:val="000000" w:themeColor="text1"/>
        </w:rPr>
      </w:pPr>
      <w:bookmarkStart w:id="323" w:name="_Toc29617"/>
      <w:bookmarkStart w:id="324" w:name="_Toc27879"/>
      <w:bookmarkStart w:id="325" w:name="_Toc57612830"/>
      <w:bookmarkStart w:id="326" w:name="_Toc57195700"/>
      <w:bookmarkStart w:id="327" w:name="_Toc57194239"/>
      <w:bookmarkStart w:id="328" w:name="_Toc57201701"/>
      <w:bookmarkStart w:id="329" w:name="_Toc64542157"/>
      <w:r>
        <w:rPr>
          <w:rFonts w:hint="eastAsia"/>
          <w:b w:val="0"/>
          <w:color w:val="000000" w:themeColor="text1"/>
        </w:rPr>
        <w:t>第十九章  保护和激发市场主体活力</w:t>
      </w:r>
      <w:bookmarkEnd w:id="323"/>
      <w:bookmarkEnd w:id="324"/>
      <w:bookmarkEnd w:id="325"/>
      <w:bookmarkEnd w:id="326"/>
      <w:bookmarkEnd w:id="327"/>
      <w:bookmarkEnd w:id="328"/>
      <w:bookmarkEnd w:id="329"/>
    </w:p>
    <w:p>
      <w:pPr>
        <w:spacing w:line="580" w:lineRule="exact"/>
        <w:ind w:firstLine="640"/>
        <w:rPr>
          <w:rFonts w:ascii="宋体" w:hAnsi="宋体" w:eastAsia="仿宋_GB2312" w:cs="仿宋_GB2312"/>
          <w:bCs/>
          <w:color w:val="000000" w:themeColor="text1"/>
          <w:szCs w:val="32"/>
        </w:rPr>
      </w:pPr>
    </w:p>
    <w:p>
      <w:pPr>
        <w:spacing w:line="580" w:lineRule="exact"/>
        <w:ind w:firstLine="640"/>
      </w:pPr>
      <w:r>
        <w:rPr>
          <w:rFonts w:hint="eastAsia" w:ascii="宋体" w:hAnsi="宋体" w:eastAsia="仿宋_GB2312" w:cs="仿宋_GB2312"/>
          <w:bCs/>
          <w:color w:val="000000" w:themeColor="text1"/>
          <w:szCs w:val="32"/>
        </w:rPr>
        <w:t>毫不动摇巩固和发展公有制经济，</w:t>
      </w:r>
      <w:r>
        <w:rPr>
          <w:rFonts w:hint="eastAsia" w:ascii="仿宋_GB2312" w:eastAsia="仿宋_GB2312"/>
          <w:color w:val="000000" w:themeColor="text1"/>
          <w:kern w:val="0"/>
        </w:rPr>
        <w:t>依法平等保护国有、民营、外资等各种所有制企业产权和自主经营权，支持非公有制经济高质量发展，进一步激发全社会创造力和市场活力。</w:t>
      </w:r>
      <w:bookmarkStart w:id="330" w:name="_Toc57195701"/>
      <w:bookmarkStart w:id="331" w:name="_Toc57201702"/>
      <w:bookmarkStart w:id="332" w:name="_Toc57612831"/>
      <w:bookmarkStart w:id="333" w:name="_Toc57194240"/>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334" w:name="_Toc25037"/>
      <w:bookmarkStart w:id="335" w:name="_Toc9"/>
      <w:bookmarkStart w:id="336" w:name="_Toc64542158"/>
      <w:r>
        <w:rPr>
          <w:rFonts w:hint="eastAsia" w:ascii="楷体_GB2312" w:eastAsia="楷体_GB2312"/>
          <w:color w:val="000000" w:themeColor="text1"/>
        </w:rPr>
        <w:t>第一节  深化国资国企改革</w:t>
      </w:r>
      <w:bookmarkEnd w:id="330"/>
      <w:bookmarkEnd w:id="331"/>
      <w:bookmarkEnd w:id="332"/>
      <w:bookmarkEnd w:id="333"/>
      <w:bookmarkEnd w:id="334"/>
      <w:bookmarkEnd w:id="335"/>
      <w:bookmarkEnd w:id="336"/>
    </w:p>
    <w:p>
      <w:pPr>
        <w:spacing w:line="580" w:lineRule="exact"/>
        <w:ind w:firstLine="640"/>
        <w:rPr>
          <w:rFonts w:ascii="仿宋_GB2312" w:eastAsia="仿宋_GB2312"/>
          <w:color w:val="000000" w:themeColor="text1"/>
          <w:kern w:val="0"/>
        </w:rPr>
      </w:pPr>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加快国有经济布局优化和结构调整，实施国资国企改革创新行动计划。鼓励引导国有资本投资运营公司搭建产业孵化平台和上市服务平台，加快政府投资平台整合，市级保留3家，每个县区保留1-2家。支持江铃集团等企业打造国际国内一流企业。</w:t>
      </w:r>
      <w:r>
        <w:rPr>
          <w:rFonts w:ascii="仿宋_GB2312" w:eastAsia="仿宋_GB2312"/>
          <w:color w:val="000000" w:themeColor="text1"/>
          <w:kern w:val="0"/>
        </w:rPr>
        <w:t>加快</w:t>
      </w:r>
      <w:r>
        <w:rPr>
          <w:rFonts w:hint="eastAsia" w:ascii="仿宋_GB2312" w:eastAsia="仿宋_GB2312"/>
          <w:color w:val="000000" w:themeColor="text1"/>
          <w:kern w:val="0"/>
        </w:rPr>
        <w:t>国有企业</w:t>
      </w:r>
      <w:r>
        <w:rPr>
          <w:rFonts w:ascii="仿宋_GB2312" w:eastAsia="仿宋_GB2312"/>
          <w:color w:val="000000" w:themeColor="text1"/>
          <w:kern w:val="0"/>
        </w:rPr>
        <w:t>战略重组</w:t>
      </w:r>
      <w:r>
        <w:rPr>
          <w:rFonts w:hint="eastAsia" w:ascii="仿宋_GB2312" w:eastAsia="仿宋_GB2312"/>
          <w:color w:val="000000" w:themeColor="text1"/>
          <w:kern w:val="0"/>
        </w:rPr>
        <w:t>，进一步健全完善现代企业制度</w:t>
      </w:r>
      <w:r>
        <w:rPr>
          <w:rFonts w:ascii="仿宋_GB2312" w:eastAsia="仿宋_GB2312"/>
          <w:color w:val="000000" w:themeColor="text1"/>
          <w:kern w:val="0"/>
        </w:rPr>
        <w:t>。</w:t>
      </w:r>
      <w:r>
        <w:rPr>
          <w:rFonts w:hint="eastAsia" w:ascii="仿宋_GB2312" w:eastAsia="仿宋_GB2312"/>
          <w:color w:val="000000" w:themeColor="text1"/>
          <w:kern w:val="0"/>
        </w:rPr>
        <w:t>加快完善国有企业法人治理结构，健全经理层任期制和契约化管理。</w:t>
      </w:r>
      <w:r>
        <w:rPr>
          <w:rFonts w:ascii="仿宋_GB2312" w:eastAsia="仿宋_GB2312"/>
          <w:color w:val="000000" w:themeColor="text1"/>
          <w:kern w:val="0"/>
        </w:rPr>
        <w:t>分层分类推进混合所有制改革，注重党的领导和公司治理完善相统一。</w:t>
      </w:r>
      <w:r>
        <w:rPr>
          <w:rFonts w:hint="eastAsia" w:ascii="仿宋_GB2312" w:eastAsia="仿宋_GB2312"/>
          <w:color w:val="000000" w:themeColor="text1"/>
          <w:kern w:val="0"/>
        </w:rPr>
        <w:t>构建资本运作全链条，</w:t>
      </w:r>
      <w:r>
        <w:rPr>
          <w:rFonts w:ascii="仿宋_GB2312" w:eastAsia="仿宋_GB2312"/>
          <w:color w:val="000000" w:themeColor="text1"/>
          <w:kern w:val="0"/>
        </w:rPr>
        <w:t>提高</w:t>
      </w:r>
      <w:r>
        <w:rPr>
          <w:rFonts w:hint="eastAsia" w:ascii="仿宋_GB2312" w:eastAsia="仿宋_GB2312"/>
          <w:color w:val="000000" w:themeColor="text1"/>
          <w:kern w:val="0"/>
        </w:rPr>
        <w:t>国有</w:t>
      </w:r>
      <w:r>
        <w:rPr>
          <w:rFonts w:ascii="仿宋_GB2312" w:eastAsia="仿宋_GB2312"/>
          <w:color w:val="000000" w:themeColor="text1"/>
          <w:kern w:val="0"/>
        </w:rPr>
        <w:t>资产证券化率，提升国有资本配置效率。不断优化国资监管职能，推动</w:t>
      </w:r>
      <w:r>
        <w:rPr>
          <w:rFonts w:hint="eastAsia" w:ascii="仿宋_GB2312" w:eastAsia="仿宋_GB2312"/>
          <w:color w:val="000000" w:themeColor="text1"/>
          <w:kern w:val="0"/>
        </w:rPr>
        <w:t>形成</w:t>
      </w:r>
      <w:r>
        <w:rPr>
          <w:rFonts w:ascii="仿宋_GB2312" w:eastAsia="仿宋_GB2312"/>
          <w:color w:val="000000" w:themeColor="text1"/>
          <w:kern w:val="0"/>
        </w:rPr>
        <w:t>以管资本为主、以管事中事后为主</w:t>
      </w:r>
      <w:r>
        <w:rPr>
          <w:rFonts w:hint="eastAsia" w:ascii="仿宋_GB2312" w:eastAsia="仿宋_GB2312"/>
          <w:color w:val="000000" w:themeColor="text1"/>
          <w:kern w:val="0"/>
        </w:rPr>
        <w:t>和以授权监管为主的国资监管体系。稳步推进自然垄断行业改革。</w:t>
      </w:r>
      <w:bookmarkStart w:id="337" w:name="_Toc57201703"/>
      <w:bookmarkStart w:id="338" w:name="_Toc57612832"/>
      <w:bookmarkStart w:id="339" w:name="_Toc57194241"/>
      <w:bookmarkStart w:id="340" w:name="_Toc57195702"/>
    </w:p>
    <w:p>
      <w:pPr>
        <w:pStyle w:val="31"/>
        <w:autoSpaceDN/>
        <w:spacing w:line="558" w:lineRule="exact"/>
        <w:ind w:firstLine="640"/>
      </w:pPr>
    </w:p>
    <w:p>
      <w:pPr>
        <w:pStyle w:val="74"/>
        <w:adjustRightInd/>
        <w:snapToGrid/>
        <w:spacing w:line="558" w:lineRule="exact"/>
        <w:rPr>
          <w:rFonts w:ascii="楷体_GB2312" w:eastAsia="楷体_GB2312"/>
          <w:color w:val="000000" w:themeColor="text1"/>
        </w:rPr>
      </w:pPr>
      <w:bookmarkStart w:id="341" w:name="_Toc21679"/>
      <w:bookmarkStart w:id="342" w:name="_Toc64542159"/>
      <w:bookmarkStart w:id="343" w:name="_Toc3681"/>
      <w:r>
        <w:rPr>
          <w:rFonts w:hint="eastAsia" w:ascii="楷体_GB2312" w:eastAsia="楷体_GB2312"/>
          <w:color w:val="000000" w:themeColor="text1"/>
        </w:rPr>
        <w:t>第二节  支持非公有制经济高质量发展</w:t>
      </w:r>
      <w:bookmarkEnd w:id="337"/>
      <w:bookmarkEnd w:id="338"/>
      <w:bookmarkEnd w:id="339"/>
      <w:bookmarkEnd w:id="340"/>
      <w:bookmarkEnd w:id="341"/>
      <w:bookmarkEnd w:id="342"/>
      <w:bookmarkEnd w:id="343"/>
    </w:p>
    <w:p>
      <w:pPr>
        <w:spacing w:line="558" w:lineRule="exact"/>
        <w:ind w:firstLine="640"/>
        <w:rPr>
          <w:rFonts w:ascii="仿宋_GB2312" w:eastAsia="仿宋_GB2312"/>
          <w:bCs/>
          <w:color w:val="000000" w:themeColor="text1"/>
          <w:kern w:val="0"/>
        </w:rPr>
      </w:pPr>
    </w:p>
    <w:p>
      <w:pPr>
        <w:spacing w:line="558" w:lineRule="exact"/>
        <w:ind w:firstLine="640"/>
        <w:rPr>
          <w:rFonts w:ascii="仿宋_GB2312" w:eastAsia="仿宋_GB2312"/>
          <w:color w:val="000000" w:themeColor="text1"/>
          <w:kern w:val="0"/>
        </w:rPr>
      </w:pPr>
      <w:r>
        <w:rPr>
          <w:rFonts w:hint="eastAsia" w:ascii="仿宋_GB2312" w:eastAsia="仿宋_GB2312"/>
          <w:bCs/>
          <w:color w:val="000000" w:themeColor="text1"/>
          <w:kern w:val="0"/>
        </w:rPr>
        <w:t>优化民营经济发展环境，进一步构建亲清政商关系。破除制约非公有制经济发展的各类障碍和隐性壁垒，在要素获取、准入许可、经营运行、政府采购和招标投标等方面对各类所有制企业依法平等对待，保护民营企业产权和企业家权益。建立健全民营企业救助纾困机制，设立民营企业稳定经营基金。支持企业市场发债，拓宽融资渠道，切实缓解民营企业融资难、融资贵，降低企业生产经营和制度性交易成本。支持民营企业加快转型升级，推动民营企业建立现代企业管理制度。实施“年轻一代民营经济人士”培养计划。优化促进中小微企业和个体工商户发展的法治环境和政策体系。</w:t>
      </w:r>
      <w:r>
        <w:rPr>
          <w:rFonts w:hint="eastAsia" w:ascii="仿宋_GB2312" w:eastAsia="仿宋_GB2312"/>
          <w:color w:val="000000" w:themeColor="text1"/>
          <w:kern w:val="0"/>
        </w:rPr>
        <w:t>完善民营企业诉求反映和权益维护机制，</w:t>
      </w:r>
      <w:r>
        <w:rPr>
          <w:rFonts w:ascii="仿宋_GB2312" w:eastAsia="仿宋_GB2312"/>
          <w:color w:val="000000" w:themeColor="text1"/>
          <w:kern w:val="0"/>
        </w:rPr>
        <w:t>健全执法司法</w:t>
      </w:r>
      <w:r>
        <w:rPr>
          <w:rFonts w:hint="eastAsia" w:ascii="仿宋_GB2312" w:eastAsia="仿宋_GB2312"/>
          <w:color w:val="000000" w:themeColor="text1"/>
          <w:kern w:val="0"/>
        </w:rPr>
        <w:t>对民营企业的</w:t>
      </w:r>
      <w:r>
        <w:rPr>
          <w:rFonts w:ascii="仿宋_GB2312" w:eastAsia="仿宋_GB2312"/>
          <w:color w:val="000000" w:themeColor="text1"/>
          <w:kern w:val="0"/>
        </w:rPr>
        <w:t>平等保护机制。</w:t>
      </w:r>
    </w:p>
    <w:p>
      <w:pPr>
        <w:pStyle w:val="31"/>
        <w:autoSpaceDN/>
        <w:spacing w:line="558" w:lineRule="exact"/>
        <w:ind w:firstLine="640"/>
        <w:rPr>
          <w:rFonts w:ascii="仿宋_GB2312"/>
          <w:color w:val="000000" w:themeColor="text1"/>
          <w:kern w:val="0"/>
        </w:rPr>
      </w:pPr>
    </w:p>
    <w:p>
      <w:pPr>
        <w:pStyle w:val="74"/>
        <w:adjustRightInd/>
        <w:snapToGrid/>
        <w:spacing w:line="558" w:lineRule="exact"/>
        <w:rPr>
          <w:rFonts w:ascii="楷体_GB2312" w:eastAsia="楷体_GB2312"/>
          <w:color w:val="000000" w:themeColor="text1"/>
        </w:rPr>
      </w:pPr>
      <w:bookmarkStart w:id="344" w:name="_Toc57195703"/>
      <w:bookmarkStart w:id="345" w:name="_Toc28364"/>
      <w:bookmarkStart w:id="346" w:name="_Toc57612833"/>
      <w:bookmarkStart w:id="347" w:name="_Toc24735"/>
      <w:bookmarkStart w:id="348" w:name="_Toc64542160"/>
      <w:bookmarkStart w:id="349" w:name="_Toc57194242"/>
      <w:bookmarkStart w:id="350" w:name="_Toc57201704"/>
      <w:r>
        <w:rPr>
          <w:rFonts w:hint="eastAsia" w:ascii="楷体_GB2312" w:eastAsia="楷体_GB2312"/>
          <w:color w:val="000000" w:themeColor="text1"/>
        </w:rPr>
        <w:t>第三节  推进新型市场主体健康有序发展</w:t>
      </w:r>
      <w:bookmarkEnd w:id="344"/>
      <w:bookmarkEnd w:id="345"/>
      <w:bookmarkEnd w:id="346"/>
      <w:bookmarkEnd w:id="347"/>
      <w:bookmarkEnd w:id="348"/>
      <w:bookmarkEnd w:id="349"/>
      <w:bookmarkEnd w:id="350"/>
    </w:p>
    <w:p>
      <w:pPr>
        <w:pStyle w:val="59"/>
        <w:widowControl w:val="0"/>
        <w:adjustRightInd/>
        <w:snapToGrid/>
        <w:spacing w:line="558" w:lineRule="exact"/>
        <w:ind w:firstLine="640"/>
        <w:rPr>
          <w:color w:val="000000" w:themeColor="text1"/>
        </w:rPr>
      </w:pPr>
    </w:p>
    <w:p>
      <w:pPr>
        <w:pStyle w:val="59"/>
        <w:widowControl w:val="0"/>
        <w:adjustRightInd/>
        <w:snapToGrid/>
        <w:spacing w:line="580" w:lineRule="exact"/>
        <w:ind w:firstLine="640"/>
        <w:rPr>
          <w:color w:val="000000" w:themeColor="text1"/>
        </w:rPr>
      </w:pPr>
      <w:r>
        <w:rPr>
          <w:rFonts w:hint="eastAsia"/>
          <w:color w:val="000000" w:themeColor="text1"/>
        </w:rPr>
        <w:t>加大对各类新型市场主体的政策引导、支持和保障力度。放宽新型市场主体名称登记条件、住所（经营场所）和登记（备案）条件。加强新型市场主体发展平台建设，构建新型市场主体公共服务平台。创新监管理念和方式，落实和完善包容审慎监管要求，探索适应新业态特点、有利于公平竞争的监管办法。建立健全跨部门协同监管机制，构建多元共治的监管格局。</w:t>
      </w:r>
    </w:p>
    <w:p>
      <w:pPr>
        <w:pStyle w:val="31"/>
        <w:autoSpaceDN/>
        <w:spacing w:line="580" w:lineRule="exact"/>
        <w:ind w:firstLine="640"/>
        <w:rPr>
          <w:color w:val="000000" w:themeColor="text1"/>
        </w:rPr>
      </w:pPr>
    </w:p>
    <w:p>
      <w:pPr>
        <w:pStyle w:val="23"/>
        <w:adjustRightInd/>
        <w:snapToGrid/>
        <w:spacing w:line="580" w:lineRule="exact"/>
        <w:rPr>
          <w:b w:val="0"/>
          <w:color w:val="000000" w:themeColor="text1"/>
        </w:rPr>
      </w:pPr>
      <w:bookmarkStart w:id="351" w:name="_Toc57201705"/>
      <w:bookmarkStart w:id="352" w:name="_Toc64542161"/>
      <w:bookmarkStart w:id="353" w:name="_Toc57195704"/>
      <w:bookmarkStart w:id="354" w:name="_Toc57612834"/>
      <w:bookmarkStart w:id="355" w:name="_Toc20918"/>
      <w:bookmarkStart w:id="356" w:name="_Toc57194243"/>
      <w:bookmarkStart w:id="357" w:name="_Toc27623"/>
      <w:r>
        <w:rPr>
          <w:rFonts w:hint="eastAsia"/>
          <w:b w:val="0"/>
          <w:color w:val="000000" w:themeColor="text1"/>
        </w:rPr>
        <w:t>第二十章  建设高标准市场体系</w:t>
      </w:r>
      <w:bookmarkEnd w:id="351"/>
      <w:bookmarkEnd w:id="352"/>
      <w:bookmarkEnd w:id="353"/>
      <w:bookmarkEnd w:id="354"/>
      <w:bookmarkEnd w:id="355"/>
      <w:bookmarkEnd w:id="356"/>
      <w:bookmarkEnd w:id="357"/>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深化要素市场化配置改革，依法保障市场公平竞争，提高要素配置效率，建设统一开放、竞争有序市场体系。</w:t>
      </w: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358" w:name="_Toc26166"/>
      <w:bookmarkStart w:id="359" w:name="_Toc26853"/>
      <w:bookmarkStart w:id="360" w:name="_Toc57195705"/>
      <w:bookmarkStart w:id="361" w:name="_Toc57612835"/>
      <w:bookmarkStart w:id="362" w:name="_Toc64542162"/>
      <w:bookmarkStart w:id="363" w:name="_Toc57194244"/>
      <w:bookmarkStart w:id="364" w:name="_Toc57201706"/>
      <w:r>
        <w:rPr>
          <w:rFonts w:hint="eastAsia" w:ascii="楷体_GB2312" w:eastAsia="楷体_GB2312"/>
          <w:color w:val="000000" w:themeColor="text1"/>
        </w:rPr>
        <w:t>第一节  依法保障市场公平竞争</w:t>
      </w:r>
      <w:bookmarkEnd w:id="358"/>
      <w:bookmarkEnd w:id="359"/>
      <w:bookmarkEnd w:id="360"/>
      <w:bookmarkEnd w:id="361"/>
      <w:bookmarkEnd w:id="362"/>
      <w:bookmarkEnd w:id="363"/>
      <w:bookmarkEnd w:id="364"/>
    </w:p>
    <w:p>
      <w:pPr>
        <w:spacing w:line="580" w:lineRule="exact"/>
        <w:ind w:firstLine="640"/>
        <w:rPr>
          <w:rFonts w:ascii="仿宋_GB2312" w:eastAsia="仿宋_GB2312"/>
          <w:color w:val="000000" w:themeColor="text1"/>
          <w:kern w:val="0"/>
        </w:rPr>
      </w:pPr>
    </w:p>
    <w:p>
      <w:pPr>
        <w:spacing w:line="580" w:lineRule="exact"/>
        <w:ind w:firstLine="640"/>
      </w:pPr>
      <w:r>
        <w:rPr>
          <w:rFonts w:hint="eastAsia" w:ascii="仿宋_GB2312" w:eastAsia="仿宋_GB2312"/>
          <w:color w:val="000000" w:themeColor="text1"/>
          <w:kern w:val="0"/>
        </w:rPr>
        <w:t>全面实施市场准入“全国一张单”管理模式</w:t>
      </w:r>
      <w:r>
        <w:rPr>
          <w:rFonts w:ascii="仿宋_GB2312" w:eastAsia="仿宋_GB2312"/>
          <w:color w:val="000000" w:themeColor="text1"/>
          <w:kern w:val="0"/>
        </w:rPr>
        <w:t>，</w:t>
      </w:r>
      <w:r>
        <w:rPr>
          <w:rFonts w:hint="eastAsia" w:ascii="仿宋_GB2312" w:eastAsia="仿宋_GB2312"/>
          <w:color w:val="000000" w:themeColor="text1"/>
          <w:kern w:val="0"/>
        </w:rPr>
        <w:t>建立与市场准入负面清单制度相适应的审批体制。全面落实“非禁即入”，探索试点市场准入承诺即入制。健全投诉举报和处理回应机制。落实市场准入负面清单动态调整机制和第三方评估机制，以服务业为重点试点进一步放宽准入限制。完善公平竞争审查工作制度体系，建立健全竞争政策实施机制。全面清理、废除妨碍统一市场</w:t>
      </w:r>
      <w:r>
        <w:rPr>
          <w:rFonts w:hint="eastAsia" w:ascii="仿宋_GB2312" w:eastAsia="仿宋_GB2312"/>
          <w:color w:val="000000" w:themeColor="text1"/>
          <w:spacing w:val="-6"/>
          <w:kern w:val="0"/>
        </w:rPr>
        <w:t>和公平竞争的存量政策措施，落实增量政策公平竞争审查流程。建立健全第三方审查和评估机制。加强和改进反垄断和反不正当竞争执法司法。严厉打击恶意中标、围标串标等公共资源交易违法行为</w:t>
      </w:r>
      <w:r>
        <w:rPr>
          <w:rFonts w:hint="eastAsia" w:ascii="仿宋_GB2312" w:eastAsia="仿宋_GB2312"/>
          <w:color w:val="000000" w:themeColor="text1"/>
          <w:kern w:val="0"/>
        </w:rPr>
        <w:t>。</w:t>
      </w:r>
    </w:p>
    <w:p>
      <w:pPr>
        <w:pStyle w:val="31"/>
        <w:spacing w:line="580" w:lineRule="exact"/>
        <w:ind w:firstLine="640"/>
      </w:pPr>
    </w:p>
    <w:p>
      <w:pPr>
        <w:pStyle w:val="74"/>
        <w:adjustRightInd/>
        <w:snapToGrid/>
        <w:spacing w:line="520" w:lineRule="exact"/>
        <w:rPr>
          <w:rFonts w:ascii="楷体_GB2312" w:eastAsia="楷体_GB2312"/>
          <w:color w:val="000000" w:themeColor="text1"/>
        </w:rPr>
      </w:pPr>
      <w:bookmarkStart w:id="365" w:name="_Toc10370"/>
      <w:bookmarkStart w:id="366" w:name="_Toc57195706"/>
      <w:bookmarkStart w:id="367" w:name="_Toc64542163"/>
      <w:bookmarkStart w:id="368" w:name="_Toc31811"/>
      <w:bookmarkStart w:id="369" w:name="_Toc57194245"/>
      <w:bookmarkStart w:id="370" w:name="_Toc57201707"/>
      <w:bookmarkStart w:id="371" w:name="_Toc57612836"/>
      <w:r>
        <w:rPr>
          <w:rFonts w:hint="eastAsia" w:ascii="楷体_GB2312" w:eastAsia="楷体_GB2312"/>
          <w:color w:val="000000" w:themeColor="text1"/>
        </w:rPr>
        <w:t>第二节  深化要素市场化改革</w:t>
      </w:r>
      <w:bookmarkEnd w:id="365"/>
      <w:bookmarkEnd w:id="366"/>
      <w:bookmarkEnd w:id="367"/>
      <w:bookmarkEnd w:id="368"/>
      <w:bookmarkEnd w:id="369"/>
      <w:bookmarkEnd w:id="370"/>
      <w:bookmarkEnd w:id="371"/>
    </w:p>
    <w:p>
      <w:pPr>
        <w:spacing w:line="520" w:lineRule="exact"/>
        <w:ind w:firstLine="640"/>
        <w:rPr>
          <w:rFonts w:ascii="宋体" w:hAnsi="宋体" w:eastAsia="仿宋_GB2312" w:cs="仿宋_GB2312"/>
          <w:bCs/>
          <w:color w:val="000000" w:themeColor="text1"/>
          <w:szCs w:val="32"/>
        </w:rPr>
      </w:pPr>
      <w:bookmarkStart w:id="372" w:name="_Toc57195707"/>
      <w:bookmarkStart w:id="373" w:name="_Toc57194246"/>
      <w:bookmarkStart w:id="374" w:name="_Toc57201708"/>
      <w:bookmarkStart w:id="375" w:name="_Toc57612837"/>
    </w:p>
    <w:p>
      <w:pPr>
        <w:spacing w:line="580" w:lineRule="exact"/>
        <w:ind w:firstLine="640"/>
        <w:rPr>
          <w:rFonts w:ascii="宋体" w:hAnsi="宋体" w:eastAsia="仿宋_GB2312" w:cs="仿宋_GB2312"/>
          <w:bCs/>
          <w:color w:val="000000" w:themeColor="text1"/>
          <w:szCs w:val="32"/>
        </w:rPr>
      </w:pPr>
      <w:r>
        <w:rPr>
          <w:rFonts w:hint="eastAsia" w:ascii="宋体" w:hAnsi="宋体" w:eastAsia="仿宋_GB2312" w:cs="仿宋_GB2312"/>
          <w:bCs/>
          <w:color w:val="000000" w:themeColor="text1"/>
          <w:szCs w:val="32"/>
        </w:rPr>
        <w:t>打破生产要素自由流动壁垒，扩大要素市场化配置范围，</w:t>
      </w:r>
      <w:r>
        <w:rPr>
          <w:rFonts w:ascii="宋体" w:hAnsi="宋体" w:eastAsia="仿宋_GB2312" w:cs="仿宋_GB2312"/>
          <w:bCs/>
          <w:color w:val="000000" w:themeColor="text1"/>
          <w:szCs w:val="32"/>
        </w:rPr>
        <w:t>深化土地、劳动力、</w:t>
      </w:r>
      <w:r>
        <w:rPr>
          <w:rFonts w:hint="eastAsia" w:ascii="宋体" w:hAnsi="宋体" w:eastAsia="仿宋_GB2312" w:cs="仿宋_GB2312"/>
          <w:bCs/>
          <w:color w:val="000000" w:themeColor="text1"/>
          <w:szCs w:val="32"/>
        </w:rPr>
        <w:t>技术、数据</w:t>
      </w:r>
      <w:r>
        <w:rPr>
          <w:rFonts w:ascii="宋体" w:hAnsi="宋体" w:eastAsia="仿宋_GB2312" w:cs="仿宋_GB2312"/>
          <w:bCs/>
          <w:color w:val="000000" w:themeColor="text1"/>
          <w:szCs w:val="32"/>
        </w:rPr>
        <w:t>等市场化配置改革，加快培育技术</w:t>
      </w:r>
      <w:r>
        <w:rPr>
          <w:rFonts w:hint="eastAsia" w:ascii="宋体" w:hAnsi="宋体" w:eastAsia="仿宋_GB2312" w:cs="仿宋_GB2312"/>
          <w:bCs/>
          <w:color w:val="000000" w:themeColor="text1"/>
          <w:szCs w:val="32"/>
        </w:rPr>
        <w:t>和数据</w:t>
      </w:r>
      <w:r>
        <w:rPr>
          <w:rFonts w:ascii="宋体" w:hAnsi="宋体" w:eastAsia="仿宋_GB2312" w:cs="仿宋_GB2312"/>
          <w:bCs/>
          <w:color w:val="000000" w:themeColor="text1"/>
          <w:szCs w:val="32"/>
        </w:rPr>
        <w:t>要素市场</w:t>
      </w:r>
      <w:r>
        <w:rPr>
          <w:rFonts w:hint="eastAsia" w:ascii="宋体" w:hAnsi="宋体" w:eastAsia="仿宋_GB2312" w:cs="仿宋_GB2312"/>
          <w:bCs/>
          <w:color w:val="000000" w:themeColor="text1"/>
          <w:szCs w:val="32"/>
        </w:rPr>
        <w:t>，</w:t>
      </w:r>
      <w:r>
        <w:rPr>
          <w:rFonts w:ascii="宋体" w:hAnsi="宋体" w:eastAsia="仿宋_GB2312" w:cs="仿宋_GB2312"/>
          <w:bCs/>
          <w:color w:val="000000" w:themeColor="text1"/>
          <w:szCs w:val="32"/>
        </w:rPr>
        <w:t>建设统一开放、竞争有序的市场体系。</w:t>
      </w:r>
      <w:r>
        <w:rPr>
          <w:rFonts w:ascii="仿宋_GB2312" w:eastAsia="仿宋_GB2312"/>
          <w:color w:val="000000" w:themeColor="text1"/>
          <w:kern w:val="0"/>
        </w:rPr>
        <w:t>健全以公平为原则的产权保护制度，</w:t>
      </w:r>
      <w:r>
        <w:rPr>
          <w:rFonts w:hint="eastAsia" w:ascii="仿宋_GB2312" w:eastAsia="仿宋_GB2312"/>
          <w:color w:val="000000" w:themeColor="text1"/>
          <w:kern w:val="0"/>
        </w:rPr>
        <w:t>依法有效保护各种所有制经济组织和公民财产权。完善自然资源有偿使用、农村集体产权确权、财产征收征用等制度，建立健全产权流转交易平台体系。完善产权纠纷多元化</w:t>
      </w:r>
      <w:r>
        <w:rPr>
          <w:rFonts w:hint="eastAsia" w:ascii="宋体" w:hAnsi="宋体" w:eastAsia="仿宋_GB2312" w:cs="仿宋_GB2312"/>
          <w:bCs/>
          <w:color w:val="000000" w:themeColor="text1"/>
          <w:szCs w:val="32"/>
        </w:rPr>
        <w:t>化解机制。健全更加严格的知识产权保护制度，实施知识产权侵权惩罚性赔偿制度，加大新业态、新领域知识产权保护力度。</w:t>
      </w:r>
    </w:p>
    <w:tbl>
      <w:tblPr>
        <w:tblStyle w:val="32"/>
        <w:tblW w:w="9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exact"/>
          <w:jc w:val="center"/>
        </w:trPr>
        <w:tc>
          <w:tcPr>
            <w:tcW w:w="9071" w:type="dxa"/>
            <w:vAlign w:val="center"/>
          </w:tcPr>
          <w:p>
            <w:pPr>
              <w:pStyle w:val="52"/>
              <w:numPr>
                <w:ilvl w:val="0"/>
                <w:numId w:val="0"/>
              </w:numPr>
              <w:spacing w:after="0" w:line="360" w:lineRule="exact"/>
              <w:jc w:val="center"/>
              <w:rPr>
                <w:rFonts w:ascii="仿宋_GB2312" w:hAnsi="仿宋" w:eastAsia="仿宋_GB2312" w:cs="仿宋"/>
                <w:bCs/>
                <w:color w:val="000000" w:themeColor="text1"/>
                <w:sz w:val="28"/>
                <w:szCs w:val="28"/>
              </w:rPr>
            </w:pPr>
            <w:r>
              <w:rPr>
                <w:rFonts w:hint="eastAsia" w:ascii="黑体" w:hAnsi="黑体" w:eastAsia="黑体" w:cs="黑体"/>
                <w:bCs/>
                <w:color w:val="000000" w:themeColor="text1"/>
                <w:sz w:val="28"/>
                <w:szCs w:val="28"/>
              </w:rPr>
              <w:t>专栏13：重点领域要素市场化配置方向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071" w:type="dxa"/>
          </w:tcPr>
          <w:p>
            <w:pPr>
              <w:spacing w:line="400" w:lineRule="exact"/>
              <w:ind w:firstLine="482"/>
              <w:rPr>
                <w:rFonts w:ascii="仿宋_GB2312" w:eastAsia="仿宋_GB2312"/>
                <w:b/>
                <w:color w:val="000000" w:themeColor="text1"/>
                <w:kern w:val="0"/>
                <w:sz w:val="24"/>
              </w:rPr>
            </w:pPr>
            <w:r>
              <w:rPr>
                <w:rFonts w:hint="eastAsia" w:ascii="仿宋_GB2312" w:eastAsia="仿宋_GB2312"/>
                <w:b/>
                <w:color w:val="000000" w:themeColor="text1"/>
                <w:kern w:val="0"/>
                <w:sz w:val="24"/>
              </w:rPr>
              <w:t>（一）土地要素</w:t>
            </w:r>
          </w:p>
          <w:p>
            <w:pPr>
              <w:spacing w:line="400" w:lineRule="exact"/>
              <w:ind w:firstLine="480"/>
              <w:rPr>
                <w:rFonts w:ascii="仿宋_GB2312" w:eastAsia="仿宋_GB2312"/>
                <w:color w:val="000000" w:themeColor="text1"/>
                <w:kern w:val="0"/>
                <w:sz w:val="24"/>
              </w:rPr>
            </w:pPr>
            <w:r>
              <w:rPr>
                <w:rFonts w:hint="eastAsia" w:ascii="仿宋_GB2312" w:eastAsia="仿宋_GB2312"/>
                <w:color w:val="000000" w:themeColor="text1"/>
                <w:kern w:val="0"/>
                <w:sz w:val="24"/>
              </w:rPr>
              <w:t>按照国家和省部署推进集体经营性建设用地直接入市，建立公平合理的增值收益分配制度。推动土地复合开发利用、用途合理转换，探索土地收储前期开发一体化模式。深入推进“节地增效”行动，新增建设用地计划与存量土地处置规模挂钩。在老城区开展存量建设用地再开发试点，探索多个企业主体以资产证券化形式，形成同一主体对存量建设用地再开发、已收储未开发用地再利用等市场机制。</w:t>
            </w:r>
          </w:p>
          <w:p>
            <w:pPr>
              <w:spacing w:line="400" w:lineRule="exact"/>
              <w:ind w:firstLine="482"/>
              <w:rPr>
                <w:rFonts w:ascii="仿宋_GB2312" w:eastAsia="仿宋_GB2312"/>
                <w:b/>
                <w:color w:val="000000" w:themeColor="text1"/>
                <w:kern w:val="0"/>
                <w:sz w:val="24"/>
              </w:rPr>
            </w:pPr>
            <w:r>
              <w:rPr>
                <w:rFonts w:hint="eastAsia" w:ascii="仿宋_GB2312" w:eastAsia="仿宋_GB2312"/>
                <w:b/>
                <w:color w:val="000000" w:themeColor="text1"/>
                <w:kern w:val="0"/>
                <w:sz w:val="24"/>
              </w:rPr>
              <w:t>（二）劳动力要素</w:t>
            </w:r>
          </w:p>
          <w:p>
            <w:pPr>
              <w:spacing w:line="400" w:lineRule="exact"/>
              <w:ind w:firstLine="480"/>
              <w:rPr>
                <w:rFonts w:ascii="仿宋_GB2312" w:eastAsia="仿宋_GB2312"/>
                <w:color w:val="000000" w:themeColor="text1"/>
                <w:kern w:val="0"/>
                <w:sz w:val="24"/>
              </w:rPr>
            </w:pPr>
            <w:r>
              <w:rPr>
                <w:rFonts w:hint="eastAsia" w:ascii="仿宋_GB2312" w:eastAsia="仿宋_GB2312"/>
                <w:color w:val="000000" w:themeColor="text1"/>
                <w:kern w:val="0"/>
                <w:sz w:val="24"/>
              </w:rPr>
              <w:t>推进人力资源市场体系建设，加快构建促进劳动力和人才社会性流动体制机制。畅通非公有制经济组织、社会组织、自由职业专业技术人员职称申报渠道。探索推动非公有制经济组织和社会组织优秀人才与党政机关、国有企事业单位人才双向流动。加强对就业困难群体就业援助，实施优先扶持和重点帮助。</w:t>
            </w:r>
          </w:p>
          <w:p>
            <w:pPr>
              <w:spacing w:line="400" w:lineRule="exact"/>
              <w:ind w:firstLine="482"/>
              <w:rPr>
                <w:rFonts w:ascii="仿宋_GB2312" w:eastAsia="仿宋_GB2312"/>
                <w:b/>
                <w:color w:val="000000" w:themeColor="text1"/>
                <w:kern w:val="0"/>
                <w:sz w:val="24"/>
              </w:rPr>
            </w:pPr>
            <w:r>
              <w:rPr>
                <w:rFonts w:hint="eastAsia" w:ascii="仿宋_GB2312" w:eastAsia="仿宋_GB2312"/>
                <w:b/>
                <w:color w:val="000000" w:themeColor="text1"/>
                <w:kern w:val="0"/>
                <w:sz w:val="24"/>
              </w:rPr>
              <w:t>（三）技术要素</w:t>
            </w:r>
          </w:p>
          <w:p>
            <w:pPr>
              <w:spacing w:line="400" w:lineRule="exact"/>
              <w:ind w:firstLine="480"/>
              <w:rPr>
                <w:rFonts w:ascii="仿宋_GB2312" w:eastAsia="仿宋_GB2312"/>
                <w:color w:val="000000" w:themeColor="text1"/>
                <w:kern w:val="0"/>
                <w:sz w:val="24"/>
              </w:rPr>
            </w:pPr>
            <w:r>
              <w:rPr>
                <w:rFonts w:hint="eastAsia" w:ascii="仿宋_GB2312" w:eastAsia="仿宋_GB2312"/>
                <w:color w:val="000000" w:themeColor="text1"/>
                <w:kern w:val="0"/>
                <w:sz w:val="24"/>
              </w:rPr>
              <w:t>探索试点赋予科技人员职务科技成果所有权或长期使用权，建立对科研人员创新研发和转化成果的长期激励机制。深化产学研协同创新，支持科技企业联合高校院所、科研机构合作建设一批新型研发机构，开发产业共性与关键技术。</w:t>
            </w:r>
          </w:p>
          <w:p>
            <w:pPr>
              <w:spacing w:line="400" w:lineRule="exact"/>
              <w:ind w:firstLine="482"/>
              <w:rPr>
                <w:rFonts w:ascii="仿宋_GB2312" w:eastAsia="仿宋_GB2312"/>
                <w:b/>
                <w:color w:val="000000" w:themeColor="text1"/>
                <w:kern w:val="0"/>
                <w:sz w:val="24"/>
              </w:rPr>
            </w:pPr>
            <w:r>
              <w:rPr>
                <w:rFonts w:hint="eastAsia" w:ascii="仿宋_GB2312" w:eastAsia="仿宋_GB2312"/>
                <w:b/>
                <w:color w:val="000000" w:themeColor="text1"/>
                <w:kern w:val="0"/>
                <w:sz w:val="24"/>
              </w:rPr>
              <w:t>（四）数据要素</w:t>
            </w:r>
          </w:p>
          <w:p>
            <w:pPr>
              <w:spacing w:line="400" w:lineRule="exact"/>
              <w:ind w:firstLine="480"/>
              <w:rPr>
                <w:rFonts w:ascii="仿宋" w:hAnsi="仿宋" w:cs="仿宋"/>
                <w:color w:val="000000" w:themeColor="text1"/>
                <w:sz w:val="28"/>
                <w:szCs w:val="28"/>
              </w:rPr>
            </w:pPr>
            <w:r>
              <w:rPr>
                <w:rFonts w:hint="eastAsia" w:ascii="仿宋_GB2312" w:eastAsia="仿宋_GB2312"/>
                <w:color w:val="000000" w:themeColor="text1"/>
                <w:kern w:val="0"/>
                <w:sz w:val="24"/>
              </w:rPr>
              <w:t>推动各级政务服务部门相关数据的归集和共享，加快公共数据向社会开放。推动数字技术在生产制造、生活娱乐等领域的融合应用。支持构建交通、教育、安防、城市管理等领域规范化数据开发利用场景，探索建立统一规范的数据管理体系。</w:t>
            </w:r>
          </w:p>
        </w:tc>
      </w:tr>
    </w:tbl>
    <w:p>
      <w:pPr>
        <w:pStyle w:val="74"/>
        <w:adjustRightInd/>
        <w:snapToGrid/>
        <w:spacing w:line="580" w:lineRule="exact"/>
        <w:rPr>
          <w:rFonts w:ascii="楷体_GB2312" w:eastAsia="楷体_GB2312"/>
          <w:color w:val="000000" w:themeColor="text1"/>
        </w:rPr>
      </w:pPr>
      <w:bookmarkStart w:id="376" w:name="_Toc24288"/>
      <w:bookmarkStart w:id="377" w:name="_Toc19292"/>
      <w:bookmarkStart w:id="378" w:name="_Toc64542164"/>
    </w:p>
    <w:p>
      <w:pPr>
        <w:pStyle w:val="74"/>
        <w:adjustRightInd/>
        <w:snapToGrid/>
        <w:spacing w:line="580" w:lineRule="exact"/>
        <w:rPr>
          <w:rFonts w:ascii="楷体_GB2312" w:eastAsia="楷体_GB2312"/>
          <w:color w:val="000000" w:themeColor="text1"/>
        </w:rPr>
      </w:pPr>
      <w:r>
        <w:rPr>
          <w:rFonts w:hint="eastAsia" w:ascii="楷体_GB2312" w:eastAsia="楷体_GB2312"/>
          <w:color w:val="000000" w:themeColor="text1"/>
        </w:rPr>
        <w:t>第三节  加强社会信用体系建设</w:t>
      </w:r>
      <w:bookmarkEnd w:id="372"/>
      <w:bookmarkEnd w:id="373"/>
      <w:bookmarkEnd w:id="374"/>
      <w:bookmarkEnd w:id="375"/>
      <w:bookmarkEnd w:id="376"/>
      <w:bookmarkEnd w:id="377"/>
      <w:bookmarkEnd w:id="378"/>
    </w:p>
    <w:p>
      <w:pPr>
        <w:spacing w:line="580" w:lineRule="exact"/>
        <w:ind w:firstLine="616"/>
        <w:rPr>
          <w:rFonts w:ascii="仿宋_GB2312" w:eastAsia="仿宋_GB2312"/>
          <w:color w:val="000000" w:themeColor="text1"/>
          <w:spacing w:val="-6"/>
          <w:kern w:val="0"/>
        </w:rPr>
      </w:pPr>
    </w:p>
    <w:p>
      <w:pPr>
        <w:spacing w:line="580" w:lineRule="exact"/>
        <w:ind w:firstLine="616"/>
        <w:rPr>
          <w:rFonts w:ascii="仿宋_GB2312" w:eastAsia="仿宋_GB2312"/>
          <w:color w:val="000000" w:themeColor="text1"/>
          <w:spacing w:val="-6"/>
          <w:kern w:val="0"/>
        </w:rPr>
      </w:pPr>
      <w:r>
        <w:rPr>
          <w:rFonts w:hint="eastAsia" w:ascii="仿宋_GB2312" w:eastAsia="仿宋_GB2312"/>
          <w:color w:val="000000" w:themeColor="text1"/>
          <w:spacing w:val="-6"/>
          <w:kern w:val="0"/>
        </w:rPr>
        <w:t>健全政府守信践诺机制，对不履行政府承诺和合同协议的政府部门及有关负责人建立政务失信记录。成立市信用中心，</w:t>
      </w:r>
      <w:r>
        <w:rPr>
          <w:rFonts w:ascii="仿宋_GB2312" w:eastAsia="仿宋_GB2312"/>
          <w:color w:val="000000" w:themeColor="text1"/>
          <w:spacing w:val="-6"/>
          <w:kern w:val="0"/>
        </w:rPr>
        <w:t>推</w:t>
      </w:r>
      <w:r>
        <w:rPr>
          <w:rFonts w:hint="eastAsia" w:ascii="仿宋_GB2312" w:eastAsia="仿宋_GB2312"/>
          <w:color w:val="000000" w:themeColor="text1"/>
          <w:spacing w:val="-6"/>
          <w:kern w:val="0"/>
        </w:rPr>
        <w:t>动</w:t>
      </w:r>
      <w:r>
        <w:rPr>
          <w:rFonts w:ascii="仿宋_GB2312" w:eastAsia="仿宋_GB2312"/>
          <w:color w:val="000000" w:themeColor="text1"/>
          <w:spacing w:val="-6"/>
          <w:kern w:val="0"/>
        </w:rPr>
        <w:t>信用信息平台、行业信用信息系统互联互通</w:t>
      </w:r>
      <w:r>
        <w:rPr>
          <w:rFonts w:hint="eastAsia" w:ascii="仿宋_GB2312" w:eastAsia="仿宋_GB2312"/>
          <w:color w:val="000000" w:themeColor="text1"/>
          <w:spacing w:val="-6"/>
          <w:kern w:val="0"/>
        </w:rPr>
        <w:t>，完善信用信息采集统筹机制</w:t>
      </w:r>
      <w:r>
        <w:rPr>
          <w:rFonts w:ascii="仿宋_GB2312" w:eastAsia="仿宋_GB2312"/>
          <w:color w:val="000000" w:themeColor="text1"/>
          <w:spacing w:val="-6"/>
          <w:kern w:val="0"/>
        </w:rPr>
        <w:t>。</w:t>
      </w:r>
      <w:r>
        <w:rPr>
          <w:rFonts w:hint="eastAsia" w:ascii="仿宋_GB2312" w:eastAsia="仿宋_GB2312"/>
          <w:color w:val="000000" w:themeColor="text1"/>
          <w:spacing w:val="-6"/>
          <w:szCs w:val="32"/>
        </w:rPr>
        <w:t>健全信用“红黑榜”及信用联合奖惩机制。积极培育信用服务市场，实施“信易+”工程，</w:t>
      </w:r>
      <w:r>
        <w:rPr>
          <w:rFonts w:ascii="仿宋_GB2312" w:eastAsia="仿宋_GB2312"/>
          <w:color w:val="000000" w:themeColor="text1"/>
          <w:spacing w:val="-6"/>
          <w:szCs w:val="32"/>
        </w:rPr>
        <w:t>推广信易贷、信易租、信易游、信易行、信易批等信用创新产品和服务</w:t>
      </w:r>
      <w:r>
        <w:rPr>
          <w:rFonts w:hint="eastAsia" w:ascii="仿宋_GB2312" w:eastAsia="仿宋_GB2312"/>
          <w:color w:val="000000" w:themeColor="text1"/>
          <w:spacing w:val="-6"/>
          <w:szCs w:val="32"/>
        </w:rPr>
        <w:t>。</w:t>
      </w:r>
      <w:r>
        <w:rPr>
          <w:rFonts w:hint="eastAsia" w:ascii="仿宋_GB2312" w:eastAsia="仿宋_GB2312"/>
          <w:color w:val="000000" w:themeColor="text1"/>
          <w:spacing w:val="-6"/>
          <w:kern w:val="0"/>
        </w:rPr>
        <w:t>实施信用分级分类，</w:t>
      </w:r>
      <w:r>
        <w:rPr>
          <w:rFonts w:ascii="仿宋_GB2312" w:eastAsia="仿宋_GB2312"/>
          <w:color w:val="000000" w:themeColor="text1"/>
          <w:spacing w:val="-6"/>
          <w:kern w:val="0"/>
        </w:rPr>
        <w:t>构建以信用为基础的新型监管机制</w:t>
      </w:r>
      <w:r>
        <w:rPr>
          <w:rFonts w:hint="eastAsia" w:ascii="仿宋_GB2312" w:eastAsia="仿宋_GB2312"/>
          <w:color w:val="000000" w:themeColor="text1"/>
          <w:spacing w:val="-6"/>
          <w:kern w:val="0"/>
        </w:rPr>
        <w:t>。健全信用修复机制。</w:t>
      </w:r>
      <w:r>
        <w:rPr>
          <w:rFonts w:ascii="仿宋_GB2312" w:eastAsia="仿宋_GB2312"/>
          <w:color w:val="000000" w:themeColor="text1"/>
          <w:spacing w:val="-6"/>
          <w:kern w:val="0"/>
        </w:rPr>
        <w:t>推</w:t>
      </w:r>
      <w:r>
        <w:rPr>
          <w:rFonts w:hint="eastAsia" w:ascii="仿宋_GB2312" w:eastAsia="仿宋_GB2312"/>
          <w:color w:val="000000" w:themeColor="text1"/>
          <w:spacing w:val="-6"/>
          <w:kern w:val="0"/>
        </w:rPr>
        <w:t>进</w:t>
      </w:r>
      <w:r>
        <w:rPr>
          <w:rFonts w:ascii="仿宋_GB2312" w:eastAsia="仿宋_GB2312"/>
          <w:color w:val="000000" w:themeColor="text1"/>
          <w:spacing w:val="-6"/>
          <w:kern w:val="0"/>
        </w:rPr>
        <w:t>信用立法</w:t>
      </w:r>
      <w:r>
        <w:rPr>
          <w:rFonts w:hint="eastAsia" w:ascii="仿宋_GB2312" w:eastAsia="仿宋_GB2312"/>
          <w:color w:val="000000" w:themeColor="text1"/>
          <w:spacing w:val="-6"/>
          <w:kern w:val="0"/>
        </w:rPr>
        <w:t>。</w:t>
      </w:r>
      <w:r>
        <w:rPr>
          <w:rFonts w:ascii="仿宋_GB2312" w:eastAsia="仿宋_GB2312"/>
          <w:color w:val="000000" w:themeColor="text1"/>
          <w:spacing w:val="-6"/>
          <w:kern w:val="0"/>
        </w:rPr>
        <w:t>加快</w:t>
      </w:r>
      <w:r>
        <w:rPr>
          <w:rFonts w:hint="eastAsia" w:ascii="仿宋_GB2312" w:eastAsia="仿宋_GB2312"/>
          <w:color w:val="000000" w:themeColor="text1"/>
          <w:spacing w:val="-6"/>
          <w:kern w:val="0"/>
        </w:rPr>
        <w:t>创建</w:t>
      </w:r>
      <w:r>
        <w:rPr>
          <w:rFonts w:ascii="仿宋_GB2312" w:eastAsia="仿宋_GB2312"/>
          <w:color w:val="000000" w:themeColor="text1"/>
          <w:spacing w:val="-6"/>
          <w:kern w:val="0"/>
        </w:rPr>
        <w:t>社会信用体系建设示范</w:t>
      </w:r>
      <w:r>
        <w:rPr>
          <w:rFonts w:hint="eastAsia" w:ascii="仿宋_GB2312" w:eastAsia="仿宋_GB2312"/>
          <w:color w:val="000000" w:themeColor="text1"/>
          <w:spacing w:val="-6"/>
          <w:kern w:val="0"/>
        </w:rPr>
        <w:t>城市，打造“信用南昌”城市品牌</w:t>
      </w:r>
      <w:r>
        <w:rPr>
          <w:rFonts w:ascii="仿宋_GB2312" w:eastAsia="仿宋_GB2312"/>
          <w:color w:val="000000" w:themeColor="text1"/>
          <w:spacing w:val="-6"/>
          <w:kern w:val="0"/>
        </w:rPr>
        <w:t>。</w:t>
      </w:r>
    </w:p>
    <w:p>
      <w:pPr>
        <w:pStyle w:val="31"/>
        <w:autoSpaceDN/>
        <w:spacing w:line="580" w:lineRule="exact"/>
        <w:ind w:firstLine="640"/>
      </w:pPr>
    </w:p>
    <w:p>
      <w:pPr>
        <w:pStyle w:val="23"/>
        <w:adjustRightInd/>
        <w:snapToGrid/>
        <w:spacing w:line="580" w:lineRule="exact"/>
        <w:rPr>
          <w:b w:val="0"/>
          <w:color w:val="000000" w:themeColor="text1"/>
        </w:rPr>
      </w:pPr>
      <w:bookmarkStart w:id="379" w:name="_Toc10796"/>
      <w:bookmarkStart w:id="380" w:name="_Toc57194247"/>
      <w:bookmarkStart w:id="381" w:name="_Toc57201709"/>
      <w:bookmarkStart w:id="382" w:name="_Toc28075"/>
      <w:bookmarkStart w:id="383" w:name="_Toc57612838"/>
      <w:bookmarkStart w:id="384" w:name="_Toc64542165"/>
      <w:bookmarkStart w:id="385" w:name="_Toc57195708"/>
      <w:r>
        <w:rPr>
          <w:rFonts w:hint="eastAsia"/>
          <w:b w:val="0"/>
          <w:color w:val="000000" w:themeColor="text1"/>
        </w:rPr>
        <w:t>第二十一章  提升政府治理效能</w:t>
      </w:r>
      <w:bookmarkEnd w:id="379"/>
      <w:bookmarkEnd w:id="380"/>
      <w:bookmarkEnd w:id="381"/>
      <w:bookmarkEnd w:id="382"/>
      <w:bookmarkEnd w:id="383"/>
      <w:bookmarkEnd w:id="384"/>
      <w:bookmarkEnd w:id="385"/>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深入推进“放管服”改革，推动“五型”政府建设走深走实，不断优化“四最”营商环境，全面提升政府治理能力和水平，加快推进我市高质量跨越式发展。</w:t>
      </w:r>
    </w:p>
    <w:p>
      <w:pPr>
        <w:pStyle w:val="74"/>
        <w:adjustRightInd/>
        <w:snapToGrid/>
        <w:spacing w:line="580" w:lineRule="exact"/>
        <w:rPr>
          <w:rFonts w:ascii="楷体_GB2312" w:eastAsia="楷体_GB2312"/>
          <w:color w:val="000000" w:themeColor="text1"/>
        </w:rPr>
      </w:pPr>
      <w:bookmarkStart w:id="386" w:name="_Toc28307"/>
      <w:bookmarkStart w:id="387" w:name="_Toc12881"/>
    </w:p>
    <w:p>
      <w:pPr>
        <w:pStyle w:val="74"/>
        <w:adjustRightInd/>
        <w:snapToGrid/>
        <w:spacing w:line="580" w:lineRule="exact"/>
        <w:rPr>
          <w:rFonts w:ascii="楷体_GB2312" w:eastAsia="楷体_GB2312"/>
          <w:color w:val="000000" w:themeColor="text1"/>
        </w:rPr>
      </w:pPr>
      <w:bookmarkStart w:id="388" w:name="_Toc64542166"/>
    </w:p>
    <w:p>
      <w:pPr>
        <w:pStyle w:val="74"/>
        <w:adjustRightInd/>
        <w:snapToGrid/>
        <w:spacing w:line="580" w:lineRule="exact"/>
        <w:rPr>
          <w:rFonts w:ascii="楷体_GB2312" w:eastAsia="楷体_GB2312"/>
          <w:color w:val="000000" w:themeColor="text1"/>
        </w:rPr>
      </w:pPr>
    </w:p>
    <w:p>
      <w:pPr>
        <w:pStyle w:val="74"/>
        <w:adjustRightInd/>
        <w:snapToGrid/>
        <w:spacing w:line="580" w:lineRule="exact"/>
        <w:rPr>
          <w:bCs/>
          <w:color w:val="000000" w:themeColor="text1"/>
          <w:szCs w:val="34"/>
        </w:rPr>
      </w:pPr>
      <w:r>
        <w:rPr>
          <w:rFonts w:hint="eastAsia" w:ascii="楷体_GB2312" w:eastAsia="楷体_GB2312"/>
          <w:color w:val="000000" w:themeColor="text1"/>
        </w:rPr>
        <w:t>第一节  全面优化营商环境</w:t>
      </w:r>
      <w:bookmarkEnd w:id="386"/>
      <w:bookmarkEnd w:id="387"/>
      <w:bookmarkEnd w:id="388"/>
    </w:p>
    <w:p>
      <w:pPr>
        <w:spacing w:line="580" w:lineRule="exact"/>
        <w:ind w:firstLine="640"/>
        <w:rPr>
          <w:rFonts w:eastAsia="仿宋_GB2312"/>
          <w:bCs/>
          <w:color w:val="000000" w:themeColor="text1"/>
          <w:szCs w:val="34"/>
        </w:rPr>
      </w:pPr>
    </w:p>
    <w:p>
      <w:pPr>
        <w:spacing w:line="580" w:lineRule="exact"/>
        <w:ind w:firstLine="640"/>
        <w:rPr>
          <w:rFonts w:ascii="仿宋_GB2312" w:eastAsia="仿宋_GB2312"/>
          <w:color w:val="000000" w:themeColor="text1"/>
          <w:kern w:val="0"/>
        </w:rPr>
      </w:pPr>
      <w:r>
        <w:rPr>
          <w:rFonts w:hint="eastAsia" w:eastAsia="仿宋_GB2312"/>
          <w:bCs/>
          <w:color w:val="000000" w:themeColor="text1"/>
          <w:szCs w:val="34"/>
        </w:rPr>
        <w:t>全面实行政府权责清单制度，持续深化“放管服”改革。严格对标对表国际营商环境评价体系，推动营商环境建设步入市场化、国际化、法治化轨道。全面深化相对集中行政许可权改革，探索构建数据集中、高效协同、权责匹配的审批模式，打造工程项目建设审批“六多合一”升级版。大力推进重大重点项目“大承诺、大容缺、大模拟”超简审批改革，全面推行企业投资项目审批承诺制，完善项目代办服务机制。深化商事制度改革，实施涉企经营许可事项清单管理，完善事中事后监管，建立健全包容审慎监管机制。建设移动办事之城，拓展提升“赣服通”南昌分厅服务功能，实现政务服务事项“一网通办”，认真落实“一次不跑”和“只跑一次”政府服务举措。实行重大决策事前评估和事后评价，提高决策科学化、民主化、法治化水平，深入开展政务服务“好差评”。</w:t>
      </w:r>
      <w:r>
        <w:rPr>
          <w:rFonts w:hint="eastAsia" w:ascii="仿宋_GB2312" w:eastAsia="仿宋_GB2312"/>
          <w:color w:val="000000" w:themeColor="text1"/>
          <w:kern w:val="0"/>
        </w:rPr>
        <w:t>到2025年，力争我市进入区域性营商环境标杆城市行列。</w:t>
      </w:r>
    </w:p>
    <w:p>
      <w:pPr>
        <w:spacing w:line="580" w:lineRule="exact"/>
        <w:ind w:firstLine="640"/>
      </w:pPr>
    </w:p>
    <w:p>
      <w:pPr>
        <w:pStyle w:val="74"/>
        <w:adjustRightInd/>
        <w:snapToGrid/>
        <w:spacing w:line="580" w:lineRule="exact"/>
        <w:rPr>
          <w:rFonts w:ascii="楷体_GB2312" w:eastAsia="楷体_GB2312"/>
          <w:color w:val="000000" w:themeColor="text1"/>
        </w:rPr>
      </w:pPr>
      <w:bookmarkStart w:id="389" w:name="_Toc57194250"/>
      <w:bookmarkStart w:id="390" w:name="_Toc31767"/>
      <w:bookmarkStart w:id="391" w:name="_Toc57612841"/>
      <w:bookmarkStart w:id="392" w:name="_Toc57201712"/>
      <w:bookmarkStart w:id="393" w:name="_Toc12401"/>
      <w:bookmarkStart w:id="394" w:name="_Toc64542167"/>
      <w:bookmarkStart w:id="395" w:name="_Toc57195711"/>
      <w:r>
        <w:rPr>
          <w:rFonts w:hint="eastAsia" w:ascii="楷体_GB2312" w:eastAsia="楷体_GB2312"/>
          <w:color w:val="000000" w:themeColor="text1"/>
        </w:rPr>
        <w:t>第二节  深化财税体制改革</w:t>
      </w:r>
      <w:bookmarkEnd w:id="389"/>
      <w:bookmarkEnd w:id="390"/>
      <w:bookmarkEnd w:id="391"/>
      <w:bookmarkEnd w:id="392"/>
      <w:bookmarkEnd w:id="393"/>
      <w:bookmarkEnd w:id="394"/>
      <w:bookmarkEnd w:id="395"/>
    </w:p>
    <w:p>
      <w:pPr>
        <w:spacing w:line="580" w:lineRule="exact"/>
        <w:ind w:firstLine="640"/>
        <w:rPr>
          <w:rFonts w:ascii="Times New Roman" w:hAnsi="Times New Roman" w:eastAsia="仿宋_GB2312" w:cs="宋体"/>
          <w:color w:val="000000" w:themeColor="text1"/>
          <w:szCs w:val="34"/>
        </w:rPr>
      </w:pPr>
    </w:p>
    <w:p>
      <w:pPr>
        <w:spacing w:line="570" w:lineRule="exact"/>
        <w:ind w:firstLine="640"/>
        <w:rPr>
          <w:rFonts w:ascii="仿宋_GB2312" w:eastAsia="仿宋_GB2312"/>
          <w:color w:val="000000" w:themeColor="text1"/>
          <w:szCs w:val="32"/>
        </w:rPr>
      </w:pPr>
      <w:r>
        <w:rPr>
          <w:rFonts w:hint="eastAsia" w:ascii="Times New Roman" w:hAnsi="Times New Roman" w:eastAsia="仿宋_GB2312" w:cs="宋体"/>
          <w:color w:val="000000" w:themeColor="text1"/>
          <w:szCs w:val="34"/>
        </w:rPr>
        <w:t>加强财政对公共资源的统筹，提升财政保障能力。深化预算管理制度改革，加强中期财政规划管理。推进财政支出标准化建设，强化预算约束和绩效管理。优化市县两级政府事权和财权划分，形成稳定的政府事权、支出责任和财力相适应的制度，增强基层公共服务保障能力。完善政府债务管理制度。</w:t>
      </w:r>
      <w:r>
        <w:rPr>
          <w:rFonts w:hint="eastAsia" w:ascii="仿宋_GB2312" w:eastAsia="仿宋_GB2312"/>
          <w:color w:val="000000" w:themeColor="text1"/>
          <w:kern w:val="0"/>
        </w:rPr>
        <w:t>大力推动零基预算改革，力争3年左右实现零基预算改革全覆盖。</w:t>
      </w:r>
      <w:r>
        <w:rPr>
          <w:rFonts w:hint="eastAsia" w:ascii="仿宋_GB2312" w:hAnsi="Calibri" w:eastAsia="仿宋_GB2312" w:cs="仿宋_GB2312"/>
          <w:color w:val="000000" w:themeColor="text1"/>
          <w:szCs w:val="32"/>
        </w:rPr>
        <w:t>深化</w:t>
      </w:r>
      <w:r>
        <w:rPr>
          <w:rFonts w:hint="eastAsia" w:ascii="仿宋_GB2312" w:hAnsi="Calibri" w:eastAsia="仿宋_GB2312" w:cs="仿宋_GB2312"/>
          <w:bCs/>
          <w:color w:val="000000" w:themeColor="text1"/>
          <w:szCs w:val="32"/>
        </w:rPr>
        <w:t>土地收益分成体制改革，</w:t>
      </w:r>
      <w:r>
        <w:rPr>
          <w:rFonts w:hint="eastAsia" w:ascii="仿宋_GB2312" w:hAnsi="Calibri" w:eastAsia="仿宋_GB2312" w:cs="仿宋_GB2312"/>
          <w:color w:val="000000" w:themeColor="text1"/>
          <w:szCs w:val="32"/>
        </w:rPr>
        <w:t>调整市县（区）土地收益分成体制。</w:t>
      </w:r>
      <w:r>
        <w:rPr>
          <w:rFonts w:hint="eastAsia" w:ascii="仿宋_GB2312" w:eastAsia="仿宋_GB2312"/>
          <w:color w:val="000000" w:themeColor="text1"/>
          <w:szCs w:val="32"/>
        </w:rPr>
        <w:t>按照国家和省统一部署稳步推进地方税改革，优化税收征管体系。</w:t>
      </w:r>
    </w:p>
    <w:p>
      <w:pPr>
        <w:spacing w:line="570" w:lineRule="exact"/>
        <w:ind w:firstLine="640"/>
      </w:pPr>
    </w:p>
    <w:p>
      <w:pPr>
        <w:pStyle w:val="74"/>
        <w:adjustRightInd/>
        <w:snapToGrid/>
        <w:spacing w:line="570" w:lineRule="exact"/>
        <w:rPr>
          <w:rFonts w:ascii="楷体_GB2312" w:eastAsia="楷体_GB2312"/>
          <w:color w:val="000000" w:themeColor="text1"/>
        </w:rPr>
      </w:pPr>
      <w:bookmarkStart w:id="396" w:name="_Toc30660"/>
      <w:bookmarkStart w:id="397" w:name="_Toc57194251"/>
      <w:bookmarkStart w:id="398" w:name="_Toc57195712"/>
      <w:bookmarkStart w:id="399" w:name="_Toc57612842"/>
      <w:bookmarkStart w:id="400" w:name="_Toc57201713"/>
      <w:bookmarkStart w:id="401" w:name="_Toc18516"/>
      <w:bookmarkStart w:id="402" w:name="_Toc64542168"/>
      <w:r>
        <w:rPr>
          <w:rFonts w:hint="eastAsia" w:ascii="楷体_GB2312" w:eastAsia="楷体_GB2312"/>
          <w:color w:val="000000" w:themeColor="text1"/>
        </w:rPr>
        <w:t>第三节  深化投融资体制改革</w:t>
      </w:r>
      <w:bookmarkEnd w:id="396"/>
      <w:bookmarkEnd w:id="397"/>
      <w:bookmarkEnd w:id="398"/>
      <w:bookmarkEnd w:id="399"/>
      <w:bookmarkEnd w:id="400"/>
      <w:bookmarkEnd w:id="401"/>
      <w:bookmarkEnd w:id="402"/>
    </w:p>
    <w:p>
      <w:pPr>
        <w:spacing w:line="570" w:lineRule="exact"/>
        <w:ind w:firstLine="640"/>
        <w:rPr>
          <w:rFonts w:ascii="Times New Roman" w:hAnsi="Times New Roman" w:eastAsia="仿宋_GB2312" w:cs="宋体"/>
          <w:color w:val="000000" w:themeColor="text1"/>
          <w:szCs w:val="34"/>
        </w:rPr>
      </w:pPr>
    </w:p>
    <w:p>
      <w:pPr>
        <w:spacing w:line="570" w:lineRule="exact"/>
        <w:ind w:firstLine="640"/>
      </w:pPr>
      <w:r>
        <w:rPr>
          <w:rFonts w:hint="eastAsia" w:ascii="Times New Roman" w:hAnsi="Times New Roman" w:eastAsia="仿宋_GB2312" w:cs="宋体"/>
          <w:color w:val="000000" w:themeColor="text1"/>
          <w:szCs w:val="34"/>
        </w:rPr>
        <w:t>大力提升金融对实体经济的有效支持，提升金融科技水平，增强金融普惠性。积极发展股权质押融资、债转股等金融业务。综合运用专项债、企业债、资产证券化、PPP</w:t>
      </w:r>
      <w:r>
        <w:rPr>
          <w:rStyle w:val="38"/>
          <w:rFonts w:ascii="Times New Roman" w:hAnsi="Times New Roman" w:eastAsia="仿宋_GB2312" w:cs="宋体"/>
          <w:color w:val="000000" w:themeColor="text1"/>
          <w:szCs w:val="34"/>
        </w:rPr>
        <w:footnoteReference w:id="6"/>
      </w:r>
      <w:r>
        <w:rPr>
          <w:rFonts w:hint="eastAsia" w:ascii="Times New Roman" w:hAnsi="Times New Roman" w:eastAsia="仿宋_GB2312" w:cs="宋体"/>
          <w:color w:val="000000" w:themeColor="text1"/>
          <w:szCs w:val="34"/>
        </w:rPr>
        <w:t>、基础设施REITs</w:t>
      </w:r>
      <w:r>
        <w:rPr>
          <w:rStyle w:val="38"/>
          <w:rFonts w:ascii="Times New Roman" w:hAnsi="Times New Roman" w:eastAsia="仿宋_GB2312" w:cs="宋体"/>
          <w:color w:val="000000" w:themeColor="text1"/>
          <w:szCs w:val="34"/>
        </w:rPr>
        <w:footnoteReference w:id="7"/>
      </w:r>
      <w:r>
        <w:rPr>
          <w:rFonts w:hint="eastAsia" w:ascii="Times New Roman" w:hAnsi="Times New Roman" w:eastAsia="仿宋_GB2312" w:cs="宋体"/>
          <w:color w:val="000000" w:themeColor="text1"/>
          <w:szCs w:val="34"/>
        </w:rPr>
        <w:t>、股权转让、公开上市等方式，盘活优质资产，形成良性融资循环。全面对接“映山红”行动计划，培育一批上市企业。</w:t>
      </w:r>
      <w:r>
        <w:rPr>
          <w:rFonts w:hint="eastAsia" w:ascii="仿宋_GB2312" w:eastAsia="仿宋_GB2312"/>
          <w:color w:val="000000" w:themeColor="text1"/>
          <w:kern w:val="0"/>
        </w:rPr>
        <w:t>支持已上市企业实施再融资，支持符合条件的企业发行各类债券。</w:t>
      </w:r>
      <w:r>
        <w:rPr>
          <w:rFonts w:hint="eastAsia" w:ascii="仿宋_GB2312" w:hAnsi="宋体" w:eastAsia="仿宋_GB2312" w:cs="宋体"/>
          <w:color w:val="000000" w:themeColor="text1"/>
          <w:kern w:val="0"/>
          <w:szCs w:val="32"/>
          <w:lang w:val="zh-CN"/>
        </w:rPr>
        <w:t>全力推进产业资本运营体系改革</w:t>
      </w:r>
      <w:r>
        <w:rPr>
          <w:rFonts w:hint="eastAsia" w:ascii="仿宋_GB2312" w:hAnsi="仿宋" w:eastAsia="仿宋_GB2312"/>
          <w:color w:val="000000" w:themeColor="text1"/>
        </w:rPr>
        <w:t>，市县两级合力打造资产总规模达四千亿元的产业投资运营体系，</w:t>
      </w:r>
      <w:r>
        <w:rPr>
          <w:rFonts w:hint="eastAsia" w:ascii="仿宋_GB2312" w:eastAsia="仿宋_GB2312"/>
          <w:color w:val="000000" w:themeColor="text1"/>
          <w:kern w:val="0"/>
        </w:rPr>
        <w:t>做大做强工业控股等市级产投平台，打造资本市场“南昌板块”。合理整合政府性融资担保资源，构建市县两级联动的政府性融资担保体系。</w:t>
      </w:r>
      <w:r>
        <w:br w:type="page"/>
      </w:r>
    </w:p>
    <w:p>
      <w:pPr>
        <w:pStyle w:val="29"/>
        <w:adjustRightInd/>
        <w:snapToGrid/>
        <w:spacing w:line="580" w:lineRule="exact"/>
        <w:rPr>
          <w:color w:val="000000" w:themeColor="text1"/>
        </w:rPr>
      </w:pPr>
      <w:bookmarkStart w:id="403" w:name="_Toc11001"/>
      <w:bookmarkStart w:id="404" w:name="_Toc13926"/>
      <w:bookmarkStart w:id="405" w:name="_Toc64542169"/>
    </w:p>
    <w:p>
      <w:pPr>
        <w:pStyle w:val="29"/>
        <w:adjustRightInd/>
        <w:snapToGrid/>
        <w:spacing w:line="580" w:lineRule="exact"/>
        <w:rPr>
          <w:color w:val="000000" w:themeColor="text1"/>
        </w:rPr>
      </w:pPr>
      <w:r>
        <w:rPr>
          <w:rFonts w:hint="eastAsia"/>
          <w:color w:val="000000" w:themeColor="text1"/>
        </w:rPr>
        <w:t>第七篇  高水平建设内陆开放新高地</w:t>
      </w:r>
      <w:bookmarkEnd w:id="403"/>
      <w:bookmarkEnd w:id="404"/>
      <w:bookmarkEnd w:id="405"/>
    </w:p>
    <w:bookmarkEnd w:id="257"/>
    <w:bookmarkEnd w:id="258"/>
    <w:bookmarkEnd w:id="259"/>
    <w:bookmarkEnd w:id="260"/>
    <w:bookmarkEnd w:id="261"/>
    <w:bookmarkEnd w:id="262"/>
    <w:p>
      <w:pPr>
        <w:spacing w:line="580" w:lineRule="exact"/>
        <w:ind w:firstLine="640"/>
        <w:rPr>
          <w:rFonts w:ascii="仿宋_GB2312" w:eastAsia="仿宋_GB2312"/>
          <w:color w:val="000000" w:themeColor="text1"/>
          <w:kern w:val="0"/>
        </w:rPr>
      </w:pPr>
      <w:bookmarkStart w:id="406" w:name="_Toc57194253"/>
      <w:bookmarkStart w:id="407" w:name="_Toc57195714"/>
      <w:bookmarkStart w:id="408" w:name="_Toc57201715"/>
      <w:bookmarkStart w:id="409" w:name="_Toc57194221"/>
      <w:bookmarkStart w:id="410" w:name="_Toc57612812"/>
      <w:bookmarkStart w:id="411" w:name="_Toc57195682"/>
    </w:p>
    <w:p>
      <w:pPr>
        <w:spacing w:line="580" w:lineRule="exact"/>
        <w:ind w:firstLine="640"/>
        <w:rPr>
          <w:rFonts w:ascii="仿宋_GB2312" w:eastAsia="仿宋_GB2312"/>
          <w:color w:val="000000" w:themeColor="text1"/>
          <w:kern w:val="0"/>
        </w:rPr>
      </w:pPr>
      <w:r>
        <w:rPr>
          <w:rFonts w:ascii="仿宋_GB2312" w:eastAsia="仿宋_GB2312"/>
          <w:color w:val="000000" w:themeColor="text1"/>
          <w:kern w:val="0"/>
        </w:rPr>
        <w:t>以江西内陆开放型经济试验区建设和</w:t>
      </w:r>
      <w:r>
        <w:rPr>
          <w:rFonts w:hint="eastAsia" w:ascii="仿宋_GB2312" w:eastAsia="仿宋_GB2312"/>
          <w:color w:val="000000" w:themeColor="text1"/>
          <w:kern w:val="0"/>
        </w:rPr>
        <w:t>争创江西自贸区</w:t>
      </w:r>
      <w:r>
        <w:rPr>
          <w:rFonts w:ascii="仿宋_GB2312" w:eastAsia="仿宋_GB2312"/>
          <w:color w:val="000000" w:themeColor="text1"/>
          <w:kern w:val="0"/>
        </w:rPr>
        <w:t>为契机，加快推进制度型开放，聚能聚力构建大开放格局，全面提升开放发展质量和水平。</w:t>
      </w:r>
    </w:p>
    <w:p>
      <w:pPr>
        <w:pStyle w:val="31"/>
        <w:autoSpaceDN/>
        <w:spacing w:line="580" w:lineRule="exact"/>
        <w:ind w:firstLine="640"/>
      </w:pPr>
    </w:p>
    <w:p>
      <w:pPr>
        <w:spacing w:line="580" w:lineRule="exact"/>
        <w:ind w:firstLine="0" w:firstLineChars="0"/>
        <w:jc w:val="center"/>
        <w:outlineLvl w:val="1"/>
        <w:rPr>
          <w:rFonts w:ascii="仿宋_GB2312" w:hAnsi="仿宋_GB2312" w:eastAsia="黑体" w:cs="仿宋_GB2312"/>
          <w:color w:val="000000" w:themeColor="text1"/>
          <w:kern w:val="28"/>
          <w:szCs w:val="32"/>
        </w:rPr>
      </w:pPr>
      <w:bookmarkStart w:id="412" w:name="_Toc9726"/>
      <w:bookmarkStart w:id="413" w:name="_Toc17798"/>
      <w:bookmarkStart w:id="414" w:name="_Toc64542170"/>
      <w:r>
        <w:rPr>
          <w:rFonts w:hint="eastAsia" w:ascii="仿宋_GB2312" w:hAnsi="仿宋_GB2312" w:eastAsia="黑体" w:cs="仿宋_GB2312"/>
          <w:color w:val="000000" w:themeColor="text1"/>
          <w:kern w:val="28"/>
          <w:szCs w:val="32"/>
        </w:rPr>
        <w:t>第二十二章  着力优化开放格局</w:t>
      </w:r>
      <w:bookmarkEnd w:id="406"/>
      <w:bookmarkEnd w:id="407"/>
      <w:bookmarkEnd w:id="408"/>
      <w:bookmarkEnd w:id="412"/>
      <w:bookmarkEnd w:id="413"/>
      <w:bookmarkEnd w:id="414"/>
    </w:p>
    <w:p>
      <w:pPr>
        <w:spacing w:line="580" w:lineRule="exact"/>
        <w:ind w:firstLine="640"/>
        <w:rPr>
          <w:rFonts w:ascii="仿宋_GB2312" w:eastAsia="仿宋_GB2312"/>
          <w:color w:val="000000" w:themeColor="text1"/>
          <w:kern w:val="0"/>
        </w:rPr>
      </w:pPr>
      <w:bookmarkStart w:id="415" w:name="_Toc57195716"/>
      <w:bookmarkStart w:id="416" w:name="_Toc57194255"/>
      <w:bookmarkStart w:id="417" w:name="_Toc57201717"/>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积极融入“一带一路”建设和国家区域重大战略，推进产业对接、项目对接、平台建设、通道对接，</w:t>
      </w:r>
      <w:r>
        <w:rPr>
          <w:rFonts w:ascii="仿宋_GB2312" w:eastAsia="仿宋_GB2312"/>
          <w:color w:val="000000" w:themeColor="text1"/>
          <w:kern w:val="0"/>
        </w:rPr>
        <w:t>加快形成多点支撑、多区域联动、全方位深层次的</w:t>
      </w:r>
      <w:r>
        <w:rPr>
          <w:rFonts w:hint="eastAsia" w:ascii="仿宋_GB2312" w:eastAsia="仿宋_GB2312"/>
          <w:color w:val="000000" w:themeColor="text1"/>
          <w:kern w:val="0"/>
        </w:rPr>
        <w:t>对外开放新格局。</w:t>
      </w:r>
    </w:p>
    <w:p>
      <w:pPr>
        <w:pStyle w:val="31"/>
        <w:autoSpaceDN/>
        <w:spacing w:line="580" w:lineRule="exact"/>
        <w:ind w:firstLine="640"/>
      </w:pPr>
    </w:p>
    <w:bookmarkEnd w:id="415"/>
    <w:bookmarkEnd w:id="416"/>
    <w:bookmarkEnd w:id="417"/>
    <w:p>
      <w:pPr>
        <w:pStyle w:val="74"/>
        <w:adjustRightInd/>
        <w:snapToGrid/>
        <w:spacing w:line="580" w:lineRule="exact"/>
        <w:rPr>
          <w:rFonts w:ascii="楷体_GB2312" w:eastAsia="楷体_GB2312"/>
          <w:color w:val="000000" w:themeColor="text1"/>
        </w:rPr>
      </w:pPr>
      <w:bookmarkStart w:id="418" w:name="_Toc57194256"/>
      <w:bookmarkStart w:id="419" w:name="_Toc57201718"/>
      <w:bookmarkStart w:id="420" w:name="_Toc9839"/>
      <w:bookmarkStart w:id="421" w:name="_Toc57195717"/>
      <w:bookmarkStart w:id="422" w:name="_Toc64542171"/>
      <w:bookmarkStart w:id="423" w:name="_Toc22292"/>
      <w:r>
        <w:rPr>
          <w:rFonts w:hint="eastAsia" w:ascii="楷体_GB2312" w:eastAsia="楷体_GB2312"/>
          <w:color w:val="000000" w:themeColor="text1"/>
        </w:rPr>
        <w:t>第一节  全面对接国家区域重大战略</w:t>
      </w:r>
      <w:bookmarkEnd w:id="418"/>
      <w:bookmarkEnd w:id="419"/>
      <w:bookmarkEnd w:id="420"/>
      <w:bookmarkEnd w:id="421"/>
      <w:bookmarkEnd w:id="422"/>
      <w:bookmarkEnd w:id="423"/>
    </w:p>
    <w:p>
      <w:pPr>
        <w:spacing w:line="580" w:lineRule="exact"/>
        <w:ind w:firstLine="640"/>
        <w:rPr>
          <w:rFonts w:ascii="仿宋_GB2312" w:eastAsia="仿宋_GB2312"/>
          <w:color w:val="000000" w:themeColor="text1"/>
          <w:kern w:val="0"/>
        </w:rPr>
      </w:pPr>
    </w:p>
    <w:p>
      <w:pPr>
        <w:spacing w:line="580" w:lineRule="exact"/>
        <w:ind w:firstLine="640"/>
      </w:pPr>
      <w:r>
        <w:rPr>
          <w:rFonts w:hint="eastAsia" w:ascii="仿宋_GB2312" w:eastAsia="仿宋_GB2312"/>
          <w:color w:val="000000" w:themeColor="text1"/>
          <w:kern w:val="0"/>
        </w:rPr>
        <w:t>抓住中部崛起战略机遇，积极参与长江经济带建设，促进资源高效配置，努力实现错位发展、协调发展、有机融合，推动大南昌都市圈打造对接长江经济带的先行区。抢抓北京疏解非首都功能机遇，主动承接高端要素转移。全面融入长三角一体化进程，建立与东部沿海城市的对口合作机制，重点强化在全球资源配置、科技创新策源、高端产业培育、数字经济转型等领域的深度合作和联动发展。紧密对接粤港澳大湾区建设，加强在科技创新、平台建设、产业发展、通道建设、市场体系、金融服务等方面的合作。积极对接成渝地区双城经济圈，重点加强电子信息、航空航天等方面合作。主动对接海西经济区，加强与台湾电子信息、现代农业等领域合作。深化与长江中游城市在交通网络、生态环境、产业发展、科教文化等领域合作，携手推动长江中游城市群上升为国家区域战略。</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tcBorders>
              <w:top w:val="single" w:color="auto" w:sz="4" w:space="0"/>
              <w:left w:val="single" w:color="auto" w:sz="4" w:space="0"/>
              <w:bottom w:val="single" w:color="auto" w:sz="4" w:space="0"/>
              <w:right w:val="single" w:color="auto" w:sz="4" w:space="0"/>
            </w:tcBorders>
            <w:vAlign w:val="center"/>
          </w:tcPr>
          <w:p>
            <w:pPr>
              <w:pStyle w:val="52"/>
              <w:numPr>
                <w:ilvl w:val="0"/>
                <w:numId w:val="0"/>
              </w:numPr>
              <w:spacing w:after="0" w:line="360" w:lineRule="exact"/>
              <w:jc w:val="center"/>
              <w:rPr>
                <w:rFonts w:ascii="仿宋_GB2312" w:eastAsia="仿宋_GB2312"/>
                <w:b/>
                <w:color w:val="000000" w:themeColor="text1"/>
                <w:sz w:val="28"/>
                <w:szCs w:val="28"/>
              </w:rPr>
            </w:pPr>
            <w:r>
              <w:rPr>
                <w:rFonts w:hint="eastAsia" w:ascii="黑体" w:hAnsi="黑体" w:eastAsia="黑体" w:cs="黑体"/>
                <w:bCs/>
                <w:color w:val="000000" w:themeColor="text1"/>
                <w:sz w:val="28"/>
                <w:szCs w:val="28"/>
              </w:rPr>
              <w:t>专栏14：对接国家重大区域战略方向与举措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Borders>
              <w:top w:val="single" w:color="auto" w:sz="4" w:space="0"/>
              <w:left w:val="single" w:color="auto" w:sz="4" w:space="0"/>
              <w:bottom w:val="single" w:color="auto" w:sz="4" w:space="0"/>
              <w:right w:val="single" w:color="auto" w:sz="4" w:space="0"/>
            </w:tcBorders>
          </w:tcPr>
          <w:p>
            <w:pPr>
              <w:spacing w:line="350" w:lineRule="exact"/>
              <w:ind w:firstLine="482"/>
              <w:rPr>
                <w:rFonts w:ascii="仿宋_GB2312" w:eastAsia="仿宋_GB2312"/>
                <w:b/>
                <w:color w:val="000000" w:themeColor="text1"/>
                <w:kern w:val="0"/>
                <w:sz w:val="24"/>
              </w:rPr>
            </w:pPr>
            <w:r>
              <w:rPr>
                <w:rFonts w:hint="eastAsia" w:ascii="仿宋_GB2312" w:eastAsia="仿宋_GB2312"/>
                <w:b/>
                <w:color w:val="000000" w:themeColor="text1"/>
                <w:kern w:val="0"/>
                <w:sz w:val="24"/>
              </w:rPr>
              <w:t>（一）长江经济带</w:t>
            </w:r>
          </w:p>
          <w:p>
            <w:pPr>
              <w:spacing w:line="350" w:lineRule="exact"/>
              <w:ind w:firstLine="480"/>
              <w:rPr>
                <w:rFonts w:ascii="仿宋_GB2312" w:eastAsia="仿宋_GB2312"/>
                <w:color w:val="000000" w:themeColor="text1"/>
                <w:kern w:val="0"/>
                <w:sz w:val="24"/>
              </w:rPr>
            </w:pPr>
            <w:r>
              <w:rPr>
                <w:rFonts w:hint="eastAsia" w:ascii="仿宋_GB2312" w:eastAsia="仿宋_GB2312"/>
                <w:color w:val="000000" w:themeColor="text1"/>
                <w:kern w:val="0"/>
                <w:sz w:val="24"/>
              </w:rPr>
              <w:t>探索建立长江经济带共抓大保护新机制、绿色发展新模式，引导和带动各行业智能化、绿色化改造，打造长江经济带绿色发展示范区。强化经贸合作，着力在交通网络、生态环境、产业发展、科教文化等领域加强与长江中游城市群共建共享，推进工商登记、食品药品检验、消防安全、环保标准等领域互通互认，促进资源要素自由流通和合理配置。促进经济、社会、文化等各领域交流融合。</w:t>
            </w:r>
          </w:p>
          <w:p>
            <w:pPr>
              <w:spacing w:line="350" w:lineRule="exact"/>
              <w:ind w:firstLine="482"/>
              <w:rPr>
                <w:rFonts w:ascii="仿宋_GB2312" w:eastAsia="仿宋_GB2312"/>
                <w:b/>
                <w:color w:val="000000" w:themeColor="text1"/>
                <w:kern w:val="0"/>
                <w:sz w:val="24"/>
              </w:rPr>
            </w:pPr>
            <w:r>
              <w:rPr>
                <w:rFonts w:hint="eastAsia" w:ascii="仿宋_GB2312" w:eastAsia="仿宋_GB2312"/>
                <w:b/>
                <w:color w:val="000000" w:themeColor="text1"/>
                <w:kern w:val="0"/>
                <w:sz w:val="24"/>
              </w:rPr>
              <w:t>（二）京津冀协同</w:t>
            </w:r>
          </w:p>
          <w:p>
            <w:pPr>
              <w:spacing w:line="350" w:lineRule="exact"/>
              <w:ind w:firstLine="480"/>
              <w:rPr>
                <w:rFonts w:ascii="仿宋_GB2312" w:eastAsia="仿宋_GB2312"/>
                <w:color w:val="000000" w:themeColor="text1"/>
                <w:kern w:val="0"/>
                <w:sz w:val="24"/>
              </w:rPr>
            </w:pPr>
            <w:r>
              <w:rPr>
                <w:rFonts w:hint="eastAsia" w:ascii="仿宋_GB2312" w:eastAsia="仿宋_GB2312"/>
                <w:color w:val="000000" w:themeColor="text1"/>
                <w:kern w:val="0"/>
                <w:sz w:val="24"/>
              </w:rPr>
              <w:t>以服务京津冀地区现代装备制造、商贸物流及高端服务业为重点，实施高端要素承接工程。以京企央企外迁和非首都功能疏解为突破点，力争引进一批央企强企来昌设立区域性总部或生产基地。加强创新平台建设领域合作，引进京津冀地区知名高校院所来我市设立分校或建立新型研发机构。</w:t>
            </w:r>
          </w:p>
          <w:p>
            <w:pPr>
              <w:spacing w:line="350" w:lineRule="exact"/>
              <w:ind w:firstLine="482"/>
              <w:rPr>
                <w:rFonts w:ascii="仿宋_GB2312" w:eastAsia="仿宋_GB2312"/>
                <w:b/>
                <w:color w:val="000000" w:themeColor="text1"/>
                <w:kern w:val="0"/>
                <w:sz w:val="24"/>
              </w:rPr>
            </w:pPr>
            <w:r>
              <w:rPr>
                <w:rFonts w:hint="eastAsia" w:ascii="仿宋_GB2312" w:eastAsia="仿宋_GB2312"/>
                <w:b/>
                <w:color w:val="000000" w:themeColor="text1"/>
                <w:kern w:val="0"/>
                <w:sz w:val="24"/>
              </w:rPr>
              <w:t>（三）长三角一体化</w:t>
            </w:r>
          </w:p>
          <w:p>
            <w:pPr>
              <w:spacing w:line="350" w:lineRule="exact"/>
              <w:ind w:firstLine="480"/>
              <w:rPr>
                <w:rFonts w:ascii="仿宋_GB2312" w:eastAsia="仿宋_GB2312"/>
                <w:color w:val="000000" w:themeColor="text1"/>
                <w:kern w:val="0"/>
                <w:sz w:val="24"/>
              </w:rPr>
            </w:pPr>
            <w:r>
              <w:rPr>
                <w:rFonts w:hint="eastAsia" w:ascii="仿宋_GB2312" w:eastAsia="仿宋_GB2312"/>
                <w:color w:val="000000" w:themeColor="text1"/>
                <w:kern w:val="0"/>
                <w:sz w:val="24"/>
              </w:rPr>
              <w:t>充分发挥沪昆高铁通道功能，深化与沪昆沿线中心城市合作。不断吸引上海、浙江、江苏等沿海沿江地区产业转移，加速特色产业产能向沪昆沿线区域集聚。创新跨区域人才交流和培养机制，推动与长三角地区人才双向交流挂职。主动接轨上海临港新片区开发，谋划设立面向国际前沿的科研和人才飞地，用好国际创新要素资源，主动引导产业项目回流。深化与浙江在数字经济转型等领域的全方位合作。</w:t>
            </w:r>
          </w:p>
          <w:p>
            <w:pPr>
              <w:spacing w:line="350" w:lineRule="exact"/>
              <w:ind w:firstLine="482"/>
              <w:rPr>
                <w:rFonts w:ascii="仿宋_GB2312" w:eastAsia="仿宋_GB2312"/>
                <w:b/>
                <w:color w:val="000000" w:themeColor="text1"/>
                <w:kern w:val="0"/>
                <w:sz w:val="24"/>
              </w:rPr>
            </w:pPr>
            <w:r>
              <w:rPr>
                <w:rFonts w:hint="eastAsia" w:ascii="仿宋_GB2312" w:eastAsia="仿宋_GB2312"/>
                <w:b/>
                <w:color w:val="000000" w:themeColor="text1"/>
                <w:kern w:val="0"/>
                <w:sz w:val="24"/>
              </w:rPr>
              <w:t>（四）粤港澳大湾区</w:t>
            </w:r>
          </w:p>
          <w:p>
            <w:pPr>
              <w:spacing w:line="350" w:lineRule="exact"/>
              <w:ind w:firstLine="480"/>
              <w:rPr>
                <w:rFonts w:ascii="仿宋_GB2312" w:eastAsia="仿宋_GB2312"/>
                <w:color w:val="000000" w:themeColor="text1"/>
                <w:kern w:val="0"/>
                <w:sz w:val="24"/>
              </w:rPr>
            </w:pPr>
            <w:r>
              <w:rPr>
                <w:rFonts w:hint="eastAsia" w:ascii="仿宋_GB2312" w:eastAsia="仿宋_GB2312"/>
                <w:color w:val="000000" w:themeColor="text1"/>
                <w:kern w:val="0"/>
                <w:sz w:val="24"/>
              </w:rPr>
              <w:t>主动融入粤港澳大湾区交通网络建设，改善交通设施，优化同粤港澳地区通道对接。积极对接粤港澳大湾区国际科技创新中心建设，建设科技创新基础平台共享体系。瞄准大湾区世界级先进装备制造和电子信息等产业集群，在南昌积极布局产业承接基地和配套体系建设。推动建设“飞地”产业园，打造一批大湾区科技成果转移转化基地。支持符合条件的企业到香港上市融资，吸引更多港澳金融机构到我市设立分支机构或投资参股。支持粤港澳大湾区大型连锁企业和批发市场在我市建立农产品直采基地、加工基地，发展订单农业。深化教育、文化、就业、旅游等领域的交流合作。</w:t>
            </w:r>
          </w:p>
        </w:tc>
      </w:tr>
    </w:tbl>
    <w:p>
      <w:pPr>
        <w:pStyle w:val="59"/>
        <w:widowControl w:val="0"/>
        <w:adjustRightInd/>
        <w:snapToGrid/>
        <w:spacing w:line="580" w:lineRule="exact"/>
        <w:ind w:firstLine="640"/>
      </w:pPr>
      <w:bookmarkStart w:id="424" w:name="_Toc586"/>
    </w:p>
    <w:p>
      <w:pPr>
        <w:pStyle w:val="74"/>
        <w:adjustRightInd/>
        <w:snapToGrid/>
        <w:spacing w:line="580" w:lineRule="exact"/>
        <w:rPr>
          <w:rFonts w:ascii="楷体_GB2312" w:eastAsia="楷体_GB2312"/>
          <w:color w:val="000000" w:themeColor="text1"/>
        </w:rPr>
      </w:pPr>
      <w:bookmarkStart w:id="425" w:name="_Toc64542172"/>
      <w:bookmarkStart w:id="426" w:name="_Toc17615"/>
      <w:r>
        <w:rPr>
          <w:rFonts w:hint="eastAsia" w:ascii="楷体_GB2312" w:eastAsia="楷体_GB2312"/>
          <w:color w:val="000000" w:themeColor="text1"/>
        </w:rPr>
        <w:t>第二节  加快推进城市国际化进程</w:t>
      </w:r>
      <w:bookmarkEnd w:id="424"/>
      <w:bookmarkEnd w:id="425"/>
      <w:bookmarkEnd w:id="426"/>
    </w:p>
    <w:p>
      <w:pPr>
        <w:spacing w:line="580" w:lineRule="exact"/>
        <w:ind w:firstLine="616"/>
        <w:rPr>
          <w:rFonts w:ascii="仿宋_GB2312" w:eastAsia="仿宋_GB2312"/>
          <w:color w:val="000000" w:themeColor="text1"/>
          <w:spacing w:val="-6"/>
          <w:kern w:val="0"/>
        </w:rPr>
      </w:pPr>
    </w:p>
    <w:p>
      <w:pPr>
        <w:spacing w:line="580" w:lineRule="exact"/>
        <w:ind w:firstLine="616"/>
        <w:rPr>
          <w:rFonts w:ascii="仿宋_GB2312" w:eastAsia="仿宋_GB2312"/>
          <w:color w:val="000000" w:themeColor="text1"/>
          <w:spacing w:val="-6"/>
          <w:kern w:val="0"/>
        </w:rPr>
      </w:pPr>
      <w:r>
        <w:rPr>
          <w:rFonts w:hint="eastAsia" w:ascii="仿宋_GB2312" w:eastAsia="仿宋_GB2312"/>
          <w:color w:val="000000" w:themeColor="text1"/>
          <w:spacing w:val="-6"/>
          <w:kern w:val="0"/>
        </w:rPr>
        <w:t>持续提升城市国际影响力和美誉度，全方位植入国际化社区、国际学校、国际医院等国际化要素，营造一流国际化环境，打造国际高端人才创新创业集聚地。积极承办世界V</w:t>
      </w:r>
      <w:r>
        <w:rPr>
          <w:rFonts w:ascii="仿宋_GB2312" w:eastAsia="仿宋_GB2312"/>
          <w:color w:val="000000" w:themeColor="text1"/>
          <w:spacing w:val="-6"/>
          <w:kern w:val="0"/>
        </w:rPr>
        <w:t>R</w:t>
      </w:r>
      <w:r>
        <w:rPr>
          <w:rFonts w:hint="eastAsia" w:ascii="仿宋_GB2312" w:eastAsia="仿宋_GB2312"/>
          <w:color w:val="000000" w:themeColor="text1"/>
          <w:spacing w:val="-6"/>
          <w:kern w:val="0"/>
        </w:rPr>
        <w:t>大会、世界绿色发展投资贸易博览会、世界中医药大会、南昌国际汽车博览会、南昌飞行大会等展会，打造国际中高端会展和会议承办地。巩固我市与中国贸促会、海外商协会、国际贸易组织、外国驻中国使领馆的双边交流合作机制，促进双方经贸往来和互利合作。深化国际友好城市合作，</w:t>
      </w:r>
      <w:r>
        <w:rPr>
          <w:rFonts w:ascii="仿宋_GB2312" w:eastAsia="仿宋_GB2312"/>
          <w:color w:val="000000" w:themeColor="text1"/>
          <w:spacing w:val="-6"/>
          <w:kern w:val="0"/>
        </w:rPr>
        <w:t>加强与联合国教科文组织等国际组织联系，促进国际人文交流。深化与国际金融组织合作，拓宽国际融资渠道，积极参与世界银行、亚洲开发银行、亚投行贷款项目工程投标。着力</w:t>
      </w:r>
      <w:r>
        <w:rPr>
          <w:rFonts w:hint="eastAsia" w:ascii="仿宋_GB2312" w:eastAsia="仿宋_GB2312"/>
          <w:color w:val="000000" w:themeColor="text1"/>
          <w:spacing w:val="-6"/>
          <w:kern w:val="0"/>
        </w:rPr>
        <w:t>引入一批国际品牌体育赛事和演艺活动，增强对国际游客吸引力。</w:t>
      </w: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427" w:name="_Toc64542173"/>
      <w:bookmarkStart w:id="428" w:name="_Toc544"/>
      <w:bookmarkStart w:id="429" w:name="_Toc14044"/>
      <w:r>
        <w:rPr>
          <w:rFonts w:hint="eastAsia" w:ascii="楷体_GB2312" w:eastAsia="楷体_GB2312"/>
          <w:color w:val="000000" w:themeColor="text1"/>
        </w:rPr>
        <w:t>第三节  主动融入“一带一路”建设</w:t>
      </w:r>
      <w:bookmarkEnd w:id="427"/>
      <w:bookmarkEnd w:id="428"/>
      <w:bookmarkEnd w:id="429"/>
    </w:p>
    <w:p>
      <w:pPr>
        <w:spacing w:line="580" w:lineRule="exact"/>
        <w:ind w:firstLine="640"/>
        <w:rPr>
          <w:rFonts w:ascii="仿宋_GB2312" w:eastAsia="仿宋_GB2312"/>
          <w:color w:val="000000" w:themeColor="text1"/>
          <w:kern w:val="0"/>
        </w:rPr>
      </w:pPr>
    </w:p>
    <w:p>
      <w:pPr>
        <w:spacing w:line="580" w:lineRule="exact"/>
        <w:ind w:firstLine="640"/>
      </w:pPr>
      <w:r>
        <w:rPr>
          <w:rFonts w:hint="eastAsia" w:ascii="仿宋_GB2312" w:eastAsia="仿宋_GB2312"/>
          <w:color w:val="000000" w:themeColor="text1"/>
          <w:kern w:val="0"/>
        </w:rPr>
        <w:t>加强“一带一路”节点城市建设，全面推进丝绸之路通道建设，务实推进与沿线国家、地区友好往来。着力构建面向发达经济体、新兴市场的开放体系，深度参与全球产业链供应链分工，形成开放共赢、内外联动的产业链全球布局。积极对接“一带一路”</w:t>
      </w:r>
      <w:r>
        <w:rPr>
          <w:rFonts w:ascii="仿宋_GB2312" w:eastAsia="仿宋_GB2312"/>
          <w:color w:val="000000" w:themeColor="text1"/>
          <w:kern w:val="0"/>
        </w:rPr>
        <w:t>沿线国家基础设施建设和市场消费需求，推动农业、制造业、建筑业、服务业、矿业</w:t>
      </w:r>
      <w:r>
        <w:rPr>
          <w:rFonts w:hint="eastAsia" w:ascii="仿宋_GB2312" w:eastAsia="仿宋_GB2312"/>
          <w:color w:val="000000" w:themeColor="text1"/>
          <w:kern w:val="0"/>
        </w:rPr>
        <w:t>“五大行业”</w:t>
      </w:r>
      <w:r>
        <w:rPr>
          <w:rFonts w:ascii="仿宋_GB2312" w:eastAsia="仿宋_GB2312"/>
          <w:color w:val="000000" w:themeColor="text1"/>
          <w:kern w:val="0"/>
        </w:rPr>
        <w:t>走出去。支持实施一批</w:t>
      </w:r>
      <w:r>
        <w:rPr>
          <w:rFonts w:hint="eastAsia" w:ascii="仿宋_GB2312" w:eastAsia="仿宋_GB2312"/>
          <w:color w:val="000000" w:themeColor="text1"/>
          <w:kern w:val="0"/>
        </w:rPr>
        <w:t>机电、纺织、医疗器械</w:t>
      </w:r>
      <w:r>
        <w:rPr>
          <w:rFonts w:ascii="仿宋_GB2312" w:eastAsia="仿宋_GB2312"/>
          <w:color w:val="000000" w:themeColor="text1"/>
          <w:kern w:val="0"/>
        </w:rPr>
        <w:t>等产业投资项目，建立境外生产加工基地。</w:t>
      </w:r>
      <w:r>
        <w:rPr>
          <w:rFonts w:hint="eastAsia" w:ascii="仿宋_GB2312" w:eastAsia="仿宋_GB2312"/>
          <w:color w:val="000000" w:themeColor="text1"/>
          <w:kern w:val="0"/>
        </w:rPr>
        <w:t>加大煤炭、金属矿产等矿产资源勘探开发合作，推动技术标准走出去，拓展新的合作领域，发展具有“一带一路”特色的贸易新业态，促进与沿线国家贸易畅通。</w:t>
      </w:r>
      <w:r>
        <w:rPr>
          <w:rFonts w:ascii="仿宋_GB2312" w:eastAsia="仿宋_GB2312"/>
          <w:color w:val="000000" w:themeColor="text1"/>
          <w:kern w:val="0"/>
        </w:rPr>
        <w:t>充分利用</w:t>
      </w:r>
      <w:r>
        <w:rPr>
          <w:rFonts w:hint="eastAsia" w:ascii="仿宋_GB2312" w:eastAsia="仿宋_GB2312"/>
          <w:color w:val="000000" w:themeColor="text1"/>
          <w:kern w:val="0"/>
        </w:rPr>
        <w:t>《区域全面经济伙伴关系协定》（R</w:t>
      </w:r>
      <w:r>
        <w:rPr>
          <w:rFonts w:ascii="仿宋_GB2312" w:eastAsia="仿宋_GB2312"/>
          <w:color w:val="000000" w:themeColor="text1"/>
          <w:kern w:val="0"/>
        </w:rPr>
        <w:t>CEP</w:t>
      </w:r>
      <w:r>
        <w:rPr>
          <w:rFonts w:hint="eastAsia" w:ascii="仿宋_GB2312" w:eastAsia="仿宋_GB2312"/>
          <w:color w:val="000000" w:themeColor="text1"/>
          <w:kern w:val="0"/>
        </w:rPr>
        <w:t>）和《中欧全面投资协定》（中欧CAI）</w:t>
      </w:r>
      <w:r>
        <w:rPr>
          <w:rFonts w:ascii="仿宋_GB2312" w:eastAsia="仿宋_GB2312"/>
          <w:color w:val="000000" w:themeColor="text1"/>
          <w:kern w:val="0"/>
        </w:rPr>
        <w:t>，</w:t>
      </w:r>
      <w:r>
        <w:rPr>
          <w:rFonts w:hint="eastAsia" w:ascii="仿宋_GB2312" w:eastAsia="仿宋_GB2312"/>
          <w:color w:val="000000" w:themeColor="text1"/>
          <w:kern w:val="0"/>
        </w:rPr>
        <w:t>优化资源型产品和农产品的进口链条，以东南亚、日韩、欧洲等为重点，推动高端资源“引进来”</w:t>
      </w:r>
      <w:r>
        <w:rPr>
          <w:rFonts w:ascii="仿宋_GB2312" w:eastAsia="仿宋_GB2312"/>
          <w:color w:val="000000" w:themeColor="text1"/>
          <w:kern w:val="0"/>
        </w:rPr>
        <w:t>。</w:t>
      </w:r>
      <w:bookmarkStart w:id="430" w:name="_Toc57201720"/>
      <w:bookmarkStart w:id="431" w:name="_Toc57194258"/>
      <w:bookmarkStart w:id="432" w:name="_Toc57195719"/>
    </w:p>
    <w:p>
      <w:pPr>
        <w:pStyle w:val="31"/>
        <w:autoSpaceDN/>
        <w:spacing w:line="580" w:lineRule="exact"/>
        <w:ind w:firstLine="640"/>
      </w:pPr>
    </w:p>
    <w:p>
      <w:pPr>
        <w:pStyle w:val="23"/>
        <w:adjustRightInd/>
        <w:snapToGrid/>
        <w:spacing w:line="580" w:lineRule="exact"/>
        <w:rPr>
          <w:b w:val="0"/>
          <w:color w:val="000000" w:themeColor="text1"/>
        </w:rPr>
      </w:pPr>
      <w:bookmarkStart w:id="433" w:name="_Toc1961"/>
      <w:bookmarkStart w:id="434" w:name="_Toc1948"/>
      <w:bookmarkStart w:id="435" w:name="_Toc64542174"/>
      <w:r>
        <w:rPr>
          <w:rFonts w:hint="eastAsia"/>
          <w:b w:val="0"/>
          <w:color w:val="000000" w:themeColor="text1"/>
        </w:rPr>
        <w:t>第二十三章  高水平发展开放型经济</w:t>
      </w:r>
      <w:bookmarkEnd w:id="430"/>
      <w:bookmarkEnd w:id="431"/>
      <w:bookmarkEnd w:id="432"/>
      <w:bookmarkEnd w:id="433"/>
      <w:bookmarkEnd w:id="434"/>
      <w:bookmarkEnd w:id="435"/>
    </w:p>
    <w:p>
      <w:pPr>
        <w:spacing w:line="580" w:lineRule="exact"/>
        <w:ind w:firstLine="640"/>
        <w:rPr>
          <w:rFonts w:ascii="仿宋_GB2312" w:eastAsia="仿宋_GB2312"/>
          <w:color w:val="000000" w:themeColor="text1"/>
          <w:kern w:val="0"/>
        </w:rPr>
      </w:pPr>
      <w:bookmarkStart w:id="436" w:name="_Toc57195720"/>
      <w:bookmarkStart w:id="437" w:name="_Toc57194259"/>
      <w:bookmarkStart w:id="438" w:name="_Toc57201721"/>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坚持对标先进、改革创新，推动贸易和投资自由化便利化，建设更高水平开放型经济新体制，推动我市开放型经济高质量跨越式发展。</w:t>
      </w: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439" w:name="_Toc27295"/>
      <w:bookmarkStart w:id="440" w:name="_Toc64542175"/>
      <w:bookmarkStart w:id="441" w:name="_Toc22101"/>
      <w:r>
        <w:rPr>
          <w:rFonts w:hint="eastAsia" w:ascii="楷体_GB2312" w:eastAsia="楷体_GB2312"/>
          <w:color w:val="000000" w:themeColor="text1"/>
        </w:rPr>
        <w:t>第一</w:t>
      </w:r>
      <w:bookmarkEnd w:id="436"/>
      <w:bookmarkEnd w:id="437"/>
      <w:bookmarkEnd w:id="438"/>
      <w:r>
        <w:rPr>
          <w:rFonts w:hint="eastAsia" w:ascii="楷体_GB2312" w:eastAsia="楷体_GB2312"/>
          <w:color w:val="000000" w:themeColor="text1"/>
        </w:rPr>
        <w:t>节  建立健全更高水平开放型经济体制</w:t>
      </w:r>
      <w:bookmarkEnd w:id="439"/>
      <w:bookmarkEnd w:id="440"/>
      <w:bookmarkEnd w:id="441"/>
    </w:p>
    <w:p>
      <w:pPr>
        <w:spacing w:line="580" w:lineRule="exact"/>
        <w:ind w:firstLine="640"/>
        <w:rPr>
          <w:rFonts w:ascii="仿宋_GB2312" w:eastAsia="仿宋_GB2312"/>
          <w:color w:val="000000" w:themeColor="text1"/>
          <w:kern w:val="0"/>
        </w:rPr>
      </w:pPr>
      <w:bookmarkStart w:id="442" w:name="_Toc57195721"/>
      <w:bookmarkStart w:id="443" w:name="_Toc57194260"/>
      <w:bookmarkStart w:id="444" w:name="_Toc57201722"/>
    </w:p>
    <w:p>
      <w:pPr>
        <w:spacing w:line="580" w:lineRule="exact"/>
        <w:ind w:firstLine="640"/>
      </w:pPr>
      <w:r>
        <w:rPr>
          <w:rFonts w:hint="eastAsia" w:ascii="仿宋_GB2312" w:eastAsia="仿宋_GB2312"/>
          <w:color w:val="000000" w:themeColor="text1"/>
          <w:kern w:val="0"/>
        </w:rPr>
        <w:t>依托海关特殊监管区深化贸易便利化改革，全方位对接自贸区制度，实行“两类通关、两区优化”、认证企业进口免担保验收、货物贸易“一保多用”等制度创新。全面落实外资准入前国民待遇加负面清单管理制度，进一步放开外资市场准入限制，建立健全以信用监管为基础、与负面清单管理方式相适应的监管体系。加快建设自由便利高效的对外开放制度和政策体系。完善外商投资政策，引导外资更多投向电子信息、航空、生物医药、装备制造、数字经济以及工程咨询、现代物流、检验检测认证等领域。积极引进外资金融机构。规划建设进口商品交易中心，打造一批“国际采购-进口-经销代理”一体化平台。力争到</w:t>
      </w:r>
      <w:r>
        <w:rPr>
          <w:rFonts w:ascii="仿宋_GB2312" w:eastAsia="仿宋_GB2312"/>
          <w:color w:val="000000" w:themeColor="text1"/>
          <w:kern w:val="0"/>
        </w:rPr>
        <w:t>202</w:t>
      </w:r>
      <w:r>
        <w:rPr>
          <w:rFonts w:hint="eastAsia" w:ascii="仿宋_GB2312" w:eastAsia="仿宋_GB2312"/>
          <w:color w:val="000000" w:themeColor="text1"/>
          <w:kern w:val="0"/>
        </w:rPr>
        <w:t>5年，对外贸易总额达</w:t>
      </w:r>
      <w:r>
        <w:rPr>
          <w:rFonts w:ascii="仿宋_GB2312" w:eastAsia="仿宋_GB2312"/>
          <w:color w:val="000000" w:themeColor="text1"/>
          <w:kern w:val="0"/>
        </w:rPr>
        <w:t>1</w:t>
      </w:r>
      <w:r>
        <w:rPr>
          <w:rFonts w:hint="eastAsia" w:ascii="仿宋_GB2312" w:eastAsia="仿宋_GB2312"/>
          <w:color w:val="000000" w:themeColor="text1"/>
          <w:kern w:val="0"/>
        </w:rPr>
        <w:t>400亿元，实际利用外资突破53亿美元。</w:t>
      </w: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445" w:name="_Toc17740"/>
      <w:bookmarkStart w:id="446" w:name="_Toc8162"/>
      <w:bookmarkStart w:id="447" w:name="_Toc64542176"/>
      <w:r>
        <w:rPr>
          <w:rFonts w:hint="eastAsia" w:ascii="楷体_GB2312" w:eastAsia="楷体_GB2312"/>
          <w:color w:val="000000" w:themeColor="text1"/>
        </w:rPr>
        <w:t>第二节  推进更高水平开放招商</w:t>
      </w:r>
      <w:bookmarkEnd w:id="442"/>
      <w:bookmarkEnd w:id="443"/>
      <w:bookmarkEnd w:id="444"/>
      <w:bookmarkEnd w:id="445"/>
      <w:bookmarkEnd w:id="446"/>
      <w:bookmarkEnd w:id="447"/>
    </w:p>
    <w:p>
      <w:pPr>
        <w:spacing w:line="580" w:lineRule="exact"/>
        <w:ind w:firstLine="640"/>
        <w:rPr>
          <w:rFonts w:ascii="仿宋_GB2312" w:hAnsi="仿宋_GB2312" w:eastAsia="仿宋_GB2312" w:cs="仿宋_GB2312"/>
          <w:color w:val="000000" w:themeColor="text1"/>
          <w:kern w:val="0"/>
          <w:szCs w:val="32"/>
        </w:rPr>
      </w:pPr>
    </w:p>
    <w:p>
      <w:pPr>
        <w:spacing w:line="580" w:lineRule="exact"/>
        <w:ind w:firstLine="640"/>
        <w:rPr>
          <w:rFonts w:ascii="仿宋_GB2312" w:hAnsi="仿宋_GB2312" w:eastAsia="仿宋_GB2312" w:cs="仿宋_GB2312"/>
          <w:color w:val="000000" w:themeColor="text1"/>
          <w:kern w:val="0"/>
          <w:szCs w:val="32"/>
        </w:rPr>
      </w:pPr>
      <w:r>
        <w:rPr>
          <w:rFonts w:hint="eastAsia" w:ascii="仿宋_GB2312" w:hAnsi="仿宋_GB2312" w:eastAsia="仿宋_GB2312" w:cs="仿宋_GB2312"/>
          <w:color w:val="000000" w:themeColor="text1"/>
          <w:kern w:val="0"/>
          <w:szCs w:val="32"/>
        </w:rPr>
        <w:t>抓住产业链供应链重构机遇，坚持“走出去”“请进来”并重，深入实施“三请三回”“三企入赣”行动，聚焦重点地区、主导产业、头部企业，开展产业链、供应链、创新链精准招商、专业招商，积极探索“互联网</w:t>
      </w:r>
      <w:r>
        <w:rPr>
          <w:rFonts w:ascii="仿宋_GB2312" w:hAnsi="仿宋_GB2312" w:eastAsia="仿宋_GB2312" w:cs="仿宋_GB2312"/>
          <w:color w:val="000000" w:themeColor="text1"/>
          <w:kern w:val="0"/>
          <w:szCs w:val="32"/>
        </w:rPr>
        <w:t>+</w:t>
      </w:r>
      <w:r>
        <w:rPr>
          <w:rFonts w:hint="eastAsia" w:ascii="仿宋_GB2312" w:hAnsi="仿宋_GB2312" w:eastAsia="仿宋_GB2312" w:cs="仿宋_GB2312"/>
          <w:color w:val="000000" w:themeColor="text1"/>
          <w:kern w:val="0"/>
          <w:szCs w:val="32"/>
        </w:rPr>
        <w:t>”招商新模式，着力打造中部地区投资高地。探索建立跨区域招商合作，用好中国进口博览会、东盟博览会等平台，全面深化招商合作。坚持实施招大引强，力争每年引进落户一批5</w:t>
      </w:r>
      <w:r>
        <w:rPr>
          <w:rFonts w:ascii="仿宋_GB2312" w:hAnsi="仿宋_GB2312" w:eastAsia="仿宋_GB2312" w:cs="仿宋_GB2312"/>
          <w:color w:val="000000" w:themeColor="text1"/>
          <w:kern w:val="0"/>
          <w:szCs w:val="32"/>
        </w:rPr>
        <w:t>0</w:t>
      </w:r>
      <w:r>
        <w:rPr>
          <w:rFonts w:hint="eastAsia" w:ascii="仿宋_GB2312" w:hAnsi="仿宋_GB2312" w:eastAsia="仿宋_GB2312" w:cs="仿宋_GB2312"/>
          <w:color w:val="000000" w:themeColor="text1"/>
          <w:kern w:val="0"/>
          <w:szCs w:val="32"/>
        </w:rPr>
        <w:t>亿元、百亿元重大产业投资项目。树立全要素招商引资理念，促进引资引技引智融合发展。充分挖掘海外侨资侨智资源，加强驻外招商机构建设，促进海外赣商回归。通过社会化招聘、企业化管理、市场化薪酬等方式，选聘一批熟悉招商业务、具有成功招商经验的专员和中介机构，进一步优化招商队伍结构，提升专业化招商水平。</w:t>
      </w:r>
    </w:p>
    <w:p>
      <w:pPr>
        <w:pStyle w:val="31"/>
        <w:autoSpaceDN/>
        <w:spacing w:line="580" w:lineRule="exact"/>
        <w:ind w:firstLine="640"/>
      </w:pP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448" w:name="_Toc64542177"/>
      <w:bookmarkStart w:id="449" w:name="_Toc19687"/>
      <w:bookmarkStart w:id="450" w:name="_Toc31523"/>
      <w:bookmarkStart w:id="451" w:name="_Toc57194261"/>
      <w:bookmarkStart w:id="452" w:name="_Toc57195722"/>
      <w:bookmarkStart w:id="453" w:name="_Toc57201723"/>
      <w:r>
        <w:rPr>
          <w:rFonts w:hint="eastAsia" w:ascii="楷体_GB2312" w:eastAsia="楷体_GB2312"/>
          <w:color w:val="000000" w:themeColor="text1"/>
        </w:rPr>
        <w:t>第三节  推动外贸做优做强</w:t>
      </w:r>
      <w:bookmarkEnd w:id="448"/>
      <w:bookmarkEnd w:id="449"/>
      <w:bookmarkEnd w:id="450"/>
      <w:bookmarkEnd w:id="451"/>
      <w:bookmarkEnd w:id="452"/>
      <w:bookmarkEnd w:id="453"/>
    </w:p>
    <w:p>
      <w:pPr>
        <w:spacing w:line="580" w:lineRule="exact"/>
        <w:ind w:firstLine="616"/>
        <w:rPr>
          <w:rFonts w:ascii="仿宋_GB2312" w:eastAsia="仿宋_GB2312"/>
          <w:color w:val="000000" w:themeColor="text1"/>
          <w:spacing w:val="-6"/>
          <w:kern w:val="0"/>
        </w:rPr>
      </w:pPr>
    </w:p>
    <w:p>
      <w:pPr>
        <w:spacing w:line="580" w:lineRule="exact"/>
        <w:ind w:firstLine="616"/>
        <w:rPr>
          <w:rFonts w:ascii="仿宋_GB2312" w:eastAsia="仿宋_GB2312"/>
          <w:color w:val="000000" w:themeColor="text1"/>
          <w:spacing w:val="-6"/>
          <w:kern w:val="0"/>
        </w:rPr>
      </w:pPr>
      <w:r>
        <w:rPr>
          <w:rFonts w:hint="eastAsia" w:ascii="仿宋_GB2312" w:eastAsia="仿宋_GB2312"/>
          <w:color w:val="000000" w:themeColor="text1"/>
          <w:spacing w:val="-6"/>
          <w:kern w:val="0"/>
        </w:rPr>
        <w:t>扩大自主知识产权、自主品牌、自主营销、高科技含量、高附加值及高效益产品出口，扩大先进技术、关键设备、重要资源、生产性服务、生活消费品等进口，争创国家进口贸易促进创新示范区。发挥青山湖区国家级外贸转型升级基地（纺织服装）作用，积极推动医疗器械和机电申报国家级外贸转型升级基地。加快推进出口产业基地建设，开展外贸主体培育升级行动，加快培育生产型出口企业和外贸综合服务企业，推动出口型企业向进出口并重转型。做大做强外贸龙头企业，建立完善重点出口企业联系制度。加快服务贸易发展升级，积极发展数字贸易，探索数字贸易集聚区建设。用足用好国家进口贴息政策，鼓励和帮助企业进口更多的高精尖产品，加快内、外贸融合。依托省电子口岸建设高水平国际贸易“单一窗口”，开通9</w:t>
      </w:r>
      <w:r>
        <w:rPr>
          <w:rFonts w:ascii="仿宋_GB2312" w:eastAsia="仿宋_GB2312"/>
          <w:color w:val="000000" w:themeColor="text1"/>
          <w:spacing w:val="-6"/>
          <w:kern w:val="0"/>
        </w:rPr>
        <w:t>610</w:t>
      </w:r>
      <w:r>
        <w:rPr>
          <w:rFonts w:hint="eastAsia" w:ascii="仿宋_GB2312" w:eastAsia="仿宋_GB2312"/>
          <w:color w:val="000000" w:themeColor="text1"/>
          <w:spacing w:val="-6"/>
          <w:kern w:val="0"/>
        </w:rPr>
        <w:t>、9710、9810</w:t>
      </w:r>
      <w:r>
        <w:rPr>
          <w:rStyle w:val="38"/>
          <w:rFonts w:hint="eastAsia" w:ascii="仿宋_GB2312" w:eastAsia="仿宋_GB2312"/>
          <w:color w:val="000000" w:themeColor="text1"/>
          <w:spacing w:val="-6"/>
          <w:kern w:val="0"/>
        </w:rPr>
        <w:footnoteReference w:id="8"/>
      </w:r>
      <w:r>
        <w:rPr>
          <w:rFonts w:hint="eastAsia" w:ascii="仿宋_GB2312" w:eastAsia="仿宋_GB2312"/>
          <w:color w:val="000000" w:themeColor="text1"/>
          <w:spacing w:val="-6"/>
          <w:kern w:val="0"/>
        </w:rPr>
        <w:t>进出口和1</w:t>
      </w:r>
      <w:r>
        <w:rPr>
          <w:rFonts w:ascii="仿宋_GB2312" w:eastAsia="仿宋_GB2312"/>
          <w:color w:val="000000" w:themeColor="text1"/>
          <w:spacing w:val="-6"/>
          <w:kern w:val="0"/>
        </w:rPr>
        <w:t>210</w:t>
      </w:r>
      <w:r>
        <w:rPr>
          <w:rStyle w:val="38"/>
          <w:rFonts w:ascii="仿宋_GB2312" w:eastAsia="仿宋_GB2312"/>
          <w:color w:val="000000" w:themeColor="text1"/>
          <w:spacing w:val="-6"/>
          <w:kern w:val="0"/>
        </w:rPr>
        <w:footnoteReference w:id="9"/>
      </w:r>
      <w:r>
        <w:rPr>
          <w:rFonts w:hint="eastAsia" w:ascii="仿宋_GB2312" w:eastAsia="仿宋_GB2312"/>
          <w:color w:val="000000" w:themeColor="text1"/>
          <w:spacing w:val="-6"/>
          <w:kern w:val="0"/>
        </w:rPr>
        <w:t>保税出口业务模式，加快跨境电商线上综合服务平台建设运营。加大信用保险对外贸出口企业的支持力度，促进外贸出口的平稳增长。</w:t>
      </w:r>
      <w:bookmarkStart w:id="454" w:name="_Toc57194262"/>
      <w:bookmarkStart w:id="455" w:name="_Toc18500"/>
      <w:bookmarkStart w:id="456" w:name="_Toc57195723"/>
      <w:bookmarkStart w:id="457" w:name="_Toc30321"/>
      <w:bookmarkStart w:id="458" w:name="_Toc57201724"/>
    </w:p>
    <w:p>
      <w:pPr>
        <w:pStyle w:val="74"/>
        <w:adjustRightInd/>
        <w:snapToGrid/>
        <w:spacing w:line="550" w:lineRule="exact"/>
        <w:rPr>
          <w:rFonts w:ascii="楷体_GB2312" w:eastAsia="楷体_GB2312"/>
          <w:color w:val="000000" w:themeColor="text1"/>
        </w:rPr>
      </w:pPr>
    </w:p>
    <w:p>
      <w:pPr>
        <w:pStyle w:val="74"/>
        <w:adjustRightInd/>
        <w:snapToGrid/>
        <w:spacing w:line="550" w:lineRule="exact"/>
        <w:rPr>
          <w:rFonts w:ascii="楷体_GB2312" w:eastAsia="楷体_GB2312"/>
          <w:color w:val="000000" w:themeColor="text1"/>
        </w:rPr>
      </w:pPr>
      <w:bookmarkStart w:id="459" w:name="_Toc64542178"/>
      <w:r>
        <w:rPr>
          <w:rFonts w:hint="eastAsia" w:ascii="楷体_GB2312" w:eastAsia="楷体_GB2312"/>
          <w:color w:val="000000" w:themeColor="text1"/>
        </w:rPr>
        <w:t>第四节  有序引导企业走出去</w:t>
      </w:r>
      <w:bookmarkEnd w:id="454"/>
      <w:bookmarkEnd w:id="455"/>
      <w:bookmarkEnd w:id="456"/>
      <w:bookmarkEnd w:id="457"/>
      <w:bookmarkEnd w:id="458"/>
      <w:bookmarkEnd w:id="459"/>
    </w:p>
    <w:p>
      <w:pPr>
        <w:spacing w:line="550" w:lineRule="exact"/>
        <w:ind w:firstLine="640"/>
        <w:rPr>
          <w:rFonts w:ascii="仿宋_GB2312" w:eastAsia="仿宋_GB2312"/>
          <w:color w:val="000000" w:themeColor="text1"/>
          <w:kern w:val="0"/>
        </w:rPr>
      </w:pPr>
      <w:bookmarkStart w:id="460" w:name="_Toc57194263"/>
      <w:bookmarkStart w:id="461" w:name="_Toc57195724"/>
      <w:bookmarkStart w:id="462" w:name="_Toc57201725"/>
    </w:p>
    <w:p>
      <w:pPr>
        <w:spacing w:line="550" w:lineRule="exact"/>
        <w:ind w:firstLine="640"/>
        <w:rPr>
          <w:rFonts w:ascii="仿宋_GB2312" w:eastAsia="仿宋_GB2312"/>
          <w:color w:val="000000" w:themeColor="text1"/>
          <w:kern w:val="0"/>
        </w:rPr>
      </w:pPr>
      <w:r>
        <w:rPr>
          <w:rFonts w:hint="eastAsia" w:ascii="仿宋_GB2312" w:eastAsia="仿宋_GB2312"/>
          <w:color w:val="000000" w:themeColor="text1"/>
          <w:kern w:val="0"/>
        </w:rPr>
        <w:t>健全走出去综合服务体系，提高有关国别投资环境、市场环境、政策环境等咨询服务水平。探索开展“走进非洲”“走进东南亚”“走进中东”等活动，寻找“一带一路”沿线国家发展机会。发挥重点企业龙头作用，整合上下游产业链，将产能、装备、技术、管理、标准和资本打包整合，加强与央企、知名跨国公司合作，实现“抱团出海”和“借船出海”。加快培育本土跨国公司。创新对外投资合作模式，鼓励以并购重组等方式开展境外投资，发展工程总承包、投建营一体化等新型“走出去”模式。鼓励重点企业赴境内外参会参展。健全跨国经营风险预警防控和处置机制，提高境外投资安全保障和应对风险能力。</w:t>
      </w:r>
    </w:p>
    <w:p>
      <w:pPr>
        <w:pStyle w:val="31"/>
        <w:autoSpaceDN/>
        <w:spacing w:line="580" w:lineRule="exact"/>
        <w:ind w:firstLine="640"/>
      </w:pPr>
    </w:p>
    <w:p>
      <w:pPr>
        <w:spacing w:line="580" w:lineRule="exact"/>
        <w:ind w:firstLine="0" w:firstLineChars="0"/>
        <w:jc w:val="center"/>
        <w:outlineLvl w:val="1"/>
        <w:rPr>
          <w:rFonts w:ascii="仿宋_GB2312" w:hAnsi="仿宋_GB2312" w:eastAsia="黑体" w:cs="仿宋_GB2312"/>
          <w:color w:val="000000" w:themeColor="text1"/>
          <w:kern w:val="28"/>
          <w:szCs w:val="32"/>
        </w:rPr>
      </w:pPr>
      <w:bookmarkStart w:id="463" w:name="_Toc64542179"/>
      <w:bookmarkStart w:id="464" w:name="_Toc8896"/>
      <w:bookmarkStart w:id="465" w:name="_Toc12430"/>
      <w:r>
        <w:rPr>
          <w:rFonts w:hint="eastAsia" w:ascii="仿宋_GB2312" w:hAnsi="仿宋_GB2312" w:eastAsia="黑体" w:cs="仿宋_GB2312"/>
          <w:color w:val="000000" w:themeColor="text1"/>
          <w:kern w:val="28"/>
          <w:szCs w:val="32"/>
        </w:rPr>
        <w:t>第二十四章  构建高能级开放支撑体系</w:t>
      </w:r>
      <w:bookmarkEnd w:id="463"/>
      <w:bookmarkEnd w:id="464"/>
      <w:bookmarkEnd w:id="465"/>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着力打通开放大通道，搭建开放大平台，加快构建高能级开放支撑体系，</w:t>
      </w:r>
      <w:r>
        <w:rPr>
          <w:rFonts w:ascii="仿宋_GB2312" w:eastAsia="仿宋_GB2312"/>
          <w:color w:val="000000" w:themeColor="text1"/>
          <w:kern w:val="0"/>
        </w:rPr>
        <w:t>全面提升对外开放的质量和效益。</w:t>
      </w: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466" w:name="_Toc30140"/>
      <w:bookmarkStart w:id="467" w:name="_Toc64542180"/>
      <w:bookmarkStart w:id="468" w:name="_Toc13020"/>
      <w:r>
        <w:rPr>
          <w:rFonts w:hint="eastAsia" w:ascii="楷体_GB2312" w:eastAsia="楷体_GB2312"/>
          <w:color w:val="000000" w:themeColor="text1"/>
        </w:rPr>
        <w:t>第一节  着力畅通开放大通道</w:t>
      </w:r>
      <w:bookmarkEnd w:id="466"/>
      <w:bookmarkEnd w:id="467"/>
      <w:bookmarkEnd w:id="468"/>
    </w:p>
    <w:p>
      <w:pPr>
        <w:spacing w:line="580" w:lineRule="exact"/>
        <w:ind w:firstLine="640"/>
        <w:rPr>
          <w:rFonts w:ascii="仿宋_GB2312" w:hAnsi="仿宋_GB2312" w:eastAsia="仿宋_GB2312" w:cs="仿宋_GB2312"/>
          <w:color w:val="000000" w:themeColor="text1"/>
          <w:szCs w:val="32"/>
        </w:rPr>
      </w:pPr>
    </w:p>
    <w:p>
      <w:pPr>
        <w:spacing w:line="580" w:lineRule="exact"/>
        <w:ind w:firstLine="640"/>
      </w:pPr>
      <w:r>
        <w:rPr>
          <w:rFonts w:hint="eastAsia" w:ascii="仿宋_GB2312" w:hAnsi="仿宋_GB2312" w:eastAsia="仿宋_GB2312" w:cs="仿宋_GB2312"/>
          <w:color w:val="000000" w:themeColor="text1"/>
          <w:szCs w:val="32"/>
        </w:rPr>
        <w:t>构建国内国际航空物流大通道，加快推进昌北机场三期建设，吸引更多国内航空公司新开通南昌始发航班，鼓励更多国际航空公司增加至南昌的中远程航班，争取新培育1家以上本土货运基地航空公司。推进空铁协同，加快昌北机场与乐化铁路物流园一体建设，加强与长三角航空货运需求对接，打造长三角新航空-货运集散地。畅通</w:t>
      </w:r>
      <w:r>
        <w:rPr>
          <w:rFonts w:hint="eastAsia" w:ascii="仿宋_GB2312" w:eastAsia="仿宋_GB2312"/>
          <w:color w:val="000000" w:themeColor="text1"/>
          <w:kern w:val="0"/>
        </w:rPr>
        <w:t>国际铁路物流大通道，加强与中欧班列沿线城市合作，推进南昌中欧班列常态化持续健康发展，提高班列运输效率。深化与沿海主要港口紧密合作，强化南昌港与九江港合作，加密南昌至深圳、厦门、福州、宁波等地的铁海联运班列。大力发展铁海联运、江海联运等国际多式联运，逐步实现“进境与沿海同价到港，出境与沿海同价起运，通关与沿海同等效率”目标。</w:t>
      </w: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469" w:name="_Toc64542181"/>
      <w:bookmarkStart w:id="470" w:name="_Toc13408"/>
      <w:bookmarkStart w:id="471" w:name="_Toc17537"/>
      <w:r>
        <w:rPr>
          <w:rFonts w:hint="eastAsia" w:ascii="楷体_GB2312" w:eastAsia="楷体_GB2312"/>
          <w:color w:val="000000" w:themeColor="text1"/>
        </w:rPr>
        <w:t>第二节  构建高能级开放大平台</w:t>
      </w:r>
      <w:bookmarkEnd w:id="460"/>
      <w:bookmarkEnd w:id="461"/>
      <w:bookmarkEnd w:id="462"/>
      <w:bookmarkEnd w:id="469"/>
      <w:bookmarkEnd w:id="470"/>
      <w:bookmarkEnd w:id="471"/>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优化开放平台布局，着力构建东西南北“四方”连通，水铁公空“四式”联运，商流物流资金流信息流“四流”汇聚的口岸布局。全力建设南昌向塘国际陆港、南昌国际智慧空港，打造“南北呼应”的开放发展门户。</w:t>
      </w:r>
      <w:r>
        <w:rPr>
          <w:rFonts w:hint="eastAsia" w:ascii="仿宋_GB2312" w:hAnsi="仿宋" w:eastAsia="仿宋_GB2312"/>
          <w:bCs/>
          <w:kern w:val="0"/>
          <w:szCs w:val="32"/>
        </w:rPr>
        <w:t>加快推进中国（南昌）跨境电子商务综合试验区、海关特殊监管区等专业化平台建设</w:t>
      </w:r>
      <w:r>
        <w:rPr>
          <w:rFonts w:hint="eastAsia" w:ascii="仿宋_GB2312" w:eastAsia="仿宋_GB2312"/>
          <w:kern w:val="0"/>
        </w:rPr>
        <w:t>，积极探索建设数字化综合保税区。</w:t>
      </w:r>
      <w:r>
        <w:rPr>
          <w:rFonts w:hint="eastAsia" w:ascii="仿宋_GB2312" w:eastAsia="仿宋_GB2312"/>
          <w:color w:val="000000" w:themeColor="text1"/>
          <w:kern w:val="0"/>
        </w:rPr>
        <w:t>积极参与创建江西自由贸易试验区，争创国家物流枢纽城市，力争在昌设立国家级对外合作平台。加强航空口岸建设，巩固扩展国际客货运航班航线，推进国际国内全货机开行，推动昌北机场建成千万级枢纽机场。完善航空口岸各项功能，全面建成并规模化运营冰鲜水产品、食用水生动物、水果三个指定监管场地，积极申报药品、肉类等指定监管场地。完善国际快件监管中心、国际邮件互换局功能，扩大业务规模。</w:t>
      </w:r>
    </w:p>
    <w:p>
      <w:pPr>
        <w:pStyle w:val="2"/>
        <w:ind w:firstLine="320"/>
      </w:pPr>
    </w:p>
    <w:p>
      <w:pPr>
        <w:pStyle w:val="2"/>
        <w:ind w:firstLine="320"/>
      </w:pP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071" w:type="dxa"/>
            <w:vAlign w:val="center"/>
          </w:tcPr>
          <w:p>
            <w:pPr>
              <w:ind w:firstLine="0" w:firstLineChars="0"/>
              <w:jc w:val="center"/>
              <w:rPr>
                <w:rFonts w:ascii="Times New Roman" w:eastAsia="仿宋_GB2312"/>
                <w:b/>
                <w:color w:val="000000" w:themeColor="text1"/>
                <w:sz w:val="28"/>
                <w:szCs w:val="28"/>
              </w:rPr>
            </w:pPr>
            <w:r>
              <w:rPr>
                <w:rFonts w:hint="eastAsia" w:ascii="黑体" w:hAnsi="黑体" w:eastAsia="黑体" w:cs="黑体"/>
                <w:bCs/>
                <w:color w:val="000000" w:themeColor="text1"/>
                <w:sz w:val="28"/>
                <w:szCs w:val="28"/>
              </w:rPr>
              <w:t>专栏15：“两区两港”建设工程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pStyle w:val="51"/>
              <w:adjustRightInd w:val="0"/>
              <w:snapToGrid w:val="0"/>
              <w:spacing w:line="380" w:lineRule="exact"/>
              <w:ind w:firstLine="482"/>
              <w:rPr>
                <w:rFonts w:ascii="仿宋_GB2312" w:hAnsi="仿宋" w:eastAsia="仿宋_GB2312" w:cs="仿宋"/>
                <w:b/>
                <w:bCs/>
                <w:color w:val="000000" w:themeColor="text1"/>
                <w:sz w:val="24"/>
              </w:rPr>
            </w:pPr>
            <w:r>
              <w:rPr>
                <w:rFonts w:hint="eastAsia" w:ascii="仿宋_GB2312" w:hAnsi="仿宋" w:eastAsia="仿宋_GB2312" w:cs="仿宋"/>
                <w:b/>
                <w:bCs/>
                <w:color w:val="000000" w:themeColor="text1"/>
                <w:sz w:val="24"/>
              </w:rPr>
              <w:t>（一）南昌综合保税区</w:t>
            </w:r>
          </w:p>
          <w:p>
            <w:pPr>
              <w:pStyle w:val="51"/>
              <w:numPr>
                <w:ilvl w:val="0"/>
                <w:numId w:val="6"/>
              </w:numPr>
              <w:adjustRightInd w:val="0"/>
              <w:snapToGrid w:val="0"/>
              <w:spacing w:line="380" w:lineRule="exact"/>
              <w:ind w:left="0" w:firstLineChars="0"/>
              <w:rPr>
                <w:rFonts w:ascii="仿宋_GB2312" w:hAnsi="仿宋" w:eastAsia="仿宋_GB2312" w:cs="仿宋"/>
                <w:color w:val="000000" w:themeColor="text1"/>
                <w:sz w:val="24"/>
              </w:rPr>
            </w:pPr>
            <w:r>
              <w:rPr>
                <w:rFonts w:hint="eastAsia" w:ascii="仿宋_GB2312" w:hAnsi="仿宋" w:eastAsia="仿宋_GB2312" w:cs="仿宋"/>
                <w:color w:val="000000" w:themeColor="text1"/>
                <w:sz w:val="24"/>
              </w:rPr>
              <w:t xml:space="preserve">    以加工制造、研发设计、物流分拨、检测维修和销售服务“五大中心”，加快综合保税区创新升级，努力把南昌综合保税区打造成为全市乃至全省内陆开放型经济试验区引领区、自贸试验区核心区和制度型开放示范区。</w:t>
            </w:r>
          </w:p>
          <w:p>
            <w:pPr>
              <w:pStyle w:val="51"/>
              <w:numPr>
                <w:ilvl w:val="0"/>
                <w:numId w:val="6"/>
              </w:numPr>
              <w:adjustRightInd w:val="0"/>
              <w:snapToGrid w:val="0"/>
              <w:spacing w:line="380" w:lineRule="exact"/>
              <w:ind w:left="0" w:firstLineChars="0"/>
              <w:rPr>
                <w:rFonts w:ascii="仿宋_GB2312" w:hAnsi="仿宋" w:eastAsia="仿宋_GB2312" w:cs="仿宋"/>
                <w:b/>
                <w:color w:val="000000" w:themeColor="text1"/>
                <w:sz w:val="24"/>
              </w:rPr>
            </w:pPr>
            <w:r>
              <w:rPr>
                <w:rFonts w:hint="eastAsia" w:ascii="仿宋_GB2312" w:hAnsi="仿宋" w:eastAsia="仿宋_GB2312" w:cs="仿宋"/>
                <w:b/>
                <w:color w:val="000000" w:themeColor="text1"/>
                <w:sz w:val="24"/>
              </w:rPr>
              <w:t xml:space="preserve">    （二）中国（南昌）跨境电商综合试验区</w:t>
            </w:r>
          </w:p>
          <w:p>
            <w:pPr>
              <w:adjustRightInd w:val="0"/>
              <w:snapToGrid w:val="0"/>
              <w:spacing w:line="380" w:lineRule="exact"/>
              <w:ind w:firstLineChars="0"/>
              <w:rPr>
                <w:rFonts w:ascii="仿宋_GB2312" w:hAnsi="仿宋" w:eastAsia="仿宋_GB2312" w:cs="仿宋"/>
                <w:color w:val="000000" w:themeColor="text1"/>
                <w:sz w:val="24"/>
              </w:rPr>
            </w:pPr>
            <w:r>
              <w:rPr>
                <w:rFonts w:hint="eastAsia" w:ascii="仿宋_GB2312" w:hAnsi="仿宋" w:eastAsia="仿宋_GB2312" w:cs="仿宋"/>
                <w:color w:val="000000" w:themeColor="text1"/>
                <w:sz w:val="24"/>
              </w:rPr>
              <w:t>推动建设跨境电商产业集聚区、数字园区和跨境海外仓。以跨境电商产业大平台、大项目和大载体为基础，汇集跨境电商贸易链、物流链和服务链上下游企业，优化跨境电商产业生态圈，打造中部地区重要的跨境电商进出口商品集散中心。重点推动跨境电商生态基地建设，力争到</w:t>
            </w:r>
            <w:r>
              <w:rPr>
                <w:rFonts w:ascii="仿宋_GB2312" w:hAnsi="仿宋" w:eastAsia="仿宋_GB2312" w:cs="仿宋"/>
                <w:color w:val="000000" w:themeColor="text1"/>
                <w:sz w:val="24"/>
              </w:rPr>
              <w:t>2025</w:t>
            </w:r>
            <w:r>
              <w:rPr>
                <w:rFonts w:hint="eastAsia" w:ascii="仿宋_GB2312" w:hAnsi="仿宋" w:eastAsia="仿宋_GB2312" w:cs="仿宋"/>
                <w:color w:val="000000" w:themeColor="text1"/>
                <w:sz w:val="24"/>
              </w:rPr>
              <w:t>年，</w:t>
            </w:r>
            <w:r>
              <w:rPr>
                <w:rFonts w:ascii="仿宋_GB2312" w:hAnsi="仿宋" w:eastAsia="仿宋_GB2312" w:cs="仿宋"/>
                <w:color w:val="000000" w:themeColor="text1"/>
                <w:sz w:val="24"/>
              </w:rPr>
              <w:t>入驻跨境电商企业突破100家，国内头部跨境电商知名企业突破5家，跨境电商出口</w:t>
            </w:r>
            <w:r>
              <w:rPr>
                <w:rFonts w:hint="eastAsia" w:ascii="仿宋_GB2312" w:hAnsi="仿宋" w:eastAsia="仿宋_GB2312" w:cs="仿宋"/>
                <w:color w:val="000000" w:themeColor="text1"/>
                <w:sz w:val="24"/>
              </w:rPr>
              <w:t>交易</w:t>
            </w:r>
            <w:r>
              <w:rPr>
                <w:rFonts w:ascii="仿宋_GB2312" w:hAnsi="仿宋" w:eastAsia="仿宋_GB2312" w:cs="仿宋"/>
                <w:color w:val="000000" w:themeColor="text1"/>
                <w:sz w:val="24"/>
              </w:rPr>
              <w:t>额达到30亿元。</w:t>
            </w:r>
          </w:p>
          <w:p>
            <w:pPr>
              <w:pStyle w:val="51"/>
              <w:numPr>
                <w:ilvl w:val="0"/>
                <w:numId w:val="6"/>
              </w:numPr>
              <w:adjustRightInd w:val="0"/>
              <w:snapToGrid w:val="0"/>
              <w:spacing w:line="380" w:lineRule="exact"/>
              <w:ind w:left="0" w:firstLineChars="0"/>
              <w:rPr>
                <w:rFonts w:ascii="仿宋_GB2312" w:hAnsi="仿宋" w:eastAsia="仿宋_GB2312" w:cs="仿宋"/>
                <w:b/>
                <w:color w:val="000000" w:themeColor="text1"/>
                <w:sz w:val="24"/>
              </w:rPr>
            </w:pPr>
            <w:r>
              <w:rPr>
                <w:rFonts w:hint="eastAsia" w:ascii="仿宋_GB2312" w:hAnsi="仿宋" w:eastAsia="仿宋_GB2312" w:cs="仿宋"/>
                <w:b/>
                <w:color w:val="000000" w:themeColor="text1"/>
                <w:sz w:val="24"/>
              </w:rPr>
              <w:t xml:space="preserve">    （三）南昌国际智慧空港</w:t>
            </w:r>
          </w:p>
          <w:p>
            <w:pPr>
              <w:adjustRightInd w:val="0"/>
              <w:snapToGrid w:val="0"/>
              <w:spacing w:line="380" w:lineRule="exact"/>
              <w:ind w:firstLineChars="0"/>
              <w:rPr>
                <w:rFonts w:ascii="仿宋_GB2312" w:hAnsi="仿宋" w:eastAsia="仿宋_GB2312" w:cs="仿宋"/>
                <w:color w:val="000000" w:themeColor="text1"/>
                <w:sz w:val="24"/>
              </w:rPr>
            </w:pPr>
            <w:r>
              <w:rPr>
                <w:rFonts w:hint="eastAsia" w:ascii="仿宋_GB2312" w:hAnsi="仿宋" w:eastAsia="仿宋_GB2312" w:cs="仿宋"/>
                <w:color w:val="000000" w:themeColor="text1"/>
                <w:sz w:val="24"/>
              </w:rPr>
              <w:t>统筹空港陆港水港建设，加快将高速铁路、高速公路、城市轨道引入机场，构建以昌北机场为核心的综合交通枢纽。加密国内航线，增开国际航线，提升南昌与全球的通达性，逐步形成南昌与国内主要城市、东亚、东南亚“3—4小时航空交通圈”，与全球主要城市“12小时航空交通圈”。依托昌北机场“一货站三中心”，大力发展货运包机、定班航线，推进货代、跨境物流、金融服务等配套产业，打造成为“一带一路”重要航空货运集散中心。力争到</w:t>
            </w:r>
            <w:r>
              <w:rPr>
                <w:rFonts w:ascii="仿宋_GB2312" w:hAnsi="仿宋" w:eastAsia="仿宋_GB2312" w:cs="仿宋"/>
                <w:color w:val="000000" w:themeColor="text1"/>
                <w:sz w:val="24"/>
              </w:rPr>
              <w:t>2025年，国内航线通航城市突破</w:t>
            </w:r>
            <w:r>
              <w:rPr>
                <w:rFonts w:hint="eastAsia" w:ascii="仿宋_GB2312" w:hAnsi="仿宋" w:eastAsia="仿宋_GB2312" w:cs="仿宋"/>
                <w:color w:val="000000" w:themeColor="text1"/>
                <w:sz w:val="24"/>
              </w:rPr>
              <w:t>80</w:t>
            </w:r>
            <w:r>
              <w:rPr>
                <w:rFonts w:ascii="仿宋_GB2312" w:hAnsi="仿宋" w:eastAsia="仿宋_GB2312" w:cs="仿宋"/>
                <w:color w:val="000000" w:themeColor="text1"/>
                <w:sz w:val="24"/>
              </w:rPr>
              <w:t>个，国际及地区通航城市突破</w:t>
            </w:r>
            <w:r>
              <w:rPr>
                <w:rFonts w:hint="eastAsia" w:ascii="仿宋_GB2312" w:hAnsi="仿宋" w:eastAsia="仿宋_GB2312" w:cs="仿宋"/>
                <w:color w:val="000000" w:themeColor="text1"/>
                <w:sz w:val="24"/>
              </w:rPr>
              <w:t>3</w:t>
            </w:r>
            <w:r>
              <w:rPr>
                <w:rFonts w:ascii="仿宋_GB2312" w:hAnsi="仿宋" w:eastAsia="仿宋_GB2312" w:cs="仿宋"/>
                <w:color w:val="000000" w:themeColor="text1"/>
                <w:sz w:val="24"/>
              </w:rPr>
              <w:t>0个</w:t>
            </w:r>
            <w:r>
              <w:rPr>
                <w:rFonts w:hint="eastAsia" w:ascii="仿宋_GB2312" w:hAnsi="仿宋" w:eastAsia="仿宋_GB2312" w:cs="仿宋"/>
                <w:color w:val="000000" w:themeColor="text1"/>
                <w:sz w:val="24"/>
              </w:rPr>
              <w:t>，昌北机场货邮吞吐量达到30万吨，建成面向国际的区域性智慧空港。</w:t>
            </w:r>
          </w:p>
          <w:p>
            <w:pPr>
              <w:adjustRightInd w:val="0"/>
              <w:snapToGrid w:val="0"/>
              <w:spacing w:line="380" w:lineRule="exact"/>
              <w:ind w:firstLineChars="0"/>
              <w:rPr>
                <w:rFonts w:ascii="仿宋_GB2312" w:hAnsi="仿宋" w:eastAsia="仿宋_GB2312" w:cs="仿宋"/>
                <w:b/>
                <w:color w:val="000000" w:themeColor="text1"/>
                <w:sz w:val="24"/>
              </w:rPr>
            </w:pPr>
            <w:r>
              <w:rPr>
                <w:rFonts w:hint="eastAsia" w:ascii="仿宋_GB2312" w:hAnsi="仿宋" w:eastAsia="仿宋_GB2312" w:cs="仿宋"/>
                <w:b/>
                <w:color w:val="000000" w:themeColor="text1"/>
                <w:sz w:val="24"/>
              </w:rPr>
              <w:t>（四）南昌向塘国际陆港</w:t>
            </w:r>
          </w:p>
          <w:p>
            <w:pPr>
              <w:spacing w:line="360" w:lineRule="exact"/>
              <w:ind w:firstLine="480"/>
              <w:rPr>
                <w:rFonts w:ascii="仿宋" w:hAnsi="仿宋"/>
                <w:color w:val="000000" w:themeColor="text1"/>
                <w:sz w:val="24"/>
              </w:rPr>
            </w:pPr>
            <w:r>
              <w:rPr>
                <w:rFonts w:hint="eastAsia" w:ascii="仿宋_GB2312" w:hAnsi="仿宋" w:eastAsia="仿宋_GB2312" w:cs="仿宋"/>
                <w:color w:val="000000" w:themeColor="text1"/>
                <w:sz w:val="24"/>
              </w:rPr>
              <w:t>推动“三大板块、十六大功能分区”（现代物流业集聚区、高端服务业集聚区、先进制造业集聚区；铁路口岸、铁路物流基地、商品车物流区、综合保税区、口岸物流区、冷链物流区、电商物流区、快递城配区、公路货运区、商贸仓配区、战略预留区、科技创新总部基地、国际贸易展销之廊、健康休闲乐活水岸、高品质人才居住生活圈、临港制造业园区）建设，打造集铁路干线运输、区域分拨及配送、多式联运、国际物流服务、供应链集成服务、信息综合服务、商贸物流服务功能为一体的现代化国际物流枢纽。</w:t>
            </w:r>
          </w:p>
        </w:tc>
      </w:tr>
    </w:tbl>
    <w:p>
      <w:pPr>
        <w:pStyle w:val="29"/>
        <w:adjustRightInd/>
        <w:snapToGrid/>
        <w:spacing w:line="580" w:lineRule="exact"/>
        <w:rPr>
          <w:color w:val="000000" w:themeColor="text1"/>
        </w:rPr>
      </w:pPr>
      <w:bookmarkStart w:id="472" w:name="_Toc29687"/>
      <w:bookmarkStart w:id="473" w:name="_Toc64542182"/>
      <w:bookmarkStart w:id="474" w:name="_Toc1913"/>
    </w:p>
    <w:p>
      <w:pPr>
        <w:pStyle w:val="29"/>
        <w:adjustRightInd/>
        <w:snapToGrid/>
        <w:spacing w:line="580" w:lineRule="exact"/>
        <w:rPr>
          <w:color w:val="000000" w:themeColor="text1"/>
        </w:rPr>
      </w:pPr>
    </w:p>
    <w:p>
      <w:pPr>
        <w:pStyle w:val="29"/>
        <w:adjustRightInd/>
        <w:snapToGrid/>
        <w:spacing w:line="580" w:lineRule="exact"/>
        <w:rPr>
          <w:color w:val="000000" w:themeColor="text1"/>
        </w:rPr>
      </w:pPr>
    </w:p>
    <w:p>
      <w:pPr>
        <w:pStyle w:val="29"/>
        <w:adjustRightInd/>
        <w:snapToGrid/>
        <w:spacing w:line="580" w:lineRule="exact"/>
        <w:rPr>
          <w:color w:val="000000" w:themeColor="text1"/>
        </w:rPr>
      </w:pPr>
    </w:p>
    <w:p>
      <w:pPr>
        <w:pStyle w:val="29"/>
        <w:adjustRightInd/>
        <w:snapToGrid/>
        <w:spacing w:line="580" w:lineRule="exact"/>
        <w:rPr>
          <w:color w:val="000000" w:themeColor="text1"/>
        </w:rPr>
      </w:pPr>
      <w:r>
        <w:rPr>
          <w:rFonts w:hint="eastAsia"/>
          <w:color w:val="000000" w:themeColor="text1"/>
        </w:rPr>
        <w:t>第八篇  全面推进乡村振兴</w:t>
      </w:r>
      <w:bookmarkEnd w:id="472"/>
      <w:bookmarkEnd w:id="473"/>
      <w:bookmarkEnd w:id="474"/>
    </w:p>
    <w:p>
      <w:pPr>
        <w:spacing w:line="560" w:lineRule="exact"/>
        <w:ind w:firstLine="640"/>
        <w:rPr>
          <w:rFonts w:ascii="仿宋_GB2312" w:eastAsia="仿宋_GB2312"/>
          <w:color w:val="000000" w:themeColor="text1"/>
          <w:kern w:val="0"/>
        </w:rPr>
      </w:pPr>
    </w:p>
    <w:p>
      <w:pPr>
        <w:spacing w:line="560" w:lineRule="exact"/>
        <w:ind w:firstLine="640"/>
        <w:rPr>
          <w:rFonts w:ascii="仿宋_GB2312" w:eastAsia="仿宋_GB2312"/>
          <w:color w:val="000000" w:themeColor="text1"/>
          <w:kern w:val="0"/>
        </w:rPr>
      </w:pPr>
      <w:r>
        <w:rPr>
          <w:rFonts w:hint="eastAsia" w:ascii="仿宋_GB2312" w:eastAsia="仿宋_GB2312"/>
          <w:color w:val="000000" w:themeColor="text1"/>
          <w:kern w:val="0"/>
        </w:rPr>
        <w:t>坚持农业农村优先发展，按照“产业兴旺、生态宜居、乡风文明、治理有效、生活富裕”总要求，走中国特色社会主义乡村振兴道路，不断推动农业农村现代化。</w:t>
      </w:r>
    </w:p>
    <w:p>
      <w:pPr>
        <w:pStyle w:val="31"/>
        <w:autoSpaceDN/>
        <w:spacing w:line="560" w:lineRule="exact"/>
        <w:ind w:firstLine="640"/>
      </w:pPr>
    </w:p>
    <w:p>
      <w:pPr>
        <w:spacing w:line="560" w:lineRule="exact"/>
        <w:ind w:firstLine="0" w:firstLineChars="0"/>
        <w:jc w:val="center"/>
        <w:outlineLvl w:val="1"/>
        <w:rPr>
          <w:rFonts w:ascii="仿宋_GB2312" w:hAnsi="仿宋_GB2312" w:eastAsia="黑体" w:cs="仿宋_GB2312"/>
          <w:color w:val="000000" w:themeColor="text1"/>
          <w:kern w:val="28"/>
          <w:szCs w:val="32"/>
        </w:rPr>
      </w:pPr>
      <w:bookmarkStart w:id="475" w:name="_Toc64542183"/>
      <w:bookmarkStart w:id="476" w:name="_Toc28210"/>
      <w:bookmarkStart w:id="477" w:name="_Toc32692"/>
      <w:r>
        <w:rPr>
          <w:rFonts w:hint="eastAsia" w:ascii="仿宋_GB2312" w:hAnsi="仿宋_GB2312" w:eastAsia="黑体" w:cs="仿宋_GB2312"/>
          <w:color w:val="000000" w:themeColor="text1"/>
          <w:kern w:val="28"/>
          <w:szCs w:val="32"/>
        </w:rPr>
        <w:t>第二十五</w:t>
      </w:r>
      <w:bookmarkEnd w:id="409"/>
      <w:bookmarkEnd w:id="410"/>
      <w:bookmarkEnd w:id="411"/>
      <w:r>
        <w:rPr>
          <w:rFonts w:hint="eastAsia" w:ascii="仿宋_GB2312" w:hAnsi="仿宋_GB2312" w:eastAsia="黑体" w:cs="仿宋_GB2312"/>
          <w:color w:val="000000" w:themeColor="text1"/>
          <w:kern w:val="28"/>
          <w:szCs w:val="32"/>
        </w:rPr>
        <w:t>章  着力提升农业质量与效益</w:t>
      </w:r>
      <w:bookmarkEnd w:id="475"/>
      <w:bookmarkEnd w:id="476"/>
      <w:bookmarkEnd w:id="477"/>
    </w:p>
    <w:p>
      <w:pPr>
        <w:spacing w:line="560" w:lineRule="exact"/>
        <w:ind w:firstLine="640"/>
        <w:rPr>
          <w:rFonts w:ascii="仿宋_GB2312" w:eastAsia="仿宋_GB2312"/>
          <w:color w:val="000000" w:themeColor="text1"/>
          <w:kern w:val="0"/>
        </w:rPr>
      </w:pPr>
    </w:p>
    <w:p>
      <w:pPr>
        <w:spacing w:line="560" w:lineRule="exact"/>
        <w:ind w:firstLine="640"/>
        <w:rPr>
          <w:rFonts w:ascii="仿宋_GB2312" w:eastAsia="仿宋_GB2312"/>
          <w:color w:val="000000" w:themeColor="text1"/>
          <w:kern w:val="0"/>
        </w:rPr>
      </w:pPr>
      <w:r>
        <w:rPr>
          <w:rFonts w:hint="eastAsia" w:ascii="仿宋_GB2312" w:eastAsia="仿宋_GB2312"/>
          <w:color w:val="000000" w:themeColor="text1"/>
          <w:kern w:val="0"/>
        </w:rPr>
        <w:t>坚持现代农业提质增效导向，大力发展都市现代农业，不断优化农业生产结构，健全农业支持保护制度，推进农业绿色化、优质化、特色化、品牌化发展。</w:t>
      </w:r>
    </w:p>
    <w:p>
      <w:pPr>
        <w:pStyle w:val="31"/>
        <w:autoSpaceDN/>
        <w:spacing w:line="560" w:lineRule="exact"/>
        <w:ind w:firstLine="640"/>
      </w:pPr>
    </w:p>
    <w:p>
      <w:pPr>
        <w:pStyle w:val="74"/>
        <w:adjustRightInd/>
        <w:snapToGrid/>
        <w:spacing w:line="560" w:lineRule="exact"/>
        <w:rPr>
          <w:rFonts w:ascii="楷体_GB2312" w:eastAsia="楷体_GB2312"/>
          <w:color w:val="000000" w:themeColor="text1"/>
        </w:rPr>
      </w:pPr>
      <w:bookmarkStart w:id="478" w:name="_Toc6433"/>
      <w:bookmarkStart w:id="479" w:name="_Toc64542184"/>
      <w:bookmarkStart w:id="480" w:name="_Toc4569"/>
      <w:r>
        <w:rPr>
          <w:rFonts w:hint="eastAsia" w:ascii="楷体_GB2312" w:eastAsia="楷体_GB2312"/>
          <w:color w:val="000000" w:themeColor="text1"/>
        </w:rPr>
        <w:t>第一节  保障重要农产品供给安全</w:t>
      </w:r>
      <w:bookmarkEnd w:id="478"/>
      <w:bookmarkEnd w:id="479"/>
      <w:bookmarkEnd w:id="480"/>
    </w:p>
    <w:p>
      <w:pPr>
        <w:spacing w:line="560" w:lineRule="exact"/>
        <w:ind w:firstLine="640"/>
        <w:rPr>
          <w:rFonts w:ascii="仿宋_GB2312" w:eastAsia="仿宋_GB2312"/>
          <w:color w:val="000000" w:themeColor="text1"/>
          <w:kern w:val="0"/>
        </w:rPr>
      </w:pPr>
    </w:p>
    <w:p>
      <w:pPr>
        <w:spacing w:line="560" w:lineRule="exact"/>
        <w:ind w:firstLine="640"/>
        <w:rPr>
          <w:rFonts w:ascii="仿宋_GB2312" w:eastAsia="仿宋_GB2312"/>
          <w:color w:val="000000" w:themeColor="text1"/>
          <w:kern w:val="0"/>
        </w:rPr>
      </w:pPr>
      <w:r>
        <w:rPr>
          <w:rFonts w:hint="eastAsia" w:ascii="仿宋_GB2312" w:eastAsia="仿宋_GB2312"/>
          <w:color w:val="000000" w:themeColor="text1"/>
          <w:kern w:val="0"/>
        </w:rPr>
        <w:t>深入实施“藏粮于地、藏粮于技”战略，</w:t>
      </w:r>
      <w:r>
        <w:rPr>
          <w:rFonts w:hint="eastAsia" w:ascii="仿宋_GB2312" w:hAnsi="仿宋_GB2312" w:eastAsia="仿宋_GB2312" w:cs="仿宋_GB2312"/>
          <w:szCs w:val="32"/>
        </w:rPr>
        <w:t>加强粮食生产功能区、蔬菜生产保护区和特色农产品优势区建设</w:t>
      </w:r>
      <w:r>
        <w:rPr>
          <w:rFonts w:hint="eastAsia" w:ascii="仿宋_GB2312" w:eastAsia="仿宋_GB2312"/>
          <w:color w:val="000000" w:themeColor="text1"/>
          <w:kern w:val="0"/>
        </w:rPr>
        <w:t>，加快推进高标准农田建设，提高农业科技和机械化服务水平，确保粮油等重要农产品供给安全，粮食总产量稳定在42亿斤以上。大力发展现代畜牧业，健全动物防疫体系，生猪养殖规模化率达到 70%以上。积极推进蔬菜、水果、肉蛋奶、水产品等主要“菜篮子”产品生产，建设一批集约化、设施化“菜篮子”基地，建设一批规模化特色水果生产基地，力争全市常年重要蔬菜自给能力达到 70%以上。推广稻油轮作模式，提升油料产业发展水平。</w:t>
      </w:r>
    </w:p>
    <w:p>
      <w:pPr>
        <w:pStyle w:val="74"/>
        <w:adjustRightInd/>
        <w:snapToGrid/>
        <w:spacing w:line="580" w:lineRule="exact"/>
        <w:rPr>
          <w:rFonts w:ascii="楷体_GB2312" w:eastAsia="楷体_GB2312"/>
          <w:color w:val="000000" w:themeColor="text1"/>
        </w:rPr>
      </w:pPr>
      <w:bookmarkStart w:id="481" w:name="_Toc11084"/>
      <w:bookmarkStart w:id="482" w:name="_Toc623"/>
      <w:bookmarkStart w:id="483" w:name="_Toc64542185"/>
    </w:p>
    <w:p>
      <w:pPr>
        <w:pStyle w:val="74"/>
        <w:adjustRightInd/>
        <w:snapToGrid/>
        <w:spacing w:line="580" w:lineRule="exact"/>
        <w:rPr>
          <w:rFonts w:ascii="楷体_GB2312" w:eastAsia="楷体_GB2312"/>
          <w:color w:val="000000" w:themeColor="text1"/>
        </w:rPr>
      </w:pPr>
      <w:r>
        <w:rPr>
          <w:rFonts w:hint="eastAsia" w:ascii="楷体_GB2312" w:eastAsia="楷体_GB2312"/>
          <w:color w:val="000000" w:themeColor="text1"/>
        </w:rPr>
        <w:t>第二节  增强农业综合生产能力</w:t>
      </w:r>
      <w:bookmarkEnd w:id="481"/>
      <w:bookmarkEnd w:id="482"/>
      <w:bookmarkEnd w:id="483"/>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明确优势产业和主攻方向，实现十大农业主导产业</w:t>
      </w:r>
      <w:r>
        <w:rPr>
          <w:rFonts w:hint="eastAsia" w:ascii="仿宋_GB2312" w:eastAsia="仿宋_GB2312"/>
          <w:color w:val="000000" w:themeColor="text1"/>
          <w:kern w:val="0"/>
          <w:vertAlign w:val="superscript"/>
        </w:rPr>
        <w:footnoteReference w:id="10"/>
      </w:r>
      <w:r>
        <w:rPr>
          <w:rFonts w:hint="eastAsia" w:ascii="仿宋_GB2312" w:eastAsia="仿宋_GB2312"/>
          <w:color w:val="000000" w:themeColor="text1"/>
          <w:kern w:val="0"/>
        </w:rPr>
        <w:t>产值占农业总产值的70%以上。积极扩大紧缺农产品生产，大力发展特种畜禽和水产养殖。实施现代种业提升工程，提升农业良种化水平。实施土地整理与耕地质量提升工程。加快农村流通体系建设，发展农产品贮藏保鲜和冷链物流，大力推进区域性农产品产地仓储冷链物流设施建设。培育建设长江中下游水稻气象野外科学试验基地。强化以品牌为纽带的资产重组和要素整合，开展区域品牌、企业品牌和产品品牌“新三品”创建工作，积极创建中国特色农产品优势区。推动农业生产规范化，加快建设一批农产品标准化示范园，加强产地环境保护和源头治理，强化生产过程追溯。</w:t>
      </w:r>
      <w:r>
        <w:rPr>
          <w:rFonts w:hint="eastAsia" w:ascii="仿宋_GB2312" w:hAnsi="仿宋_GB2312" w:eastAsia="仿宋_GB2312" w:cs="仿宋_GB2312"/>
          <w:szCs w:val="32"/>
        </w:rPr>
        <w:t>深入推进农业绿色发展，继续加大农业面源污染治理力度，推行绿色生产方式，促进农业可持续发展。</w:t>
      </w:r>
      <w:r>
        <w:rPr>
          <w:rFonts w:hint="eastAsia" w:ascii="仿宋_GB2312" w:eastAsia="仿宋_GB2312"/>
          <w:color w:val="000000" w:themeColor="text1"/>
          <w:kern w:val="0"/>
        </w:rPr>
        <w:t>完善农业社会化服务体系建设，支持绿色高效机械装备和技术推广使用，大力发展“互联网+农业”。到2025年，主要农作物耕种收综合机械化率提高到80%以上，全市农业信息化水平达到80%以上。</w:t>
      </w:r>
    </w:p>
    <w:p>
      <w:pPr>
        <w:pStyle w:val="2"/>
        <w:ind w:firstLine="320"/>
      </w:pPr>
    </w:p>
    <w:p>
      <w:pPr>
        <w:pStyle w:val="2"/>
        <w:ind w:firstLine="320"/>
      </w:pP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071" w:type="dxa"/>
            <w:vAlign w:val="center"/>
          </w:tcPr>
          <w:p>
            <w:pPr>
              <w:pStyle w:val="52"/>
              <w:numPr>
                <w:ilvl w:val="0"/>
                <w:numId w:val="0"/>
              </w:numPr>
              <w:spacing w:after="0" w:line="360" w:lineRule="exact"/>
              <w:jc w:val="center"/>
              <w:rPr>
                <w:rFonts w:ascii="Times New Roman" w:eastAsia="仿宋_GB2312"/>
                <w:b/>
                <w:color w:val="000000" w:themeColor="text1"/>
                <w:sz w:val="28"/>
                <w:szCs w:val="28"/>
              </w:rPr>
            </w:pPr>
            <w:r>
              <w:rPr>
                <w:rFonts w:hint="eastAsia" w:ascii="仿宋_GB2312" w:eastAsia="仿宋_GB2312"/>
                <w:color w:val="000000" w:themeColor="text1"/>
                <w:kern w:val="0"/>
              </w:rPr>
              <w:br w:type="page"/>
            </w:r>
            <w:r>
              <w:rPr>
                <w:rFonts w:hint="eastAsia" w:ascii="黑体" w:hAnsi="黑体" w:eastAsia="黑体" w:cs="黑体"/>
                <w:bCs/>
                <w:color w:val="000000" w:themeColor="text1"/>
                <w:sz w:val="28"/>
                <w:szCs w:val="28"/>
              </w:rPr>
              <w:t>专栏16：都市现代农业发展重大工程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pStyle w:val="51"/>
              <w:numPr>
                <w:ilvl w:val="0"/>
                <w:numId w:val="7"/>
              </w:numPr>
              <w:spacing w:line="330" w:lineRule="exact"/>
              <w:ind w:left="0" w:firstLineChars="0"/>
              <w:rPr>
                <w:rFonts w:ascii="仿宋_GB2312" w:hAnsi="仿宋" w:eastAsia="仿宋_GB2312" w:cs="仿宋"/>
                <w:b/>
                <w:color w:val="000000" w:themeColor="text1"/>
                <w:sz w:val="24"/>
              </w:rPr>
            </w:pPr>
            <w:r>
              <w:rPr>
                <w:rFonts w:hint="eastAsia" w:ascii="仿宋_GB2312" w:hAnsi="仿宋" w:eastAsia="仿宋_GB2312" w:cs="仿宋"/>
                <w:b/>
                <w:color w:val="000000" w:themeColor="text1"/>
                <w:sz w:val="24"/>
              </w:rPr>
              <w:t xml:space="preserve">    （一）农业生产能力提升工程</w:t>
            </w:r>
          </w:p>
          <w:p>
            <w:pPr>
              <w:spacing w:line="330" w:lineRule="exact"/>
              <w:ind w:firstLine="480"/>
              <w:rPr>
                <w:rFonts w:ascii="仿宋_GB2312" w:hAnsi="仿宋" w:eastAsia="仿宋_GB2312" w:cs="仿宋"/>
                <w:b/>
                <w:color w:val="000000" w:themeColor="text1"/>
                <w:sz w:val="24"/>
              </w:rPr>
            </w:pPr>
            <w:r>
              <w:rPr>
                <w:rFonts w:hint="eastAsia" w:ascii="仿宋_GB2312" w:hAnsi="仿宋" w:eastAsia="仿宋_GB2312" w:cs="仿宋"/>
                <w:bCs/>
                <w:color w:val="000000" w:themeColor="text1"/>
                <w:sz w:val="24"/>
              </w:rPr>
              <w:t>支持种子企业建立稳定的种子生产基地，鼓励“育繁推一体化”种子企业开展自育品种试验，力争培育5-10家市场竞争能力强的骨干种业企业。积极推进高标准农田建设，重点开展土地整理、农田灌排渠系、机耕道路和耕地质量提升等田间工程建设，到2025年，完成省下达我市高标准农田新建和改造提升任务。继续推动农业机械化升级，构建全程机械化技术体系，促进农业技术集成化、劳动过程机械化、生产经营信息化。</w:t>
            </w:r>
          </w:p>
          <w:p>
            <w:pPr>
              <w:spacing w:line="330" w:lineRule="exact"/>
              <w:ind w:firstLine="482"/>
              <w:rPr>
                <w:rFonts w:ascii="仿宋_GB2312" w:hAnsi="仿宋" w:eastAsia="仿宋_GB2312" w:cs="仿宋"/>
                <w:b/>
                <w:color w:val="000000" w:themeColor="text1"/>
                <w:sz w:val="24"/>
              </w:rPr>
            </w:pPr>
            <w:r>
              <w:rPr>
                <w:rFonts w:hint="eastAsia" w:ascii="仿宋_GB2312" w:hAnsi="仿宋" w:eastAsia="仿宋_GB2312" w:cs="仿宋"/>
                <w:b/>
                <w:color w:val="000000" w:themeColor="text1"/>
                <w:sz w:val="24"/>
              </w:rPr>
              <w:t>（二）农业产业集群培育工程</w:t>
            </w:r>
          </w:p>
          <w:p>
            <w:pPr>
              <w:spacing w:line="330" w:lineRule="exact"/>
              <w:ind w:firstLine="480"/>
              <w:rPr>
                <w:rFonts w:ascii="仿宋_GB2312" w:hAnsi="仿宋" w:eastAsia="仿宋_GB2312" w:cs="仿宋"/>
                <w:bCs/>
                <w:color w:val="000000" w:themeColor="text1"/>
                <w:sz w:val="24"/>
              </w:rPr>
            </w:pPr>
            <w:r>
              <w:rPr>
                <w:rFonts w:hint="eastAsia" w:ascii="仿宋_GB2312" w:hAnsi="仿宋" w:eastAsia="仿宋_GB2312" w:cs="仿宋"/>
                <w:bCs/>
                <w:color w:val="000000" w:themeColor="text1"/>
                <w:sz w:val="24"/>
              </w:rPr>
              <w:t>畜禽养殖，重点打造南昌县水禽、进贤县肉鸽和安义县瓦灰鸡等特种畜禽产业集群。水产养殖，重点发展虾蟹、黄颡鱼、黄鳝和加州鲈四大特色产业集群。种植业，培育壮大果业和蔬菜产业集群。</w:t>
            </w:r>
          </w:p>
          <w:p>
            <w:pPr>
              <w:spacing w:line="330" w:lineRule="exact"/>
              <w:ind w:firstLine="482"/>
              <w:rPr>
                <w:rFonts w:ascii="仿宋_GB2312" w:hAnsi="仿宋" w:eastAsia="仿宋_GB2312" w:cs="仿宋"/>
                <w:b/>
                <w:color w:val="000000" w:themeColor="text1"/>
                <w:sz w:val="24"/>
              </w:rPr>
            </w:pPr>
            <w:r>
              <w:rPr>
                <w:rFonts w:hint="eastAsia" w:ascii="仿宋_GB2312" w:hAnsi="仿宋" w:eastAsia="仿宋_GB2312" w:cs="仿宋"/>
                <w:b/>
                <w:color w:val="000000" w:themeColor="text1"/>
                <w:sz w:val="24"/>
              </w:rPr>
              <w:t>（三）农业品牌提升工程</w:t>
            </w:r>
          </w:p>
          <w:p>
            <w:pPr>
              <w:spacing w:line="330" w:lineRule="exact"/>
              <w:ind w:firstLine="480"/>
              <w:rPr>
                <w:rFonts w:ascii="仿宋_GB2312" w:hAnsi="仿宋" w:eastAsia="仿宋_GB2312" w:cs="仿宋"/>
                <w:bCs/>
                <w:color w:val="000000" w:themeColor="text1"/>
                <w:sz w:val="24"/>
              </w:rPr>
            </w:pPr>
            <w:r>
              <w:rPr>
                <w:rFonts w:hint="eastAsia" w:ascii="仿宋_GB2312" w:hAnsi="仿宋" w:eastAsia="仿宋_GB2312" w:cs="仿宋"/>
                <w:bCs/>
                <w:color w:val="000000" w:themeColor="text1"/>
                <w:sz w:val="24"/>
              </w:rPr>
              <w:t>大力实施“增品种、提品质、创品牌”提升行动，进一步唱响“生态鄱阳湖·绿色农产品”品牌。以南昌绿谷和南昌硒谷为重点，培育一批有市场影响力、具有南昌地方特色的知名品牌。创新品牌传播，拓宽营销渠道，打造个性化营销平台，增强消费者对南昌农产品品牌的信心和认可度。加强品牌管理，通过创新经营理念、优化包装设计、丰富文化内涵、提高产品档次，推进大宗产业特色化、特色产业品牌化。</w:t>
            </w:r>
          </w:p>
          <w:p>
            <w:pPr>
              <w:spacing w:line="330" w:lineRule="exact"/>
              <w:ind w:firstLine="482"/>
              <w:rPr>
                <w:rFonts w:ascii="仿宋_GB2312" w:hAnsi="仿宋" w:eastAsia="仿宋_GB2312" w:cs="仿宋"/>
                <w:b/>
                <w:color w:val="000000" w:themeColor="text1"/>
                <w:sz w:val="24"/>
              </w:rPr>
            </w:pPr>
            <w:r>
              <w:rPr>
                <w:rFonts w:hint="eastAsia" w:ascii="仿宋_GB2312" w:hAnsi="仿宋" w:eastAsia="仿宋_GB2312" w:cs="仿宋"/>
                <w:b/>
                <w:color w:val="000000" w:themeColor="text1"/>
                <w:sz w:val="24"/>
              </w:rPr>
              <w:t>（四）农业标准化建设工程</w:t>
            </w:r>
          </w:p>
          <w:p>
            <w:pPr>
              <w:spacing w:line="330" w:lineRule="exact"/>
              <w:ind w:firstLine="480"/>
              <w:rPr>
                <w:rFonts w:ascii="仿宋_GB2312" w:hAnsi="仿宋" w:eastAsia="仿宋_GB2312" w:cs="仿宋"/>
                <w:bCs/>
                <w:color w:val="000000" w:themeColor="text1"/>
                <w:sz w:val="24"/>
              </w:rPr>
            </w:pPr>
            <w:r>
              <w:rPr>
                <w:rFonts w:hint="eastAsia" w:ascii="仿宋_GB2312" w:hAnsi="仿宋" w:eastAsia="仿宋_GB2312" w:cs="仿宋"/>
                <w:bCs/>
                <w:color w:val="000000" w:themeColor="text1"/>
                <w:sz w:val="24"/>
              </w:rPr>
              <w:t>按照“品种品质品牌和标准化生产”新“三品一标”要求打造特色产业，力争到2025年，蔬菜及食用菌总产量播种面积力争达到80万亩，总产量达到170万吨；水果种植总面积力争达到25万亩，总产量达到23万吨；重点扶持建设一批示范带动强的中药材种植基地，力争到2025年中药材种植面积达到12万亩。</w:t>
            </w:r>
          </w:p>
          <w:p>
            <w:pPr>
              <w:spacing w:line="330" w:lineRule="exact"/>
              <w:ind w:firstLine="482"/>
              <w:rPr>
                <w:rFonts w:ascii="仿宋_GB2312" w:hAnsi="仿宋" w:eastAsia="仿宋_GB2312" w:cs="仿宋"/>
                <w:b/>
                <w:color w:val="000000" w:themeColor="text1"/>
                <w:sz w:val="24"/>
              </w:rPr>
            </w:pPr>
            <w:r>
              <w:rPr>
                <w:rFonts w:hint="eastAsia" w:ascii="仿宋_GB2312" w:hAnsi="仿宋" w:eastAsia="仿宋_GB2312" w:cs="仿宋"/>
                <w:b/>
                <w:color w:val="000000" w:themeColor="text1"/>
                <w:sz w:val="24"/>
              </w:rPr>
              <w:t>（五）绿色生态循环农业工程</w:t>
            </w:r>
          </w:p>
          <w:p>
            <w:pPr>
              <w:spacing w:line="330" w:lineRule="exact"/>
              <w:ind w:firstLine="480"/>
              <w:rPr>
                <w:rFonts w:ascii="仿宋" w:hAnsi="仿宋"/>
                <w:color w:val="000000" w:themeColor="text1"/>
                <w:sz w:val="24"/>
              </w:rPr>
            </w:pPr>
            <w:r>
              <w:rPr>
                <w:rFonts w:hint="eastAsia" w:ascii="仿宋_GB2312" w:hAnsi="仿宋" w:eastAsia="仿宋_GB2312" w:cs="仿宋"/>
                <w:bCs/>
                <w:color w:val="000000" w:themeColor="text1"/>
                <w:sz w:val="24"/>
              </w:rPr>
              <w:t>深入推进化肥农药负增长行动，大力推行“以种定养、以养协种”的生态循环农业模式，大力发展畜禽清洁养殖技术，回收利用农田废弃物。加快绿色农产品原料产地和产品认证，到2025年，新增一批原料标准化基地，绿色有机农产品达到450个。</w:t>
            </w:r>
          </w:p>
        </w:tc>
      </w:tr>
    </w:tbl>
    <w:p>
      <w:pPr>
        <w:pStyle w:val="14"/>
        <w:spacing w:after="0" w:line="560" w:lineRule="exact"/>
        <w:ind w:left="0" w:leftChars="0" w:firstLine="640"/>
      </w:pPr>
      <w:bookmarkStart w:id="484" w:name="_Toc12788"/>
      <w:bookmarkStart w:id="485" w:name="_Toc58861158"/>
    </w:p>
    <w:p>
      <w:pPr>
        <w:pStyle w:val="74"/>
        <w:adjustRightInd/>
        <w:snapToGrid/>
        <w:spacing w:line="560" w:lineRule="exact"/>
        <w:rPr>
          <w:rFonts w:ascii="楷体_GB2312" w:eastAsia="楷体_GB2312"/>
          <w:color w:val="000000" w:themeColor="text1"/>
        </w:rPr>
      </w:pPr>
      <w:bookmarkStart w:id="486" w:name="_Toc64542186"/>
      <w:bookmarkStart w:id="487" w:name="_Toc24427"/>
      <w:r>
        <w:rPr>
          <w:rFonts w:hint="eastAsia" w:ascii="楷体_GB2312" w:eastAsia="楷体_GB2312"/>
          <w:color w:val="000000" w:themeColor="text1"/>
        </w:rPr>
        <w:t>第三节  培育提升现代农业经营主体</w:t>
      </w:r>
      <w:bookmarkEnd w:id="484"/>
      <w:bookmarkEnd w:id="485"/>
      <w:bookmarkEnd w:id="486"/>
      <w:bookmarkEnd w:id="487"/>
    </w:p>
    <w:p>
      <w:pPr>
        <w:spacing w:line="560" w:lineRule="exact"/>
        <w:ind w:firstLine="640"/>
        <w:rPr>
          <w:rFonts w:ascii="仿宋_GB2312" w:eastAsia="仿宋_GB2312"/>
          <w:color w:val="000000" w:themeColor="text1"/>
          <w:kern w:val="0"/>
        </w:rPr>
      </w:pPr>
    </w:p>
    <w:p>
      <w:pPr>
        <w:spacing w:line="560" w:lineRule="exact"/>
        <w:ind w:firstLine="640"/>
        <w:rPr>
          <w:rFonts w:ascii="仿宋_GB2312" w:eastAsia="仿宋_GB2312"/>
          <w:color w:val="000000" w:themeColor="text1"/>
          <w:kern w:val="0"/>
        </w:rPr>
      </w:pPr>
      <w:r>
        <w:rPr>
          <w:rFonts w:hint="eastAsia" w:ascii="仿宋_GB2312" w:eastAsia="仿宋_GB2312"/>
          <w:color w:val="000000" w:themeColor="text1"/>
          <w:kern w:val="0"/>
        </w:rPr>
        <w:t>大力实施龙头企业培育行动，着力打造一批产业链完整、竞争力强、知名度高的行业领军企业。积极培育家庭农场、农民合作社、农业企业等新型农业经营主体，拓展多种形式适度规模经营，构建集约化、专业化、组织化、社会化相结合的新型农业经营体系。加快培育新型农民，加强农业技能培训，培养一批现代职业农民和农业经营领军人才。</w:t>
      </w:r>
    </w:p>
    <w:p>
      <w:pPr>
        <w:pStyle w:val="31"/>
        <w:autoSpaceDN/>
        <w:spacing w:line="560" w:lineRule="exact"/>
        <w:ind w:firstLine="640"/>
      </w:pPr>
    </w:p>
    <w:p>
      <w:pPr>
        <w:pStyle w:val="74"/>
        <w:adjustRightInd/>
        <w:snapToGrid/>
        <w:spacing w:line="560" w:lineRule="exact"/>
        <w:rPr>
          <w:rFonts w:ascii="楷体_GB2312" w:eastAsia="楷体_GB2312"/>
          <w:color w:val="000000" w:themeColor="text1"/>
        </w:rPr>
      </w:pPr>
      <w:bookmarkStart w:id="488" w:name="_Toc22676"/>
      <w:bookmarkStart w:id="489" w:name="_Toc31878"/>
      <w:bookmarkStart w:id="490" w:name="_Toc64542187"/>
      <w:bookmarkStart w:id="491" w:name="_Toc58861159"/>
      <w:r>
        <w:rPr>
          <w:rFonts w:hint="eastAsia" w:ascii="楷体_GB2312" w:eastAsia="楷体_GB2312"/>
          <w:color w:val="000000" w:themeColor="text1"/>
        </w:rPr>
        <w:t>第四节  推动农村三产融合发展</w:t>
      </w:r>
      <w:bookmarkEnd w:id="488"/>
      <w:bookmarkEnd w:id="489"/>
      <w:bookmarkEnd w:id="490"/>
      <w:bookmarkEnd w:id="491"/>
    </w:p>
    <w:p>
      <w:pPr>
        <w:spacing w:line="560" w:lineRule="exact"/>
        <w:ind w:firstLine="640"/>
        <w:rPr>
          <w:rFonts w:ascii="仿宋_GB2312" w:eastAsia="仿宋_GB2312"/>
          <w:color w:val="000000" w:themeColor="text1"/>
          <w:kern w:val="0"/>
        </w:rPr>
      </w:pPr>
    </w:p>
    <w:p>
      <w:pPr>
        <w:spacing w:line="560" w:lineRule="exact"/>
        <w:ind w:firstLine="640"/>
        <w:rPr>
          <w:color w:val="000000" w:themeColor="text1"/>
        </w:rPr>
      </w:pPr>
      <w:r>
        <w:rPr>
          <w:rFonts w:hint="eastAsia" w:ascii="仿宋_GB2312" w:eastAsia="仿宋_GB2312"/>
          <w:color w:val="000000" w:themeColor="text1"/>
          <w:kern w:val="0"/>
        </w:rPr>
        <w:t>推动农村一二三产业融合发展，形成农村发展新动能。以“粮头食尾”“农头工尾”为抓手，大力发展农产品加工业，重点推进农产品精深加工，农产品加工转化率突破75%。按照“全产业链发展”思路，建设一批与龙头企业有效对接的生产基地，构建一批优势产业链，打造农业领域过百亿超千亿产业集群。实施“农业+”战略，大力发展休闲农业、创意农业、功能农业、生态农业等新业态新模式，推动产业深度融合，积极创建国家农村产业融合发展示范园。</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071" w:type="dxa"/>
            <w:vAlign w:val="center"/>
          </w:tcPr>
          <w:p>
            <w:pPr>
              <w:pStyle w:val="52"/>
              <w:numPr>
                <w:ilvl w:val="0"/>
                <w:numId w:val="0"/>
              </w:numPr>
              <w:spacing w:after="0" w:line="360" w:lineRule="exact"/>
              <w:jc w:val="center"/>
              <w:rPr>
                <w:rFonts w:ascii="Times New Roman" w:eastAsia="仿宋_GB2312"/>
                <w:b/>
                <w:color w:val="000000" w:themeColor="text1"/>
                <w:sz w:val="28"/>
                <w:szCs w:val="28"/>
              </w:rPr>
            </w:pPr>
            <w:r>
              <w:rPr>
                <w:rFonts w:hint="eastAsia" w:ascii="黑体" w:hAnsi="黑体" w:eastAsia="黑体" w:cs="黑体"/>
                <w:bCs/>
                <w:color w:val="000000" w:themeColor="text1"/>
                <w:sz w:val="28"/>
                <w:szCs w:val="28"/>
              </w:rPr>
              <w:t>专栏17：农村三产融合重大项目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spacing w:line="330" w:lineRule="exact"/>
              <w:ind w:firstLine="482"/>
              <w:rPr>
                <w:rFonts w:ascii="仿宋_GB2312" w:hAnsi="仿宋" w:eastAsia="仿宋_GB2312"/>
                <w:b/>
                <w:bCs/>
                <w:color w:val="000000" w:themeColor="text1"/>
                <w:sz w:val="24"/>
              </w:rPr>
            </w:pPr>
            <w:r>
              <w:rPr>
                <w:rFonts w:hint="eastAsia" w:ascii="仿宋_GB2312" w:hAnsi="仿宋" w:eastAsia="仿宋_GB2312"/>
                <w:b/>
                <w:bCs/>
                <w:color w:val="000000" w:themeColor="text1"/>
                <w:sz w:val="24"/>
              </w:rPr>
              <w:t>（一）南昌“绿谷”</w:t>
            </w:r>
          </w:p>
          <w:p>
            <w:pPr>
              <w:spacing w:line="330" w:lineRule="exact"/>
              <w:ind w:firstLineChars="0"/>
              <w:rPr>
                <w:rFonts w:ascii="仿宋_GB2312" w:hAnsi="仿宋" w:eastAsia="仿宋_GB2312"/>
                <w:color w:val="000000" w:themeColor="text1"/>
                <w:sz w:val="24"/>
              </w:rPr>
            </w:pPr>
            <w:r>
              <w:rPr>
                <w:rFonts w:hint="eastAsia" w:ascii="仿宋_GB2312" w:hAnsi="仿宋" w:eastAsia="仿宋_GB2312"/>
                <w:color w:val="000000" w:themeColor="text1"/>
                <w:sz w:val="24"/>
              </w:rPr>
              <w:t>以梅岭风景名胜区为“绿心”，东起昌九高速，西至昌铜高速，在南安公路-万赤公路为中轴沿线两侧布局。围绕溪霞国家农业综合开发现代农业园区、石鼻都市现代农业示范区、罗亭-长埠现代农业休闲观光走廊，配套布局建设特色休闲农业示范点。</w:t>
            </w:r>
          </w:p>
          <w:p>
            <w:pPr>
              <w:spacing w:line="330" w:lineRule="exact"/>
              <w:ind w:firstLine="482"/>
              <w:rPr>
                <w:rFonts w:ascii="仿宋_GB2312" w:hAnsi="仿宋" w:eastAsia="仿宋_GB2312"/>
                <w:b/>
                <w:bCs/>
                <w:color w:val="000000" w:themeColor="text1"/>
                <w:sz w:val="24"/>
              </w:rPr>
            </w:pPr>
            <w:r>
              <w:rPr>
                <w:rFonts w:hint="eastAsia" w:ascii="仿宋_GB2312" w:hAnsi="仿宋" w:eastAsia="仿宋_GB2312"/>
                <w:b/>
                <w:bCs/>
                <w:color w:val="000000" w:themeColor="text1"/>
                <w:sz w:val="24"/>
              </w:rPr>
              <w:t>（二）南昌“硒谷”</w:t>
            </w:r>
          </w:p>
          <w:p>
            <w:pPr>
              <w:spacing w:line="330" w:lineRule="exact"/>
              <w:ind w:firstLine="480"/>
              <w:rPr>
                <w:rFonts w:ascii="仿宋_GB2312" w:hAnsi="仿宋" w:eastAsia="仿宋_GB2312"/>
                <w:color w:val="000000" w:themeColor="text1"/>
                <w:sz w:val="24"/>
              </w:rPr>
            </w:pPr>
            <w:r>
              <w:rPr>
                <w:rFonts w:hint="eastAsia" w:ascii="仿宋_GB2312" w:hAnsi="仿宋" w:eastAsia="仿宋_GB2312"/>
                <w:color w:val="000000" w:themeColor="text1"/>
                <w:sz w:val="24"/>
              </w:rPr>
              <w:t>以进贤钟陵现代农业产业园为核心区，将富硒产业打造成为富民强县的支柱产业，着力建设富硒现代种养产业集群、军山湖富硒休闲游产业集群、人文富硒乡村游产业集群三大产业集群，形成生态富硒魅力板块。</w:t>
            </w:r>
          </w:p>
          <w:p>
            <w:pPr>
              <w:spacing w:line="330" w:lineRule="exact"/>
              <w:ind w:firstLine="482"/>
              <w:rPr>
                <w:rFonts w:ascii="仿宋_GB2312" w:hAnsi="仿宋" w:eastAsia="仿宋_GB2312"/>
                <w:b/>
                <w:bCs/>
                <w:color w:val="000000" w:themeColor="text1"/>
                <w:sz w:val="24"/>
              </w:rPr>
            </w:pPr>
            <w:r>
              <w:rPr>
                <w:rFonts w:hint="eastAsia" w:ascii="仿宋_GB2312" w:hAnsi="仿宋" w:eastAsia="仿宋_GB2312"/>
                <w:b/>
                <w:bCs/>
                <w:color w:val="000000" w:themeColor="text1"/>
                <w:sz w:val="24"/>
              </w:rPr>
              <w:t>（三）南昌市田园综合体</w:t>
            </w:r>
          </w:p>
          <w:p>
            <w:pPr>
              <w:spacing w:line="330" w:lineRule="exact"/>
              <w:ind w:firstLine="480"/>
              <w:rPr>
                <w:rFonts w:ascii="仿宋_GB2312" w:hAnsi="仿宋" w:eastAsia="仿宋_GB2312"/>
                <w:color w:val="000000" w:themeColor="text1"/>
                <w:sz w:val="24"/>
              </w:rPr>
            </w:pPr>
            <w:r>
              <w:rPr>
                <w:rFonts w:hint="eastAsia" w:ascii="仿宋_GB2312" w:hAnsi="仿宋" w:eastAsia="仿宋_GB2312"/>
                <w:color w:val="000000" w:themeColor="text1"/>
                <w:sz w:val="24"/>
              </w:rPr>
              <w:t>推进一批集现代农业、休闲旅游、田园社区为一体的田园综合体项目，实现“三产”融合、“三生”同步，重点支持基础建设类、产业发展类、服务创新类项目建设，持续推进全市26个市级田园综合体建设。</w:t>
            </w:r>
          </w:p>
          <w:p>
            <w:pPr>
              <w:spacing w:line="330" w:lineRule="exact"/>
              <w:ind w:firstLine="482"/>
              <w:rPr>
                <w:rFonts w:ascii="仿宋_GB2312" w:hAnsi="仿宋" w:eastAsia="仿宋_GB2312"/>
                <w:b/>
                <w:bCs/>
                <w:color w:val="000000" w:themeColor="text1"/>
                <w:sz w:val="24"/>
              </w:rPr>
            </w:pPr>
            <w:r>
              <w:rPr>
                <w:rFonts w:hint="eastAsia" w:ascii="仿宋_GB2312" w:hAnsi="仿宋" w:eastAsia="仿宋_GB2312"/>
                <w:b/>
                <w:bCs/>
                <w:color w:val="000000" w:themeColor="text1"/>
                <w:sz w:val="24"/>
              </w:rPr>
              <w:t>（四）农科院恒湖现代农业科技示范展示基地</w:t>
            </w:r>
          </w:p>
          <w:p>
            <w:pPr>
              <w:spacing w:line="330" w:lineRule="exact"/>
              <w:ind w:firstLine="480"/>
              <w:rPr>
                <w:rFonts w:ascii="仿宋" w:hAnsi="仿宋"/>
                <w:color w:val="000000" w:themeColor="text1"/>
                <w:sz w:val="24"/>
              </w:rPr>
            </w:pPr>
            <w:r>
              <w:rPr>
                <w:rFonts w:hint="eastAsia" w:ascii="仿宋_GB2312" w:hAnsi="仿宋" w:eastAsia="仿宋_GB2312"/>
                <w:color w:val="000000" w:themeColor="text1"/>
                <w:sz w:val="24"/>
              </w:rPr>
              <w:t>加快推进科研试验区、农业科技实训区、农业示范推广区、农旅科普区等建设，全面推进农耕文化、农业生产科普和农业元素等方面展示。</w:t>
            </w:r>
          </w:p>
        </w:tc>
      </w:tr>
    </w:tbl>
    <w:p>
      <w:pPr>
        <w:pStyle w:val="23"/>
        <w:adjustRightInd/>
        <w:snapToGrid/>
        <w:spacing w:line="580" w:lineRule="exact"/>
        <w:rPr>
          <w:b w:val="0"/>
          <w:color w:val="000000" w:themeColor="text1"/>
        </w:rPr>
      </w:pPr>
      <w:bookmarkStart w:id="492" w:name="_Toc58861160"/>
      <w:bookmarkStart w:id="493" w:name="_Toc32545"/>
      <w:bookmarkStart w:id="494" w:name="_Toc64542188"/>
      <w:bookmarkStart w:id="495" w:name="_Toc10170"/>
    </w:p>
    <w:p>
      <w:pPr>
        <w:pStyle w:val="23"/>
        <w:adjustRightInd/>
        <w:snapToGrid/>
        <w:spacing w:line="580" w:lineRule="exact"/>
        <w:rPr>
          <w:b w:val="0"/>
          <w:color w:val="000000" w:themeColor="text1"/>
        </w:rPr>
      </w:pPr>
      <w:r>
        <w:rPr>
          <w:rFonts w:hint="eastAsia"/>
          <w:b w:val="0"/>
          <w:color w:val="000000" w:themeColor="text1"/>
        </w:rPr>
        <w:t>第二十六章  建设美丽宜居和谐乡村</w:t>
      </w:r>
      <w:bookmarkEnd w:id="492"/>
      <w:bookmarkEnd w:id="493"/>
      <w:bookmarkEnd w:id="494"/>
      <w:bookmarkEnd w:id="495"/>
    </w:p>
    <w:p>
      <w:pPr>
        <w:pStyle w:val="50"/>
        <w:spacing w:line="580" w:lineRule="exact"/>
        <w:ind w:firstLine="640"/>
        <w:rPr>
          <w:rFonts w:ascii="仿宋_GB2312" w:eastAsia="仿宋_GB2312" w:hAnsiTheme="minorHAnsi" w:cstheme="minorBidi"/>
          <w:color w:val="000000" w:themeColor="text1"/>
          <w:kern w:val="0"/>
          <w:sz w:val="32"/>
          <w:szCs w:val="24"/>
        </w:rPr>
      </w:pPr>
    </w:p>
    <w:p>
      <w:pPr>
        <w:pStyle w:val="50"/>
        <w:spacing w:line="580" w:lineRule="exact"/>
        <w:ind w:firstLine="640"/>
        <w:rPr>
          <w:rFonts w:ascii="仿宋_GB2312" w:eastAsia="仿宋_GB2312" w:hAnsiTheme="minorHAnsi" w:cstheme="minorBidi"/>
          <w:color w:val="000000" w:themeColor="text1"/>
          <w:kern w:val="0"/>
          <w:sz w:val="32"/>
          <w:szCs w:val="24"/>
        </w:rPr>
      </w:pPr>
      <w:r>
        <w:rPr>
          <w:rFonts w:hint="eastAsia" w:ascii="仿宋_GB2312" w:eastAsia="仿宋_GB2312" w:hAnsiTheme="minorHAnsi" w:cstheme="minorBidi"/>
          <w:color w:val="000000" w:themeColor="text1"/>
          <w:kern w:val="0"/>
          <w:sz w:val="32"/>
          <w:szCs w:val="24"/>
        </w:rPr>
        <w:t>全面实施乡村建设行动，大力开展农村人居环境提档升级，打造彰显产业兴旺之美、自然生态之美、文明淳朴之美、共建共享之美、和谐有序之美的新时代“五美”乡村。</w:t>
      </w:r>
    </w:p>
    <w:p>
      <w:pPr>
        <w:pStyle w:val="50"/>
        <w:spacing w:line="580" w:lineRule="exact"/>
        <w:ind w:firstLine="0" w:firstLineChars="0"/>
        <w:rPr>
          <w:rFonts w:ascii="仿宋_GB2312" w:eastAsia="仿宋_GB2312" w:hAnsiTheme="minorHAnsi" w:cstheme="minorBidi"/>
          <w:color w:val="000000" w:themeColor="text1"/>
          <w:kern w:val="0"/>
          <w:sz w:val="32"/>
          <w:szCs w:val="24"/>
        </w:rPr>
      </w:pPr>
    </w:p>
    <w:p>
      <w:pPr>
        <w:pStyle w:val="74"/>
        <w:adjustRightInd/>
        <w:snapToGrid/>
        <w:spacing w:line="580" w:lineRule="exact"/>
        <w:rPr>
          <w:rFonts w:ascii="楷体_GB2312" w:eastAsia="楷体_GB2312"/>
          <w:color w:val="000000" w:themeColor="text1"/>
        </w:rPr>
      </w:pPr>
      <w:bookmarkStart w:id="496" w:name="_Toc58861161"/>
      <w:bookmarkStart w:id="497" w:name="_Toc18253"/>
      <w:bookmarkStart w:id="498" w:name="_Toc22743"/>
      <w:bookmarkStart w:id="499" w:name="_Toc64542189"/>
      <w:r>
        <w:rPr>
          <w:rFonts w:hint="eastAsia" w:ascii="楷体_GB2312" w:eastAsia="楷体_GB2312"/>
          <w:color w:val="000000" w:themeColor="text1"/>
        </w:rPr>
        <w:t>第一节  统筹推进乡村规划</w:t>
      </w:r>
      <w:bookmarkEnd w:id="496"/>
      <w:bookmarkEnd w:id="497"/>
      <w:bookmarkEnd w:id="498"/>
      <w:bookmarkEnd w:id="499"/>
    </w:p>
    <w:p>
      <w:pPr>
        <w:pStyle w:val="50"/>
        <w:spacing w:line="580" w:lineRule="exact"/>
        <w:ind w:firstLine="640"/>
        <w:rPr>
          <w:rFonts w:ascii="仿宋_GB2312" w:eastAsia="仿宋_GB2312" w:hAnsiTheme="minorHAnsi" w:cstheme="minorBidi"/>
          <w:color w:val="000000" w:themeColor="text1"/>
          <w:kern w:val="0"/>
          <w:sz w:val="32"/>
          <w:szCs w:val="24"/>
        </w:rPr>
      </w:pPr>
    </w:p>
    <w:p>
      <w:pPr>
        <w:pStyle w:val="50"/>
        <w:spacing w:line="580" w:lineRule="exact"/>
        <w:ind w:firstLine="640"/>
        <w:rPr>
          <w:rFonts w:ascii="仿宋_GB2312" w:eastAsia="仿宋_GB2312" w:hAnsiTheme="minorHAnsi" w:cstheme="minorBidi"/>
          <w:color w:val="000000" w:themeColor="text1"/>
          <w:kern w:val="0"/>
          <w:sz w:val="32"/>
          <w:szCs w:val="24"/>
        </w:rPr>
      </w:pPr>
      <w:r>
        <w:rPr>
          <w:rFonts w:hint="eastAsia" w:ascii="仿宋_GB2312" w:eastAsia="仿宋_GB2312" w:hAnsiTheme="minorHAnsi" w:cstheme="minorBidi"/>
          <w:color w:val="000000" w:themeColor="text1"/>
          <w:kern w:val="0"/>
          <w:sz w:val="32"/>
          <w:szCs w:val="24"/>
        </w:rPr>
        <w:t>根据村庄区位条件、发展趋势、资源禀赋等，区分集聚提升、城郊融合、特色保护、搬迁撤并四种类型推进乡村建设。统筹城镇和村庄规划建设，高标准开展乡村规划设计，编制“多规合一”村庄规划。科学布局乡村生产生活生态空间，分类推进村庄建设。推进乡村片区化、组团式发展，做大做强中心村。保护传统村落和乡村风貌，重点强化历史文化村落保护利用，注重保留乡土味道，让乡村望得见山、看得见水、留得住乡愁。</w:t>
      </w:r>
      <w:bookmarkStart w:id="500" w:name="_Toc58861162"/>
      <w:bookmarkStart w:id="501" w:name="_Toc64542190"/>
      <w:bookmarkStart w:id="502" w:name="_Toc16008"/>
      <w:bookmarkStart w:id="503" w:name="_Toc23041"/>
    </w:p>
    <w:p>
      <w:pPr>
        <w:pStyle w:val="74"/>
        <w:adjustRightInd/>
        <w:snapToGrid/>
        <w:spacing w:line="580" w:lineRule="exact"/>
        <w:rPr>
          <w:rFonts w:ascii="楷体_GB2312" w:eastAsia="楷体_GB2312"/>
          <w:color w:val="000000" w:themeColor="text1"/>
        </w:rPr>
      </w:pPr>
    </w:p>
    <w:p>
      <w:pPr>
        <w:pStyle w:val="74"/>
        <w:adjustRightInd/>
        <w:snapToGrid/>
        <w:spacing w:line="580" w:lineRule="exact"/>
        <w:rPr>
          <w:rFonts w:ascii="楷体_GB2312" w:eastAsia="楷体_GB2312"/>
          <w:color w:val="000000" w:themeColor="text1"/>
        </w:rPr>
      </w:pPr>
      <w:r>
        <w:rPr>
          <w:rFonts w:hint="eastAsia" w:ascii="楷体_GB2312" w:eastAsia="楷体_GB2312"/>
          <w:color w:val="000000" w:themeColor="text1"/>
        </w:rPr>
        <w:t>第二节  持续改善农村人居环境</w:t>
      </w:r>
      <w:bookmarkEnd w:id="500"/>
      <w:bookmarkEnd w:id="501"/>
      <w:bookmarkEnd w:id="502"/>
      <w:bookmarkEnd w:id="503"/>
    </w:p>
    <w:p>
      <w:pPr>
        <w:pStyle w:val="50"/>
        <w:spacing w:line="580" w:lineRule="exact"/>
        <w:ind w:firstLine="640"/>
        <w:rPr>
          <w:rFonts w:ascii="仿宋_GB2312" w:eastAsia="仿宋_GB2312" w:hAnsiTheme="minorHAnsi" w:cstheme="minorBidi"/>
          <w:color w:val="000000" w:themeColor="text1"/>
          <w:kern w:val="0"/>
          <w:sz w:val="32"/>
          <w:szCs w:val="24"/>
        </w:rPr>
      </w:pPr>
    </w:p>
    <w:p>
      <w:pPr>
        <w:pStyle w:val="50"/>
        <w:spacing w:line="580" w:lineRule="exact"/>
        <w:ind w:firstLine="640"/>
        <w:rPr>
          <w:rFonts w:ascii="仿宋_GB2312" w:eastAsia="仿宋_GB2312" w:hAnsiTheme="minorHAnsi" w:cstheme="minorBidi"/>
          <w:color w:val="000000" w:themeColor="text1"/>
          <w:kern w:val="0"/>
          <w:sz w:val="32"/>
          <w:szCs w:val="24"/>
        </w:rPr>
      </w:pPr>
      <w:r>
        <w:rPr>
          <w:rFonts w:hint="eastAsia" w:ascii="仿宋_GB2312" w:eastAsia="仿宋_GB2312" w:hAnsiTheme="minorHAnsi" w:cstheme="minorBidi"/>
          <w:color w:val="000000" w:themeColor="text1"/>
          <w:kern w:val="0"/>
          <w:sz w:val="32"/>
          <w:szCs w:val="24"/>
        </w:rPr>
        <w:t>大力开展农村人居环境整治行动，加强农村“七改三网”</w:t>
      </w:r>
      <w:r>
        <w:rPr>
          <w:rStyle w:val="38"/>
          <w:rFonts w:ascii="仿宋_GB2312" w:eastAsia="仿宋_GB2312" w:hAnsiTheme="minorHAnsi" w:cstheme="minorBidi"/>
          <w:color w:val="000000" w:themeColor="text1"/>
          <w:kern w:val="0"/>
          <w:sz w:val="32"/>
          <w:szCs w:val="24"/>
        </w:rPr>
        <w:footnoteReference w:id="11"/>
      </w:r>
      <w:r>
        <w:rPr>
          <w:rFonts w:hint="eastAsia" w:ascii="仿宋_GB2312" w:eastAsia="仿宋_GB2312" w:hAnsiTheme="minorHAnsi" w:cstheme="minorBidi"/>
          <w:color w:val="000000" w:themeColor="text1"/>
          <w:kern w:val="0"/>
          <w:sz w:val="32"/>
          <w:szCs w:val="24"/>
        </w:rPr>
        <w:t>基础设施建设，在重点区域和主要通道沿线，每年打造20个乡村振兴试点村，实现村庄净化、绿化、亮化、美化。持续推进农村生活垃圾治理，逐步推进农村生活垃圾分类和就地资源化利用，加大统筹推进农村改水、改厕与改污力度，完善村庄环境长效管护机制，建立稳定的“建管同步”长效管护资金筹措机制，组建农村“多员合一”管护队伍，完善市、县、乡三级考核奖惩机制，到2025年，实现集镇污水管网全覆盖，行政村和人口较多自然村污水处理设施全覆盖。</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vAlign w:val="center"/>
          </w:tcPr>
          <w:p>
            <w:pPr>
              <w:pStyle w:val="52"/>
              <w:numPr>
                <w:ilvl w:val="0"/>
                <w:numId w:val="0"/>
              </w:numPr>
              <w:spacing w:after="0" w:line="360" w:lineRule="exact"/>
              <w:jc w:val="center"/>
              <w:rPr>
                <w:rFonts w:ascii="Times New Roman" w:eastAsia="仿宋_GB2312"/>
                <w:b/>
                <w:color w:val="000000" w:themeColor="text1"/>
                <w:sz w:val="28"/>
                <w:szCs w:val="28"/>
              </w:rPr>
            </w:pPr>
            <w:r>
              <w:rPr>
                <w:rFonts w:hint="eastAsia" w:ascii="黑体" w:hAnsi="黑体" w:eastAsia="黑体" w:cs="黑体"/>
                <w:bCs/>
                <w:color w:val="000000" w:themeColor="text1"/>
                <w:sz w:val="28"/>
                <w:szCs w:val="28"/>
              </w:rPr>
              <w:t>专栏18：生态宜居美丽乡村建设重大工程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spacing w:line="360" w:lineRule="exact"/>
              <w:ind w:firstLine="482"/>
              <w:rPr>
                <w:rFonts w:ascii="仿宋_GB2312" w:eastAsia="仿宋_GB2312"/>
                <w:b/>
                <w:color w:val="000000" w:themeColor="text1"/>
                <w:kern w:val="0"/>
                <w:sz w:val="24"/>
              </w:rPr>
            </w:pPr>
            <w:r>
              <w:rPr>
                <w:rFonts w:hint="eastAsia" w:ascii="仿宋_GB2312" w:eastAsia="仿宋_GB2312"/>
                <w:b/>
                <w:color w:val="000000" w:themeColor="text1"/>
                <w:kern w:val="0"/>
                <w:sz w:val="24"/>
              </w:rPr>
              <w:t>（一）农村生活垃圾治理</w:t>
            </w:r>
          </w:p>
          <w:p>
            <w:pPr>
              <w:spacing w:line="360" w:lineRule="exact"/>
              <w:ind w:firstLine="480"/>
              <w:rPr>
                <w:rFonts w:ascii="仿宋_GB2312" w:eastAsia="仿宋_GB2312"/>
                <w:color w:val="000000" w:themeColor="text1"/>
                <w:kern w:val="0"/>
                <w:sz w:val="24"/>
              </w:rPr>
            </w:pPr>
            <w:r>
              <w:rPr>
                <w:rFonts w:hint="eastAsia" w:ascii="仿宋_GB2312" w:eastAsia="仿宋_GB2312"/>
                <w:color w:val="000000" w:themeColor="text1"/>
                <w:kern w:val="0"/>
                <w:sz w:val="24"/>
              </w:rPr>
              <w:t>继续巩固“户分类、村收集、乡转运、区域处理”农村生活垃圾收运处置体系，试行农村生活垃圾治理第三方评估，进一步完善“全域一体化”第三方治理模式。持续推进农村生活垃圾分类处理，每年选择10个左右乡镇开展农村生活垃圾分类处理终端建设，逐步推进农村生活垃圾就地分类、源头减量，补齐分类收集、密闭运输、资源化利用等方面短板。加大宣传和奖惩力度，切实推动“门前三包”责任落实落细。</w:t>
            </w:r>
          </w:p>
          <w:p>
            <w:pPr>
              <w:spacing w:line="360" w:lineRule="exact"/>
              <w:ind w:firstLine="482"/>
              <w:rPr>
                <w:rFonts w:ascii="仿宋_GB2312" w:eastAsia="仿宋_GB2312"/>
                <w:b/>
                <w:color w:val="000000" w:themeColor="text1"/>
                <w:kern w:val="0"/>
                <w:sz w:val="24"/>
              </w:rPr>
            </w:pPr>
            <w:r>
              <w:rPr>
                <w:rFonts w:hint="eastAsia" w:ascii="仿宋_GB2312" w:eastAsia="仿宋_GB2312"/>
                <w:b/>
                <w:color w:val="000000" w:themeColor="text1"/>
                <w:kern w:val="0"/>
                <w:sz w:val="24"/>
              </w:rPr>
              <w:t>（二）农村厕所粪污治理</w:t>
            </w:r>
          </w:p>
          <w:p>
            <w:pPr>
              <w:spacing w:line="360" w:lineRule="exact"/>
              <w:ind w:firstLine="480"/>
              <w:rPr>
                <w:rFonts w:ascii="仿宋_GB2312" w:eastAsia="仿宋_GB2312"/>
                <w:kern w:val="0"/>
                <w:sz w:val="24"/>
              </w:rPr>
            </w:pPr>
            <w:r>
              <w:rPr>
                <w:rFonts w:hint="eastAsia" w:ascii="仿宋_GB2312" w:eastAsia="仿宋_GB2312"/>
                <w:kern w:val="0"/>
                <w:sz w:val="24"/>
              </w:rPr>
              <w:t>加强农村改厕技术培训、指导和质量监督，突出农村改厕问题整改和无害化厕所改造提升。大力推动厕所粪污无害化处理及资源化利用，到2025年，100%完成我市农村厕所无害化改造任务，农村厕所粪污无害化处理及资源化利用水平居全省前列。</w:t>
            </w:r>
          </w:p>
          <w:p>
            <w:pPr>
              <w:pStyle w:val="51"/>
              <w:spacing w:line="360" w:lineRule="exact"/>
              <w:ind w:firstLine="482"/>
              <w:rPr>
                <w:rFonts w:ascii="仿宋_GB2312" w:eastAsia="仿宋_GB2312"/>
                <w:b/>
                <w:color w:val="000000" w:themeColor="text1"/>
                <w:kern w:val="0"/>
                <w:sz w:val="24"/>
              </w:rPr>
            </w:pPr>
            <w:r>
              <w:rPr>
                <w:rFonts w:hint="eastAsia" w:ascii="仿宋_GB2312" w:eastAsia="仿宋_GB2312"/>
                <w:b/>
                <w:color w:val="000000" w:themeColor="text1"/>
                <w:kern w:val="0"/>
                <w:sz w:val="24"/>
              </w:rPr>
              <w:t>（三）农村生活污水治理</w:t>
            </w:r>
          </w:p>
          <w:p>
            <w:pPr>
              <w:pStyle w:val="51"/>
              <w:spacing w:line="360" w:lineRule="exact"/>
              <w:ind w:firstLine="480"/>
              <w:rPr>
                <w:rFonts w:ascii="仿宋_GB2312" w:eastAsia="仿宋_GB2312"/>
                <w:color w:val="000000" w:themeColor="text1"/>
                <w:kern w:val="0"/>
                <w:sz w:val="24"/>
              </w:rPr>
            </w:pPr>
            <w:r>
              <w:rPr>
                <w:rFonts w:hint="eastAsia" w:ascii="仿宋_GB2312" w:eastAsia="仿宋_GB2312"/>
                <w:color w:val="000000" w:themeColor="text1"/>
                <w:kern w:val="0"/>
                <w:sz w:val="24"/>
              </w:rPr>
              <w:t>继续探索推广适宜的污水处理模式，全面解决乡镇所在地、中心村、水源保护地、旅游村庄等重要区域生活污水问题。持续推进农村生活污水治理。在已建设基础上，再统筹布点500个左右村庄，力争“十四五”期间实现行政村生活污水治理全覆盖。建立健全农村生活污水处理设施运行和管护机制，进一步明确管护内容、管护标准，落实管护人员、管护经费，实现全生命、全周期管理。</w:t>
            </w:r>
          </w:p>
          <w:p>
            <w:pPr>
              <w:pStyle w:val="51"/>
              <w:spacing w:line="360" w:lineRule="exact"/>
              <w:ind w:firstLine="482"/>
              <w:rPr>
                <w:rFonts w:ascii="仿宋_GB2312" w:eastAsia="仿宋_GB2312"/>
                <w:b/>
                <w:color w:val="000000" w:themeColor="text1"/>
                <w:kern w:val="0"/>
                <w:sz w:val="24"/>
              </w:rPr>
            </w:pPr>
            <w:r>
              <w:rPr>
                <w:rFonts w:hint="eastAsia" w:ascii="仿宋_GB2312" w:eastAsia="仿宋_GB2312"/>
                <w:b/>
                <w:color w:val="000000" w:themeColor="text1"/>
                <w:kern w:val="0"/>
                <w:sz w:val="24"/>
              </w:rPr>
              <w:t>（四）农村生态环境提升</w:t>
            </w:r>
          </w:p>
          <w:p>
            <w:pPr>
              <w:pStyle w:val="51"/>
              <w:spacing w:line="360" w:lineRule="exact"/>
              <w:ind w:firstLine="480"/>
              <w:rPr>
                <w:rFonts w:ascii="仿宋_GB2312" w:eastAsia="仿宋_GB2312"/>
                <w:color w:val="000000" w:themeColor="text1"/>
                <w:kern w:val="0"/>
                <w:sz w:val="24"/>
              </w:rPr>
            </w:pPr>
            <w:r>
              <w:rPr>
                <w:rFonts w:hint="eastAsia" w:ascii="仿宋_GB2312" w:eastAsia="仿宋_GB2312"/>
                <w:color w:val="000000" w:themeColor="text1"/>
                <w:kern w:val="0"/>
                <w:sz w:val="24"/>
              </w:rPr>
              <w:t>沿高铁和铁路、国省道、城市外环、重要水系、重要景区周边建设一批生态宜居美丽乡村试点线路、县区、乡镇、村庄、庭院。积极支持新建区申报全省美丽宜居试点县，加快推进南昌县、进贤县由美丽宜居试点县向美丽宜居示范县转变，分层次有序推进一批美丽宜居示范村建设。</w:t>
            </w:r>
          </w:p>
          <w:p>
            <w:pPr>
              <w:spacing w:line="360" w:lineRule="exact"/>
              <w:ind w:firstLine="482"/>
              <w:rPr>
                <w:rFonts w:ascii="仿宋_GB2312" w:eastAsia="仿宋_GB2312"/>
                <w:b/>
                <w:color w:val="000000" w:themeColor="text1"/>
                <w:kern w:val="0"/>
                <w:sz w:val="24"/>
              </w:rPr>
            </w:pPr>
            <w:r>
              <w:rPr>
                <w:rFonts w:hint="eastAsia" w:ascii="仿宋_GB2312" w:eastAsia="仿宋_GB2312"/>
                <w:b/>
                <w:color w:val="000000" w:themeColor="text1"/>
                <w:kern w:val="0"/>
                <w:sz w:val="24"/>
              </w:rPr>
              <w:t>（五）农村基础设施建设</w:t>
            </w:r>
          </w:p>
          <w:p>
            <w:pPr>
              <w:spacing w:line="360" w:lineRule="exact"/>
              <w:ind w:firstLine="480"/>
              <w:rPr>
                <w:color w:val="000000" w:themeColor="text1"/>
              </w:rPr>
            </w:pPr>
            <w:r>
              <w:rPr>
                <w:rFonts w:hint="eastAsia" w:ascii="仿宋_GB2312" w:eastAsia="仿宋_GB2312"/>
                <w:color w:val="000000" w:themeColor="text1"/>
                <w:kern w:val="0"/>
                <w:sz w:val="24"/>
              </w:rPr>
              <w:t>每年选择一批人口规模较大、交通条件和空间发展条件较好的中心村、精美示范村，按照“八通八有两集中”要求，推进村庄基础设施和公共服务设施提升改造。加强农村公路建设，完善农村客运服务网络。完善县、乡、村三级物流节点体系，拓展配送等物流服务功能，到2025年，所有乡镇、行政村、自然村基本实现物流配送网点全覆盖。因地制宜采用集中供水、区域连片供水、简易设施独立供水等方式，保障农村供水清洁和安全。强化农村能源基础设施建设。启动农村燃气基础设施建设，实施农村电网改造升级工程，完善信息网络基础设施建设，促进5G网络城乡深度覆盖。</w:t>
            </w:r>
          </w:p>
        </w:tc>
      </w:tr>
    </w:tbl>
    <w:p>
      <w:pPr>
        <w:spacing w:line="560" w:lineRule="exact"/>
        <w:ind w:firstLine="640"/>
      </w:pPr>
    </w:p>
    <w:p>
      <w:pPr>
        <w:pStyle w:val="74"/>
        <w:adjustRightInd/>
        <w:snapToGrid/>
        <w:spacing w:line="560" w:lineRule="exact"/>
        <w:rPr>
          <w:rFonts w:ascii="楷体_GB2312" w:eastAsia="楷体_GB2312"/>
          <w:color w:val="000000" w:themeColor="text1"/>
        </w:rPr>
      </w:pPr>
      <w:bookmarkStart w:id="504" w:name="_Toc3755"/>
      <w:bookmarkStart w:id="505" w:name="_Toc64542191"/>
      <w:bookmarkStart w:id="506" w:name="_Toc25677"/>
      <w:r>
        <w:rPr>
          <w:rFonts w:hint="eastAsia" w:ascii="楷体_GB2312" w:eastAsia="楷体_GB2312"/>
          <w:color w:val="000000" w:themeColor="text1"/>
        </w:rPr>
        <w:t>第三节  提升乡村治理水平</w:t>
      </w:r>
      <w:bookmarkEnd w:id="504"/>
      <w:bookmarkEnd w:id="505"/>
      <w:bookmarkEnd w:id="506"/>
    </w:p>
    <w:p>
      <w:pPr>
        <w:pStyle w:val="59"/>
        <w:widowControl w:val="0"/>
        <w:adjustRightInd/>
        <w:snapToGrid/>
        <w:spacing w:line="560" w:lineRule="exact"/>
        <w:ind w:firstLine="640"/>
        <w:rPr>
          <w:color w:val="000000" w:themeColor="text1"/>
        </w:rPr>
      </w:pPr>
    </w:p>
    <w:p>
      <w:pPr>
        <w:pStyle w:val="59"/>
        <w:widowControl w:val="0"/>
        <w:adjustRightInd/>
        <w:snapToGrid/>
        <w:spacing w:line="560" w:lineRule="exact"/>
        <w:ind w:firstLine="640"/>
        <w:rPr>
          <w:color w:val="000000" w:themeColor="text1"/>
        </w:rPr>
      </w:pPr>
      <w:r>
        <w:rPr>
          <w:rFonts w:hint="eastAsia"/>
          <w:color w:val="000000" w:themeColor="text1"/>
        </w:rPr>
        <w:t>加强和改进乡村治理，加快构建党组织领导的乡村治理体系。充分发挥村级党组织在乡村治理中的关键作用，加强村级党组织建设，继续实施“一村一名大学生”、村干部学历教育提升等行动，进一步落实优秀基层干部身份转换及晋升机制，</w:t>
      </w:r>
      <w:r>
        <w:rPr>
          <w:color w:val="000000" w:themeColor="text1"/>
        </w:rPr>
        <w:t>提升基层组织队伍能力素质。发挥村民理事会、参事会、红白理事会等议事平台作用，创新村民协商议事形式，完善村规民约等社会规范，提高村民自我管理、自我教育、自我服务的能力和水平，持续提升乡村自治能力。深入践行社会主义核心价值观，培育乡村文明新风。实施乡贤返乡工程，推出一批具有南昌特色的优秀乡</w:t>
      </w:r>
      <w:r>
        <w:rPr>
          <w:rFonts w:hint="eastAsia"/>
          <w:color w:val="000000" w:themeColor="text1"/>
        </w:rPr>
        <w:t>贤、家风家训家规故事，引导乡贤积极参与基层治理。构建多方参与治理机制，强化公益服务、互助性社会组织作用，探索以政府购买服务支持农村社会工作和志愿服务发展。</w:t>
      </w:r>
    </w:p>
    <w:p>
      <w:pPr>
        <w:pStyle w:val="59"/>
        <w:widowControl w:val="0"/>
        <w:adjustRightInd/>
        <w:snapToGrid/>
        <w:spacing w:line="580" w:lineRule="exact"/>
        <w:ind w:firstLine="640"/>
        <w:rPr>
          <w:color w:val="000000" w:themeColor="text1"/>
        </w:rPr>
      </w:pPr>
    </w:p>
    <w:p>
      <w:pPr>
        <w:pStyle w:val="74"/>
        <w:adjustRightInd/>
        <w:snapToGrid/>
        <w:spacing w:line="580" w:lineRule="exact"/>
        <w:rPr>
          <w:rFonts w:ascii="楷体_GB2312" w:eastAsia="楷体_GB2312"/>
          <w:color w:val="000000" w:themeColor="text1"/>
        </w:rPr>
      </w:pPr>
      <w:bookmarkStart w:id="507" w:name="_Toc24332"/>
      <w:bookmarkStart w:id="508" w:name="_Toc64542192"/>
      <w:bookmarkStart w:id="509" w:name="_Toc26788"/>
    </w:p>
    <w:p>
      <w:pPr>
        <w:pStyle w:val="74"/>
        <w:adjustRightInd/>
        <w:snapToGrid/>
        <w:spacing w:line="580" w:lineRule="exact"/>
        <w:rPr>
          <w:rFonts w:ascii="楷体_GB2312" w:eastAsia="楷体_GB2312"/>
          <w:color w:val="000000" w:themeColor="text1"/>
        </w:rPr>
      </w:pPr>
    </w:p>
    <w:p>
      <w:pPr>
        <w:pStyle w:val="74"/>
        <w:adjustRightInd/>
        <w:snapToGrid/>
        <w:spacing w:line="580" w:lineRule="exact"/>
        <w:rPr>
          <w:rFonts w:ascii="楷体_GB2312" w:eastAsia="楷体_GB2312"/>
          <w:color w:val="000000" w:themeColor="text1"/>
        </w:rPr>
      </w:pPr>
    </w:p>
    <w:p>
      <w:pPr>
        <w:pStyle w:val="74"/>
        <w:adjustRightInd/>
        <w:snapToGrid/>
        <w:spacing w:line="580" w:lineRule="exact"/>
        <w:rPr>
          <w:rFonts w:ascii="楷体_GB2312" w:eastAsia="楷体_GB2312"/>
          <w:color w:val="000000" w:themeColor="text1"/>
        </w:rPr>
      </w:pPr>
      <w:r>
        <w:rPr>
          <w:rFonts w:hint="eastAsia" w:ascii="楷体_GB2312" w:eastAsia="楷体_GB2312"/>
          <w:color w:val="000000" w:themeColor="text1"/>
        </w:rPr>
        <w:t>第四节  促进城乡融合发展</w:t>
      </w:r>
      <w:bookmarkEnd w:id="507"/>
      <w:bookmarkEnd w:id="508"/>
      <w:bookmarkEnd w:id="509"/>
    </w:p>
    <w:p>
      <w:pPr>
        <w:pStyle w:val="59"/>
        <w:widowControl w:val="0"/>
        <w:adjustRightInd/>
        <w:snapToGrid/>
        <w:spacing w:line="580" w:lineRule="exact"/>
        <w:ind w:firstLine="640"/>
        <w:rPr>
          <w:rFonts w:hAnsiTheme="minorHAnsi" w:cstheme="minorBidi"/>
          <w:color w:val="000000" w:themeColor="text1"/>
          <w:szCs w:val="24"/>
        </w:rPr>
      </w:pPr>
    </w:p>
    <w:p>
      <w:pPr>
        <w:pStyle w:val="59"/>
        <w:widowControl w:val="0"/>
        <w:adjustRightInd/>
        <w:snapToGrid/>
        <w:spacing w:line="580" w:lineRule="exact"/>
        <w:ind w:firstLine="640"/>
        <w:rPr>
          <w:rFonts w:hAnsiTheme="minorHAnsi" w:cstheme="minorBidi"/>
          <w:color w:val="000000" w:themeColor="text1"/>
          <w:szCs w:val="24"/>
        </w:rPr>
      </w:pPr>
      <w:r>
        <w:rPr>
          <w:rFonts w:hint="eastAsia" w:hAnsiTheme="minorHAnsi" w:cstheme="minorBidi"/>
          <w:color w:val="000000" w:themeColor="text1"/>
          <w:szCs w:val="24"/>
        </w:rPr>
        <w:t>加快推动县乡基础设施提档升级，健全以政府投入为主的基础设施建设机制，统筹规划重要市政公用设施向城市郊区、农村和规模较大中心镇延伸，引导社会资本投入乡村供水、垃圾污水处理等设施。鼓励有条件的地区将城乡基础设施、环境服务等项目整体打包，统一建设运营。构建劳动力和人才城乡双向流动渠道，实施城市人才入乡计划，支持乡村运用双向兼职、技术入股等形式柔性引才用才。推动城市工商资本入乡，完善农村金融服务。健全全民覆盖、普惠共享、城乡一体的基本公共服务体系，建立乡村基本公共服务队伍补充机制，促进教育、医疗、公共文化资源县域均衡配置。推行城乡统一的居民基本医疗保险、大病保险、基本养老保险制度。创新农村居家养老模式，加快改造农村敬老院、农村颐养之家，推广日间照料、互助养老等农村居家养老，显著提高农村养老水平。鼓励社会力量兴办农村公益事业。积极争创国家级城乡融合发展示范区。</w:t>
      </w:r>
    </w:p>
    <w:p>
      <w:pPr>
        <w:pStyle w:val="59"/>
        <w:widowControl w:val="0"/>
        <w:adjustRightInd/>
        <w:snapToGrid/>
        <w:spacing w:line="400" w:lineRule="exact"/>
        <w:ind w:firstLine="0" w:firstLineChars="0"/>
        <w:rPr>
          <w:rFonts w:hAnsiTheme="minorHAnsi" w:cstheme="minorBidi"/>
          <w:color w:val="000000" w:themeColor="text1"/>
          <w:szCs w:val="24"/>
        </w:rPr>
      </w:pPr>
    </w:p>
    <w:p>
      <w:pPr>
        <w:pStyle w:val="23"/>
        <w:adjustRightInd/>
        <w:snapToGrid/>
        <w:spacing w:line="580" w:lineRule="exact"/>
        <w:ind w:firstLine="641"/>
        <w:rPr>
          <w:b w:val="0"/>
          <w:color w:val="000000" w:themeColor="text1"/>
        </w:rPr>
      </w:pPr>
      <w:bookmarkStart w:id="510" w:name="_Toc19484"/>
      <w:bookmarkStart w:id="511" w:name="_Toc17594"/>
      <w:bookmarkStart w:id="512" w:name="_Toc64542193"/>
      <w:r>
        <w:rPr>
          <w:rFonts w:hint="eastAsia"/>
          <w:b w:val="0"/>
          <w:color w:val="000000" w:themeColor="text1"/>
        </w:rPr>
        <w:t>第二十七章  全面深化农村改革</w:t>
      </w:r>
      <w:bookmarkEnd w:id="510"/>
      <w:bookmarkEnd w:id="511"/>
      <w:bookmarkEnd w:id="512"/>
    </w:p>
    <w:p>
      <w:pPr>
        <w:pStyle w:val="50"/>
        <w:spacing w:line="480" w:lineRule="exact"/>
        <w:ind w:firstLine="640"/>
        <w:rPr>
          <w:rFonts w:ascii="仿宋_GB2312" w:hAnsi="仿宋_GB2312" w:eastAsia="仿宋_GB2312" w:cs="仿宋_GB2312"/>
          <w:color w:val="000000" w:themeColor="text1"/>
          <w:kern w:val="0"/>
          <w:sz w:val="32"/>
          <w:szCs w:val="32"/>
        </w:rPr>
      </w:pPr>
    </w:p>
    <w:p>
      <w:pPr>
        <w:pStyle w:val="50"/>
        <w:spacing w:line="580" w:lineRule="exact"/>
        <w:ind w:firstLine="640"/>
        <w:rPr>
          <w:rFonts w:ascii="仿宋_GB2312" w:hAnsi="仿宋_GB2312" w:eastAsia="仿宋_GB2312" w:cs="仿宋_GB2312"/>
          <w:color w:val="000000" w:themeColor="text1"/>
          <w:kern w:val="0"/>
          <w:sz w:val="32"/>
          <w:szCs w:val="32"/>
        </w:rPr>
      </w:pPr>
      <w:r>
        <w:rPr>
          <w:rFonts w:hint="eastAsia" w:ascii="仿宋_GB2312" w:hAnsi="仿宋_GB2312" w:eastAsia="仿宋_GB2312" w:cs="仿宋_GB2312"/>
          <w:color w:val="000000" w:themeColor="text1"/>
          <w:kern w:val="0"/>
          <w:sz w:val="32"/>
          <w:szCs w:val="32"/>
        </w:rPr>
        <w:t>充分发挥改革在乡村振兴中的重要作用，进一步激活农村资源要素，破除制约农业农村发展的制度机制障碍，增强农业农村发展活力。</w:t>
      </w:r>
    </w:p>
    <w:p>
      <w:pPr>
        <w:pStyle w:val="50"/>
        <w:spacing w:line="400" w:lineRule="exact"/>
        <w:ind w:firstLine="640"/>
        <w:rPr>
          <w:rFonts w:ascii="仿宋_GB2312" w:hAnsi="仿宋_GB2312" w:eastAsia="仿宋_GB2312" w:cs="仿宋_GB2312"/>
          <w:color w:val="000000" w:themeColor="text1"/>
          <w:kern w:val="0"/>
          <w:sz w:val="32"/>
          <w:szCs w:val="32"/>
        </w:rPr>
      </w:pPr>
    </w:p>
    <w:p>
      <w:pPr>
        <w:pStyle w:val="74"/>
        <w:adjustRightInd/>
        <w:snapToGrid/>
        <w:spacing w:line="580" w:lineRule="exact"/>
        <w:rPr>
          <w:rFonts w:ascii="楷体_GB2312" w:eastAsia="楷体_GB2312"/>
          <w:color w:val="000000" w:themeColor="text1"/>
        </w:rPr>
      </w:pPr>
      <w:bookmarkStart w:id="513" w:name="_Toc26990"/>
      <w:bookmarkStart w:id="514" w:name="_Toc64542194"/>
      <w:bookmarkStart w:id="515" w:name="_Toc7144"/>
      <w:r>
        <w:rPr>
          <w:rFonts w:hint="eastAsia" w:ascii="楷体_GB2312" w:eastAsia="楷体_GB2312"/>
          <w:color w:val="000000" w:themeColor="text1"/>
        </w:rPr>
        <w:t>第一节  巩固和完善农村基本经营制度</w:t>
      </w:r>
      <w:bookmarkEnd w:id="513"/>
      <w:bookmarkEnd w:id="514"/>
      <w:bookmarkEnd w:id="515"/>
    </w:p>
    <w:p>
      <w:pPr>
        <w:spacing w:line="580" w:lineRule="exact"/>
        <w:ind w:firstLine="640"/>
        <w:rPr>
          <w:rFonts w:ascii="仿宋_GB2312" w:hAnsi="仿宋_GB2312" w:eastAsia="仿宋_GB2312" w:cs="仿宋_GB2312"/>
          <w:color w:val="000000" w:themeColor="text1"/>
          <w:kern w:val="0"/>
          <w:szCs w:val="32"/>
        </w:rPr>
      </w:pPr>
    </w:p>
    <w:p>
      <w:pPr>
        <w:spacing w:line="580" w:lineRule="exact"/>
        <w:ind w:firstLine="640"/>
      </w:pPr>
      <w:r>
        <w:rPr>
          <w:rFonts w:hint="eastAsia" w:ascii="仿宋_GB2312" w:hAnsi="仿宋_GB2312" w:eastAsia="仿宋_GB2312" w:cs="仿宋_GB2312"/>
          <w:color w:val="000000" w:themeColor="text1"/>
          <w:kern w:val="0"/>
          <w:szCs w:val="32"/>
        </w:rPr>
        <w:t>坚持家庭承包经营基础性地位，落实第二轮土地承包到期后再延长三十年政策。</w:t>
      </w:r>
      <w:r>
        <w:rPr>
          <w:rFonts w:hint="eastAsia" w:eastAsia="仿宋_GB2312" w:cs="仿宋"/>
          <w:color w:val="000000" w:themeColor="text1"/>
          <w:szCs w:val="34"/>
        </w:rPr>
        <w:t>巩固和完善农村承包地确权成果，有序推进农村承包地“三权分置”。</w:t>
      </w:r>
      <w:r>
        <w:rPr>
          <w:rFonts w:hint="eastAsia" w:ascii="仿宋_GB2312" w:hAnsi="仿宋_GB2312" w:eastAsia="仿宋_GB2312" w:cs="仿宋_GB2312"/>
          <w:color w:val="000000" w:themeColor="text1"/>
          <w:kern w:val="0"/>
          <w:szCs w:val="32"/>
        </w:rPr>
        <w:t>推动小农户和现代农业发展有机衔接，培育适应小农户需求的多元化多层次农业生产性服务组织</w:t>
      </w:r>
      <w:r>
        <w:rPr>
          <w:rFonts w:hint="eastAsia" w:eastAsia="仿宋_GB2312" w:cs="仿宋"/>
          <w:color w:val="000000" w:themeColor="text1"/>
          <w:szCs w:val="34"/>
        </w:rPr>
        <w:t>。</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516" w:name="_Toc64542195"/>
      <w:bookmarkStart w:id="517" w:name="_Toc11144"/>
      <w:bookmarkStart w:id="518" w:name="_Toc6877"/>
      <w:r>
        <w:rPr>
          <w:rFonts w:hint="eastAsia" w:ascii="楷体_GB2312" w:eastAsia="楷体_GB2312"/>
          <w:color w:val="000000" w:themeColor="text1"/>
        </w:rPr>
        <w:t>第二节  深化农村土地制度改革</w:t>
      </w:r>
      <w:bookmarkEnd w:id="516"/>
      <w:bookmarkEnd w:id="517"/>
      <w:bookmarkEnd w:id="518"/>
    </w:p>
    <w:p>
      <w:pPr>
        <w:spacing w:line="580" w:lineRule="exact"/>
        <w:ind w:firstLine="640"/>
        <w:rPr>
          <w:rFonts w:ascii="仿宋_GB2312" w:hAnsi="仿宋_GB2312" w:eastAsia="仿宋_GB2312" w:cs="仿宋_GB2312"/>
          <w:color w:val="000000" w:themeColor="text1"/>
          <w:kern w:val="0"/>
          <w:szCs w:val="32"/>
        </w:rPr>
      </w:pPr>
    </w:p>
    <w:p>
      <w:pPr>
        <w:spacing w:line="580" w:lineRule="exact"/>
        <w:ind w:firstLine="640"/>
        <w:rPr>
          <w:rFonts w:ascii="仿宋_GB2312" w:hAnsi="仿宋_GB2312" w:eastAsia="仿宋_GB2312" w:cs="仿宋_GB2312"/>
          <w:color w:val="000000" w:themeColor="text1"/>
          <w:kern w:val="0"/>
          <w:szCs w:val="32"/>
        </w:rPr>
      </w:pPr>
      <w:r>
        <w:rPr>
          <w:rFonts w:hint="eastAsia" w:ascii="仿宋_GB2312" w:hAnsi="仿宋_GB2312" w:eastAsia="仿宋_GB2312" w:cs="仿宋_GB2312"/>
          <w:color w:val="000000" w:themeColor="text1"/>
          <w:kern w:val="0"/>
          <w:szCs w:val="32"/>
        </w:rPr>
        <w:t>健全城乡统一的建设用地市场，完善城乡建设用地增减挂钩政策。调整土地出让收益城乡分配格局，稳步提高土地出让收入用于农业农村比例。积极探索实施农村集体经营性建设用地入市制度，建立公平合理的增值收益分配机制。允许农村集体依法收回闲置宅基地、废弃的集体公益性建设用地使用权，按照规划用途直接入市。建立土地征收公共利益用地认定机制，缩小土地征收范围。稳慎推进农村宅基地制度改革，探索宅基地所有权、资格权、使用权分置实现形式。保障进城落户农民土地承包权、宅基地使用权、集体收益分配权。完善乡村产业发展用地政策，因地制宜适当扩大农业设施用地比例，明确用地类型和供地方式，实施分类管理。</w:t>
      </w:r>
    </w:p>
    <w:p>
      <w:pPr>
        <w:pStyle w:val="2"/>
        <w:ind w:firstLine="320"/>
      </w:pPr>
    </w:p>
    <w:p>
      <w:pPr>
        <w:pStyle w:val="74"/>
        <w:adjustRightInd/>
        <w:snapToGrid/>
        <w:spacing w:line="580" w:lineRule="exact"/>
        <w:rPr>
          <w:rFonts w:ascii="楷体_GB2312" w:eastAsia="楷体_GB2312"/>
          <w:color w:val="000000" w:themeColor="text1"/>
        </w:rPr>
      </w:pPr>
      <w:bookmarkStart w:id="519" w:name="_Toc64542196"/>
      <w:bookmarkStart w:id="520" w:name="_Toc31780"/>
      <w:bookmarkStart w:id="521" w:name="_Toc69"/>
    </w:p>
    <w:p>
      <w:pPr>
        <w:pStyle w:val="74"/>
        <w:adjustRightInd/>
        <w:snapToGrid/>
        <w:spacing w:line="580" w:lineRule="exact"/>
        <w:rPr>
          <w:rFonts w:ascii="楷体_GB2312" w:eastAsia="楷体_GB2312"/>
          <w:color w:val="000000" w:themeColor="text1"/>
        </w:rPr>
      </w:pPr>
    </w:p>
    <w:p>
      <w:pPr>
        <w:pStyle w:val="74"/>
        <w:adjustRightInd/>
        <w:snapToGrid/>
        <w:spacing w:line="580" w:lineRule="exact"/>
        <w:rPr>
          <w:rFonts w:ascii="楷体_GB2312" w:eastAsia="楷体_GB2312"/>
          <w:color w:val="000000" w:themeColor="text1"/>
        </w:rPr>
      </w:pPr>
      <w:r>
        <w:rPr>
          <w:rFonts w:hint="eastAsia" w:ascii="楷体_GB2312" w:eastAsia="楷体_GB2312"/>
          <w:color w:val="000000" w:themeColor="text1"/>
        </w:rPr>
        <w:t>第三节  推进农村集体产权制度改革</w:t>
      </w:r>
      <w:bookmarkEnd w:id="519"/>
      <w:bookmarkEnd w:id="520"/>
      <w:bookmarkEnd w:id="521"/>
    </w:p>
    <w:p>
      <w:pPr>
        <w:spacing w:line="580" w:lineRule="exact"/>
        <w:ind w:firstLine="640"/>
        <w:rPr>
          <w:rFonts w:ascii="仿宋_GB2312" w:hAnsi="仿宋_GB2312" w:eastAsia="仿宋_GB2312" w:cs="仿宋_GB2312"/>
          <w:color w:val="000000" w:themeColor="text1"/>
          <w:kern w:val="0"/>
          <w:szCs w:val="32"/>
        </w:rPr>
      </w:pPr>
    </w:p>
    <w:p>
      <w:pPr>
        <w:spacing w:line="580" w:lineRule="exact"/>
        <w:ind w:firstLine="640"/>
        <w:rPr>
          <w:rFonts w:ascii="仿宋_GB2312" w:hAnsi="仿宋_GB2312" w:eastAsia="仿宋_GB2312" w:cs="仿宋_GB2312"/>
          <w:color w:val="000000" w:themeColor="text1"/>
          <w:kern w:val="0"/>
          <w:szCs w:val="32"/>
        </w:rPr>
      </w:pPr>
      <w:r>
        <w:rPr>
          <w:rFonts w:hint="eastAsia" w:ascii="仿宋_GB2312" w:hAnsi="仿宋_GB2312" w:eastAsia="仿宋_GB2312" w:cs="仿宋_GB2312"/>
          <w:color w:val="000000" w:themeColor="text1"/>
          <w:kern w:val="0"/>
          <w:szCs w:val="32"/>
        </w:rPr>
        <w:t>积极推进农村集体产权制度改革试点，建立完善“归属清晰、权能完整、流转顺畅、保护严格”的农村集体产权制度。培育壮大农村集体经济组织，明晰集体资产所有权，建立稳定可持续的村集体经济增收机制。持续推进农村集体经营性资产股份合作制改革，加强集体资产监督管理。加快制定针对农村集体经济组织特别法人资格税收优惠、金融扶持、用地保障等政策。加强农村集体产权收益使用、分配、监管，维护农民权益。进一步理顺农村集体“三资”服务和监管工作体系，形成产权明晰、权责明确、经营高效的管理体制和运行机制。</w:t>
      </w:r>
    </w:p>
    <w:p>
      <w:pPr>
        <w:pStyle w:val="31"/>
        <w:spacing w:line="580" w:lineRule="exact"/>
        <w:ind w:firstLine="640"/>
      </w:pPr>
    </w:p>
    <w:p>
      <w:pPr>
        <w:pStyle w:val="23"/>
        <w:adjustRightInd/>
        <w:snapToGrid/>
        <w:spacing w:line="580" w:lineRule="exact"/>
        <w:rPr>
          <w:b w:val="0"/>
          <w:color w:val="000000" w:themeColor="text1"/>
        </w:rPr>
      </w:pPr>
      <w:bookmarkStart w:id="522" w:name="_Toc28127"/>
      <w:bookmarkStart w:id="523" w:name="_Toc58861168"/>
      <w:bookmarkStart w:id="524" w:name="_Toc589"/>
      <w:bookmarkStart w:id="525" w:name="_Toc64542197"/>
      <w:r>
        <w:rPr>
          <w:rFonts w:hint="eastAsia"/>
          <w:b w:val="0"/>
          <w:color w:val="000000" w:themeColor="text1"/>
        </w:rPr>
        <w:t>第二十八章  统筹巩固拓展脱贫攻坚成果</w:t>
      </w:r>
      <w:r>
        <w:rPr>
          <w:rFonts w:hint="eastAsia"/>
          <w:b w:val="0"/>
          <w:color w:val="000000" w:themeColor="text1"/>
          <w:lang w:val="en-US" w:eastAsia="zh-CN"/>
        </w:rPr>
        <w:t>同</w:t>
      </w:r>
      <w:r>
        <w:rPr>
          <w:rFonts w:hint="eastAsia"/>
          <w:b w:val="0"/>
          <w:color w:val="000000" w:themeColor="text1"/>
        </w:rPr>
        <w:t>乡村振兴</w:t>
      </w:r>
      <w:bookmarkEnd w:id="522"/>
      <w:bookmarkEnd w:id="523"/>
      <w:bookmarkStart w:id="526" w:name="_Toc27343"/>
      <w:r>
        <w:rPr>
          <w:rFonts w:hint="eastAsia"/>
          <w:b w:val="0"/>
          <w:color w:val="000000" w:themeColor="text1"/>
        </w:rPr>
        <w:t>有效衔接</w:t>
      </w:r>
      <w:bookmarkEnd w:id="524"/>
      <w:bookmarkEnd w:id="525"/>
      <w:bookmarkEnd w:id="526"/>
    </w:p>
    <w:p>
      <w:pPr>
        <w:pStyle w:val="50"/>
        <w:spacing w:line="580" w:lineRule="exact"/>
        <w:ind w:firstLine="640"/>
        <w:rPr>
          <w:rFonts w:ascii="仿宋_GB2312" w:hAnsi="仿宋_GB2312" w:eastAsia="仿宋_GB2312" w:cs="仿宋_GB2312"/>
          <w:color w:val="000000" w:themeColor="text1"/>
          <w:kern w:val="0"/>
          <w:sz w:val="32"/>
          <w:szCs w:val="32"/>
        </w:rPr>
      </w:pPr>
    </w:p>
    <w:p>
      <w:pPr>
        <w:pStyle w:val="50"/>
        <w:spacing w:line="580" w:lineRule="exact"/>
        <w:ind w:firstLine="640"/>
        <w:rPr>
          <w:rFonts w:ascii="仿宋_GB2312" w:hAnsi="仿宋_GB2312" w:eastAsia="仿宋_GB2312" w:cs="仿宋_GB2312"/>
          <w:color w:val="000000" w:themeColor="text1"/>
          <w:kern w:val="0"/>
          <w:sz w:val="32"/>
          <w:szCs w:val="32"/>
        </w:rPr>
      </w:pPr>
      <w:r>
        <w:rPr>
          <w:rFonts w:hint="eastAsia" w:ascii="仿宋_GB2312" w:hAnsi="仿宋_GB2312" w:eastAsia="仿宋_GB2312" w:cs="仿宋_GB2312"/>
          <w:color w:val="000000" w:themeColor="text1"/>
          <w:kern w:val="0"/>
          <w:sz w:val="32"/>
          <w:szCs w:val="32"/>
        </w:rPr>
        <w:t>巩固拓展脱贫攻坚成果，持续推进脱贫摘帽乡村全面振兴，促进经济社会发展和群众生活改善，让脱贫群众过上更加美好生活，逐步走上共同富裕道路。</w:t>
      </w:r>
    </w:p>
    <w:p>
      <w:pPr>
        <w:pStyle w:val="50"/>
        <w:spacing w:line="580" w:lineRule="exact"/>
        <w:ind w:firstLine="640"/>
        <w:rPr>
          <w:rFonts w:ascii="仿宋_GB2312" w:hAnsi="仿宋_GB2312" w:eastAsia="仿宋_GB2312" w:cs="仿宋_GB2312"/>
          <w:color w:val="000000" w:themeColor="text1"/>
          <w:kern w:val="0"/>
          <w:sz w:val="32"/>
          <w:szCs w:val="32"/>
        </w:rPr>
      </w:pPr>
    </w:p>
    <w:p>
      <w:pPr>
        <w:pStyle w:val="74"/>
        <w:adjustRightInd/>
        <w:snapToGrid/>
        <w:spacing w:line="580" w:lineRule="exact"/>
        <w:rPr>
          <w:rFonts w:ascii="楷体_GB2312" w:eastAsia="楷体_GB2312"/>
          <w:color w:val="000000" w:themeColor="text1"/>
        </w:rPr>
      </w:pPr>
      <w:bookmarkStart w:id="527" w:name="_Toc25739"/>
      <w:bookmarkStart w:id="528" w:name="_Toc58861169"/>
      <w:bookmarkStart w:id="529" w:name="_Toc18229"/>
      <w:bookmarkStart w:id="530" w:name="_Toc64542198"/>
      <w:r>
        <w:rPr>
          <w:rFonts w:hint="eastAsia" w:ascii="楷体_GB2312" w:eastAsia="楷体_GB2312"/>
          <w:color w:val="000000" w:themeColor="text1"/>
        </w:rPr>
        <w:t>第一节  巩固拓展脱贫攻坚成果</w:t>
      </w:r>
      <w:bookmarkEnd w:id="527"/>
      <w:bookmarkEnd w:id="528"/>
      <w:bookmarkEnd w:id="529"/>
      <w:bookmarkEnd w:id="530"/>
    </w:p>
    <w:p>
      <w:pPr>
        <w:pStyle w:val="2"/>
        <w:spacing w:after="0" w:line="580" w:lineRule="exact"/>
        <w:ind w:firstLine="640" w:firstLineChars="200"/>
        <w:rPr>
          <w:rFonts w:ascii="仿宋_GB2312" w:hAnsi="仿宋_GB2312" w:eastAsia="仿宋_GB2312" w:cs="仿宋_GB2312"/>
          <w:color w:val="000000" w:themeColor="text1"/>
          <w:kern w:val="0"/>
          <w:szCs w:val="32"/>
        </w:rPr>
      </w:pPr>
    </w:p>
    <w:p>
      <w:pPr>
        <w:pStyle w:val="2"/>
        <w:spacing w:after="0" w:line="580" w:lineRule="exact"/>
        <w:ind w:firstLine="640" w:firstLineChars="200"/>
        <w:rPr>
          <w:rFonts w:ascii="仿宋_GB2312" w:hAnsi="仿宋_GB2312" w:eastAsia="仿宋_GB2312" w:cs="仿宋_GB2312"/>
          <w:color w:val="000000" w:themeColor="text1"/>
          <w:kern w:val="0"/>
          <w:szCs w:val="32"/>
        </w:rPr>
      </w:pPr>
      <w:r>
        <w:rPr>
          <w:rFonts w:hint="eastAsia" w:ascii="仿宋_GB2312" w:hAnsi="仿宋_GB2312" w:eastAsia="仿宋_GB2312" w:cs="仿宋_GB2312"/>
          <w:color w:val="000000" w:themeColor="text1"/>
          <w:kern w:val="0"/>
          <w:szCs w:val="32"/>
        </w:rPr>
        <w:t>严格落实“四个不减”要求，保持现有帮扶政策、资金支持、帮扶力量总体稳定。</w:t>
      </w:r>
      <w:r>
        <w:rPr>
          <w:rFonts w:hint="eastAsia" w:ascii="仿宋_GB2312" w:eastAsia="仿宋_GB2312"/>
          <w:color w:val="000000" w:themeColor="text1"/>
          <w:kern w:val="0"/>
        </w:rPr>
        <w:t>健全防止返贫致贫动态监测和帮扶机制，对脱贫不稳定户、边缘易致贫户开展常态化监测预警，加大巩固“两不愁三保障”成果力度，</w:t>
      </w:r>
      <w:r>
        <w:rPr>
          <w:rFonts w:hint="eastAsia" w:ascii="仿宋_GB2312" w:hAnsi="仿宋_GB2312" w:eastAsia="仿宋_GB2312" w:cs="仿宋_GB2312"/>
          <w:color w:val="000000" w:themeColor="text1"/>
          <w:kern w:val="0"/>
          <w:szCs w:val="32"/>
        </w:rPr>
        <w:t>防范</w:t>
      </w:r>
      <w:r>
        <w:rPr>
          <w:rFonts w:hint="eastAsia" w:ascii="仿宋_GB2312" w:eastAsia="仿宋_GB2312"/>
          <w:color w:val="000000" w:themeColor="text1"/>
          <w:kern w:val="0"/>
        </w:rPr>
        <w:t>返贫致贫风险。加强扶贫项目资金资产管理和监督，确保公益性资产持续发挥作用、经营性资产不流失或被侵占。</w:t>
      </w:r>
      <w:r>
        <w:rPr>
          <w:rFonts w:hint="eastAsia" w:ascii="仿宋_GB2312" w:hAnsi="仿宋_GB2312" w:eastAsia="仿宋_GB2312" w:cs="仿宋_GB2312"/>
          <w:color w:val="000000" w:themeColor="text1"/>
          <w:kern w:val="0"/>
          <w:szCs w:val="32"/>
        </w:rPr>
        <w:t>发展壮大扶贫产业，拓展扶贫产品销售渠道，创新流通方式，做实做细消费扶贫。</w:t>
      </w:r>
    </w:p>
    <w:p>
      <w:pPr>
        <w:pStyle w:val="74"/>
        <w:adjustRightInd/>
        <w:snapToGrid/>
        <w:spacing w:line="580" w:lineRule="exact"/>
        <w:rPr>
          <w:rFonts w:ascii="楷体_GB2312" w:eastAsia="楷体_GB2312"/>
          <w:color w:val="000000" w:themeColor="text1"/>
        </w:rPr>
      </w:pPr>
      <w:bookmarkStart w:id="531" w:name="_Toc18325"/>
      <w:bookmarkStart w:id="532" w:name="_Toc64542199"/>
      <w:bookmarkStart w:id="533" w:name="_Toc58861170"/>
      <w:bookmarkStart w:id="534" w:name="_Toc2836"/>
    </w:p>
    <w:p>
      <w:pPr>
        <w:pStyle w:val="74"/>
        <w:adjustRightInd/>
        <w:snapToGrid/>
        <w:spacing w:line="580" w:lineRule="exact"/>
        <w:rPr>
          <w:rFonts w:ascii="楷体_GB2312" w:eastAsia="楷体_GB2312"/>
          <w:color w:val="000000" w:themeColor="text1"/>
        </w:rPr>
      </w:pPr>
      <w:r>
        <w:rPr>
          <w:rFonts w:hint="eastAsia" w:ascii="楷体_GB2312" w:eastAsia="楷体_GB2312"/>
          <w:color w:val="000000" w:themeColor="text1"/>
        </w:rPr>
        <w:t>第二节  加强对农村低收入人口分类帮扶</w:t>
      </w:r>
      <w:bookmarkEnd w:id="531"/>
      <w:bookmarkEnd w:id="532"/>
      <w:bookmarkEnd w:id="533"/>
      <w:bookmarkEnd w:id="534"/>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加强政府和社会帮扶，加强农民职业技能培训，提升农村低收入人口自我发展能力。健全农村社会保障和救助制度，以现有社会救助和社会保障体系为基础，健全农村低收入人口分类帮扶机制。</w:t>
      </w:r>
      <w:r>
        <w:rPr>
          <w:rFonts w:hint="eastAsia" w:ascii="仿宋_GB2312" w:hAnsi="仿宋_GB2312" w:eastAsia="仿宋_GB2312" w:cs="仿宋_GB2312"/>
          <w:color w:val="000000" w:themeColor="text1"/>
          <w:kern w:val="0"/>
          <w:szCs w:val="32"/>
        </w:rPr>
        <w:t>规范公益岗位管理，促进弱劳动力、半劳动力等家庭就近就地就业。</w:t>
      </w:r>
      <w:r>
        <w:rPr>
          <w:rFonts w:hint="eastAsia" w:ascii="仿宋_GB2312" w:eastAsia="仿宋_GB2312"/>
          <w:color w:val="000000" w:themeColor="text1"/>
          <w:kern w:val="0"/>
        </w:rPr>
        <w:t>对农村完全丧失劳动能力或部分丧失劳动能力、无法通过产业就业获得稳定收入的人口，应保尽保、应兜尽兜，切实保障其基本生活。</w:t>
      </w:r>
      <w:r>
        <w:rPr>
          <w:rFonts w:hint="eastAsia" w:ascii="仿宋_GB2312" w:eastAsia="仿宋_GB2312"/>
          <w:color w:val="000000" w:themeColor="text1"/>
          <w:kern w:val="0"/>
        </w:rPr>
        <w:br w:type="page"/>
      </w:r>
    </w:p>
    <w:p>
      <w:pPr>
        <w:pStyle w:val="29"/>
        <w:adjustRightInd/>
        <w:snapToGrid/>
        <w:spacing w:line="558" w:lineRule="exact"/>
        <w:rPr>
          <w:color w:val="000000" w:themeColor="text1"/>
        </w:rPr>
      </w:pPr>
      <w:bookmarkStart w:id="535" w:name="_Toc2394"/>
      <w:bookmarkStart w:id="536" w:name="_Toc64542200"/>
      <w:bookmarkStart w:id="537" w:name="_Toc31796"/>
      <w:bookmarkStart w:id="538" w:name="_Toc58861171"/>
    </w:p>
    <w:p>
      <w:pPr>
        <w:pStyle w:val="29"/>
        <w:adjustRightInd/>
        <w:snapToGrid/>
        <w:spacing w:line="558" w:lineRule="exact"/>
        <w:rPr>
          <w:color w:val="000000" w:themeColor="text1"/>
        </w:rPr>
      </w:pPr>
      <w:r>
        <w:rPr>
          <w:rFonts w:hint="eastAsia"/>
          <w:color w:val="000000" w:themeColor="text1"/>
        </w:rPr>
        <w:t>第九篇  建设现代化大都市</w:t>
      </w:r>
      <w:bookmarkEnd w:id="535"/>
      <w:bookmarkEnd w:id="536"/>
      <w:bookmarkEnd w:id="537"/>
      <w:bookmarkEnd w:id="538"/>
    </w:p>
    <w:p>
      <w:pPr>
        <w:spacing w:line="558" w:lineRule="exact"/>
        <w:ind w:firstLine="640"/>
        <w:rPr>
          <w:rFonts w:ascii="仿宋_GB2312" w:eastAsia="仿宋_GB2312"/>
          <w:color w:val="000000" w:themeColor="text1"/>
          <w:kern w:val="0"/>
        </w:rPr>
      </w:pPr>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坚持生态空间山清水秀、农业空间绿色高产、城镇空间集约</w:t>
      </w:r>
      <w:r>
        <w:rPr>
          <w:rFonts w:hint="eastAsia" w:ascii="仿宋_GB2312" w:eastAsia="仿宋_GB2312"/>
          <w:color w:val="000000" w:themeColor="text1"/>
          <w:spacing w:val="-6"/>
          <w:kern w:val="0"/>
        </w:rPr>
        <w:t>高效的发展导向，优化国土空间开发，提升城市功能品质，协同推进跨区域基础设施建设，建设令人向往的中国智造新城、山水名城。</w:t>
      </w:r>
    </w:p>
    <w:p>
      <w:pPr>
        <w:pStyle w:val="31"/>
        <w:autoSpaceDN/>
        <w:spacing w:line="558" w:lineRule="exact"/>
        <w:ind w:firstLine="640"/>
      </w:pPr>
    </w:p>
    <w:p>
      <w:pPr>
        <w:pStyle w:val="23"/>
        <w:adjustRightInd/>
        <w:snapToGrid/>
        <w:spacing w:line="558" w:lineRule="exact"/>
        <w:ind w:firstLine="641"/>
        <w:rPr>
          <w:b w:val="0"/>
          <w:color w:val="000000" w:themeColor="text1"/>
        </w:rPr>
      </w:pPr>
      <w:bookmarkStart w:id="539" w:name="_Toc58861172"/>
      <w:bookmarkStart w:id="540" w:name="_Toc10960"/>
      <w:bookmarkStart w:id="541" w:name="_Toc23245"/>
      <w:bookmarkStart w:id="542" w:name="_Toc64542201"/>
      <w:r>
        <w:rPr>
          <w:rFonts w:hint="eastAsia"/>
          <w:b w:val="0"/>
          <w:color w:val="000000" w:themeColor="text1"/>
        </w:rPr>
        <w:t>第二十九章  优化国土空间开发</w:t>
      </w:r>
      <w:bookmarkEnd w:id="539"/>
      <w:r>
        <w:rPr>
          <w:rFonts w:hint="eastAsia"/>
          <w:b w:val="0"/>
          <w:color w:val="000000" w:themeColor="text1"/>
        </w:rPr>
        <w:t>格局</w:t>
      </w:r>
      <w:bookmarkEnd w:id="540"/>
      <w:bookmarkEnd w:id="541"/>
      <w:bookmarkEnd w:id="542"/>
    </w:p>
    <w:p>
      <w:pPr>
        <w:spacing w:line="558" w:lineRule="exact"/>
        <w:ind w:firstLine="640"/>
        <w:rPr>
          <w:rFonts w:ascii="仿宋_GB2312" w:eastAsia="仿宋_GB2312"/>
          <w:color w:val="000000" w:themeColor="text1"/>
          <w:kern w:val="0"/>
        </w:rPr>
      </w:pPr>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建立健全国土空间规划体系，统筹融合生产、生活、生态三大空间，科学划定并严守生态保护红线、永久基本农田保护红线、城镇开发边界三条控制线，完善市域城镇体系结构，推动市域国土空间资源优化利用。</w:t>
      </w:r>
    </w:p>
    <w:p>
      <w:pPr>
        <w:pStyle w:val="31"/>
        <w:autoSpaceDN/>
        <w:spacing w:line="558" w:lineRule="exact"/>
        <w:ind w:firstLine="640"/>
      </w:pPr>
    </w:p>
    <w:p>
      <w:pPr>
        <w:pStyle w:val="74"/>
        <w:adjustRightInd/>
        <w:snapToGrid/>
        <w:spacing w:line="558" w:lineRule="exact"/>
        <w:rPr>
          <w:rFonts w:ascii="楷体_GB2312" w:eastAsia="楷体_GB2312"/>
          <w:color w:val="000000" w:themeColor="text1"/>
        </w:rPr>
      </w:pPr>
      <w:bookmarkStart w:id="543" w:name="_Toc64542202"/>
      <w:bookmarkStart w:id="544" w:name="_Toc12417"/>
      <w:bookmarkStart w:id="545" w:name="_Toc58861173"/>
      <w:bookmarkStart w:id="546" w:name="_Toc23500"/>
      <w:r>
        <w:rPr>
          <w:rFonts w:hint="eastAsia" w:ascii="楷体_GB2312" w:eastAsia="楷体_GB2312"/>
          <w:color w:val="000000" w:themeColor="text1"/>
        </w:rPr>
        <w:t>第一节  严格落实空间管控要求</w:t>
      </w:r>
      <w:bookmarkEnd w:id="543"/>
      <w:bookmarkEnd w:id="544"/>
      <w:bookmarkEnd w:id="545"/>
      <w:bookmarkEnd w:id="546"/>
    </w:p>
    <w:p>
      <w:pPr>
        <w:spacing w:line="558"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科学合理划定生态保护红线，优先将具有重要水源涵养、生物多样性维护、水土保持等生态功能极重要区域，以及生态极脆弱的水土流失等区域划入生态保护红线。严禁不符合主体功能定位的各类开发活动，严禁任意改变用途。</w:t>
      </w: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落实最严格耕地保护制度，在已有永久基本农田划定成果基础上，将布局集中、用途稳定、具有良好水利设施的高产、稳产、优质耕地划定为永久基本农田。完善管理制度，加强耕地数量、质量、生态“三位一体”保护。</w:t>
      </w: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按照城镇开发建设管控导向，科学划定城镇集中建设区、城镇弹性发展区和特别用途区。边界内实行“详细规划</w:t>
      </w:r>
      <w:r>
        <w:rPr>
          <w:rFonts w:ascii="仿宋_GB2312" w:eastAsia="仿宋_GB2312"/>
          <w:color w:val="000000" w:themeColor="text1"/>
          <w:kern w:val="0"/>
        </w:rPr>
        <w:t>+</w:t>
      </w:r>
      <w:r>
        <w:rPr>
          <w:rFonts w:hint="eastAsia" w:ascii="仿宋_GB2312" w:eastAsia="仿宋_GB2312"/>
          <w:color w:val="000000" w:themeColor="text1"/>
          <w:kern w:val="0"/>
        </w:rPr>
        <w:t>规划许可”管控方式，边界外原则上不得进行城镇集中建设。</w:t>
      </w:r>
    </w:p>
    <w:p>
      <w:pPr>
        <w:pStyle w:val="31"/>
        <w:autoSpaceDN/>
        <w:spacing w:line="558" w:lineRule="exact"/>
        <w:ind w:firstLine="640"/>
      </w:pPr>
    </w:p>
    <w:p>
      <w:pPr>
        <w:pStyle w:val="74"/>
        <w:adjustRightInd/>
        <w:snapToGrid/>
        <w:spacing w:line="558" w:lineRule="exact"/>
        <w:rPr>
          <w:rFonts w:ascii="楷体_GB2312" w:eastAsia="楷体_GB2312"/>
          <w:color w:val="000000" w:themeColor="text1"/>
        </w:rPr>
      </w:pPr>
      <w:bookmarkStart w:id="547" w:name="_Toc1179"/>
      <w:bookmarkStart w:id="548" w:name="_Toc27572"/>
      <w:bookmarkStart w:id="549" w:name="_Toc64542203"/>
      <w:bookmarkStart w:id="550" w:name="_Toc58861174"/>
      <w:r>
        <w:rPr>
          <w:rFonts w:hint="eastAsia" w:ascii="楷体_GB2312" w:eastAsia="楷体_GB2312"/>
          <w:color w:val="000000" w:themeColor="text1"/>
        </w:rPr>
        <w:t>第二节  完善现代城镇体系</w:t>
      </w:r>
      <w:bookmarkEnd w:id="547"/>
      <w:bookmarkEnd w:id="548"/>
      <w:bookmarkEnd w:id="549"/>
      <w:bookmarkEnd w:id="550"/>
    </w:p>
    <w:p>
      <w:pPr>
        <w:spacing w:line="558"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坚持市域一体发展，促进区域协同和城乡融合，构建中心城市、县级城区、乡镇、农村协调发展、功能互补的城镇村体系，增强中心城市凝聚力，协同共建现代化大都市。更好发挥中心城市极核作用，加快人口集聚，增强都市区的科研、产业、医疗、教育、商务等功能。促进南昌、进贤、安义等县实现差异化、特色化发展，强化与中心城市聚合相向发展。培育发展重点镇与一般镇，推进镇村片区组团发展，合理安排服务功能，促进镇村人口和经济集聚发展。</w:t>
      </w:r>
      <w:bookmarkStart w:id="551" w:name="_Toc58861175"/>
      <w:bookmarkStart w:id="552" w:name="_Toc19361"/>
    </w:p>
    <w:p>
      <w:pPr>
        <w:pStyle w:val="59"/>
        <w:widowControl w:val="0"/>
        <w:spacing w:line="558" w:lineRule="exact"/>
        <w:ind w:firstLine="0" w:firstLineChars="0"/>
      </w:pPr>
    </w:p>
    <w:p>
      <w:pPr>
        <w:pStyle w:val="74"/>
        <w:adjustRightInd/>
        <w:snapToGrid/>
        <w:spacing w:line="558" w:lineRule="exact"/>
        <w:rPr>
          <w:rFonts w:ascii="楷体_GB2312" w:eastAsia="楷体_GB2312"/>
          <w:color w:val="000000" w:themeColor="text1"/>
        </w:rPr>
      </w:pPr>
      <w:bookmarkStart w:id="553" w:name="_Toc27288"/>
      <w:bookmarkStart w:id="554" w:name="_Toc64542204"/>
      <w:r>
        <w:rPr>
          <w:rFonts w:hint="eastAsia" w:ascii="楷体_GB2312" w:eastAsia="楷体_GB2312"/>
          <w:color w:val="000000" w:themeColor="text1"/>
        </w:rPr>
        <w:t>第三节  打造风景如画魅力空间</w:t>
      </w:r>
      <w:bookmarkEnd w:id="551"/>
      <w:bookmarkEnd w:id="552"/>
      <w:bookmarkEnd w:id="553"/>
      <w:bookmarkEnd w:id="554"/>
    </w:p>
    <w:p>
      <w:pPr>
        <w:spacing w:line="558" w:lineRule="exact"/>
        <w:ind w:firstLine="643"/>
        <w:rPr>
          <w:rFonts w:ascii="仿宋_GB2312" w:eastAsia="仿宋_GB2312"/>
          <w:b/>
          <w:color w:val="000000" w:themeColor="text1"/>
          <w:kern w:val="0"/>
        </w:rPr>
      </w:pPr>
    </w:p>
    <w:p>
      <w:pPr>
        <w:spacing w:line="558" w:lineRule="exact"/>
        <w:ind w:firstLine="643"/>
        <w:rPr>
          <w:rFonts w:ascii="仿宋_GB2312" w:eastAsia="仿宋_GB2312"/>
          <w:color w:val="000000" w:themeColor="text1"/>
          <w:kern w:val="0"/>
        </w:rPr>
      </w:pPr>
      <w:r>
        <w:rPr>
          <w:rFonts w:hint="eastAsia" w:ascii="仿宋_GB2312" w:eastAsia="仿宋_GB2312"/>
          <w:b/>
          <w:color w:val="000000" w:themeColor="text1"/>
          <w:kern w:val="0"/>
        </w:rPr>
        <w:t>发掘城市魅力空间。</w:t>
      </w:r>
      <w:r>
        <w:rPr>
          <w:rFonts w:hint="eastAsia" w:ascii="仿宋_GB2312" w:eastAsia="仿宋_GB2312"/>
          <w:color w:val="000000" w:themeColor="text1"/>
          <w:kern w:val="0"/>
        </w:rPr>
        <w:t>挖掘滕王阁、万寿宫、百花洲、进贤仓和绳金塔府城文化空间、八一起义纪念馆红色文化空间主题和洪都、江纺、南钢工业文化，建设赣江两岸城市历史文化类魅力空间。以红谷滩金融商务区、凤凰洲文化中心、红角洲行政中心和空港、望城、瑶湖、莲塘四个片区为核心，打造都市风采类魅力空间。依托内四湖、瑶湖、艾溪湖、青山湖、象湖等河湖湿地，构筑山清水秀生态湖泊类魅力空间。</w:t>
      </w:r>
    </w:p>
    <w:p>
      <w:pPr>
        <w:spacing w:line="558" w:lineRule="exact"/>
        <w:ind w:firstLine="618"/>
        <w:rPr>
          <w:rFonts w:ascii="仿宋_GB2312" w:eastAsia="仿宋_GB2312"/>
          <w:color w:val="000000" w:themeColor="text1"/>
          <w:spacing w:val="-6"/>
          <w:kern w:val="0"/>
        </w:rPr>
      </w:pPr>
      <w:r>
        <w:rPr>
          <w:rFonts w:hint="eastAsia" w:ascii="仿宋_GB2312" w:eastAsia="仿宋_GB2312"/>
          <w:b/>
          <w:color w:val="000000" w:themeColor="text1"/>
          <w:spacing w:val="-6"/>
          <w:kern w:val="0"/>
        </w:rPr>
        <w:t>拓展郊野魅力空间。</w:t>
      </w:r>
      <w:r>
        <w:rPr>
          <w:rFonts w:hint="eastAsia" w:ascii="仿宋_GB2312" w:eastAsia="仿宋_GB2312"/>
          <w:color w:val="000000" w:themeColor="text1"/>
          <w:spacing w:val="-6"/>
          <w:kern w:val="0"/>
        </w:rPr>
        <w:t>依托南昌“东水、西山、南泽、北洲”地域特色与各自历史文化特征，打造乡愁与农耕文明相结合的“渔樵耕读”四大主题片区，在中心城区东、西、南、北四个方向近郊地区设置4片特色魅力地区，加快建设“梅岭-西山”城市中央公园，将南昌特有的山水和文化保护地区嵌入到城市核心地区。延伸远郊魅力空间，通过农业和生态资源的挖掘利用打造六片远郊魅力空间。</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vAlign w:val="center"/>
          </w:tcPr>
          <w:p>
            <w:pPr>
              <w:pStyle w:val="52"/>
              <w:numPr>
                <w:ilvl w:val="0"/>
                <w:numId w:val="0"/>
              </w:numPr>
              <w:spacing w:after="0" w:line="360" w:lineRule="exact"/>
              <w:jc w:val="center"/>
              <w:rPr>
                <w:rFonts w:ascii="Times New Roman" w:eastAsia="仿宋_GB2312"/>
                <w:b/>
                <w:color w:val="000000" w:themeColor="text1"/>
                <w:sz w:val="28"/>
                <w:szCs w:val="28"/>
              </w:rPr>
            </w:pPr>
            <w:r>
              <w:rPr>
                <w:rFonts w:hint="eastAsia" w:ascii="黑体" w:hAnsi="黑体" w:eastAsia="黑体" w:cs="黑体"/>
                <w:bCs/>
                <w:color w:val="000000" w:themeColor="text1"/>
                <w:sz w:val="28"/>
                <w:szCs w:val="28"/>
              </w:rPr>
              <w:t>专栏19：郊野魅力空间发展导向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spacing w:line="370" w:lineRule="exact"/>
              <w:ind w:firstLine="482"/>
              <w:rPr>
                <w:rFonts w:ascii="仿宋_GB2312" w:hAnsi="仿宋" w:eastAsia="仿宋_GB2312"/>
                <w:b/>
                <w:bCs/>
                <w:color w:val="000000" w:themeColor="text1"/>
                <w:sz w:val="24"/>
              </w:rPr>
            </w:pPr>
            <w:r>
              <w:rPr>
                <w:rFonts w:hint="eastAsia" w:ascii="仿宋_GB2312" w:hAnsi="仿宋" w:eastAsia="仿宋_GB2312"/>
                <w:b/>
                <w:bCs/>
                <w:color w:val="000000" w:themeColor="text1"/>
                <w:sz w:val="24"/>
              </w:rPr>
              <w:t>（一）近郊片区</w:t>
            </w:r>
          </w:p>
          <w:p>
            <w:pPr>
              <w:spacing w:line="370" w:lineRule="exact"/>
              <w:ind w:firstLine="480"/>
              <w:rPr>
                <w:rFonts w:ascii="仿宋_GB2312" w:hAnsi="仿宋" w:eastAsia="仿宋_GB2312"/>
                <w:color w:val="000000" w:themeColor="text1"/>
                <w:sz w:val="24"/>
              </w:rPr>
            </w:pPr>
            <w:r>
              <w:rPr>
                <w:rFonts w:hint="eastAsia" w:ascii="仿宋_GB2312" w:hAnsi="仿宋" w:eastAsia="仿宋_GB2312"/>
                <w:color w:val="000000" w:themeColor="text1"/>
                <w:sz w:val="24"/>
              </w:rPr>
              <w:t>东郊。串联文化景区资源，整合提升特色村庄，构建村塘相依的文化水乡。</w:t>
            </w:r>
          </w:p>
          <w:p>
            <w:pPr>
              <w:spacing w:line="370" w:lineRule="exact"/>
              <w:ind w:firstLine="480"/>
              <w:rPr>
                <w:rFonts w:ascii="仿宋_GB2312" w:hAnsi="仿宋" w:eastAsia="仿宋_GB2312"/>
                <w:color w:val="000000" w:themeColor="text1"/>
                <w:sz w:val="24"/>
              </w:rPr>
            </w:pPr>
            <w:r>
              <w:rPr>
                <w:rFonts w:hint="eastAsia" w:ascii="仿宋_GB2312" w:hAnsi="仿宋" w:eastAsia="仿宋_GB2312"/>
                <w:color w:val="000000" w:themeColor="text1"/>
                <w:sz w:val="24"/>
              </w:rPr>
              <w:t>西郊。建设郊野公园，发展生态休闲旅游，构建山地林海的生态景观区。</w:t>
            </w:r>
          </w:p>
          <w:p>
            <w:pPr>
              <w:spacing w:line="370" w:lineRule="exact"/>
              <w:ind w:firstLine="480"/>
              <w:rPr>
                <w:rFonts w:ascii="仿宋_GB2312" w:hAnsi="仿宋" w:eastAsia="仿宋_GB2312"/>
                <w:color w:val="000000" w:themeColor="text1"/>
                <w:sz w:val="24"/>
              </w:rPr>
            </w:pPr>
            <w:r>
              <w:rPr>
                <w:rFonts w:hint="eastAsia" w:ascii="仿宋_GB2312" w:hAnsi="仿宋" w:eastAsia="仿宋_GB2312"/>
                <w:color w:val="000000" w:themeColor="text1"/>
                <w:sz w:val="24"/>
              </w:rPr>
              <w:t>南郊。建设湿地公园，提升坑塘景观，构建渔火坑塘的特色景观区。</w:t>
            </w:r>
          </w:p>
          <w:p>
            <w:pPr>
              <w:spacing w:line="370" w:lineRule="exact"/>
              <w:ind w:firstLine="480"/>
              <w:rPr>
                <w:rFonts w:ascii="仿宋_GB2312" w:hAnsi="仿宋" w:eastAsia="仿宋_GB2312"/>
                <w:color w:val="000000" w:themeColor="text1"/>
                <w:sz w:val="24"/>
              </w:rPr>
            </w:pPr>
            <w:r>
              <w:rPr>
                <w:rFonts w:hint="eastAsia" w:ascii="仿宋_GB2312" w:hAnsi="仿宋" w:eastAsia="仿宋_GB2312"/>
                <w:color w:val="000000" w:themeColor="text1"/>
                <w:sz w:val="24"/>
              </w:rPr>
              <w:t>北郊。改善候鸟栖息环境，控制扬子洲生态开发，构建圩洲农耕的现代农业区。</w:t>
            </w:r>
          </w:p>
          <w:p>
            <w:pPr>
              <w:spacing w:line="370" w:lineRule="exact"/>
              <w:ind w:firstLine="482"/>
              <w:rPr>
                <w:rFonts w:ascii="仿宋_GB2312" w:hAnsi="仿宋" w:eastAsia="仿宋_GB2312"/>
                <w:b/>
                <w:bCs/>
                <w:color w:val="000000" w:themeColor="text1"/>
                <w:sz w:val="24"/>
              </w:rPr>
            </w:pPr>
            <w:r>
              <w:rPr>
                <w:rFonts w:hint="eastAsia" w:ascii="仿宋_GB2312" w:hAnsi="仿宋" w:eastAsia="仿宋_GB2312"/>
                <w:b/>
                <w:bCs/>
                <w:color w:val="000000" w:themeColor="text1"/>
                <w:sz w:val="24"/>
              </w:rPr>
              <w:t>（二）远郊片区</w:t>
            </w:r>
          </w:p>
          <w:p>
            <w:pPr>
              <w:spacing w:line="370" w:lineRule="exact"/>
              <w:ind w:firstLine="480"/>
              <w:rPr>
                <w:rFonts w:ascii="仿宋_GB2312" w:hAnsi="仿宋" w:eastAsia="仿宋_GB2312"/>
                <w:color w:val="000000" w:themeColor="text1"/>
                <w:sz w:val="24"/>
              </w:rPr>
            </w:pPr>
            <w:r>
              <w:rPr>
                <w:rFonts w:hint="eastAsia" w:ascii="仿宋_GB2312" w:hAnsi="仿宋" w:eastAsia="仿宋_GB2312"/>
                <w:color w:val="000000" w:themeColor="text1"/>
                <w:sz w:val="24"/>
              </w:rPr>
              <w:t>潦河绿谷魅力地区。由安义千年古村落和周边特色农业资源等组成，重点保护古村落群，塑造特色谷地和农田景观。</w:t>
            </w:r>
          </w:p>
          <w:p>
            <w:pPr>
              <w:spacing w:line="370" w:lineRule="exact"/>
              <w:ind w:firstLine="480"/>
              <w:rPr>
                <w:rFonts w:ascii="仿宋_GB2312" w:hAnsi="仿宋" w:eastAsia="仿宋_GB2312"/>
                <w:color w:val="000000" w:themeColor="text1"/>
                <w:sz w:val="24"/>
              </w:rPr>
            </w:pPr>
            <w:r>
              <w:rPr>
                <w:rFonts w:hint="eastAsia" w:ascii="仿宋_GB2312" w:hAnsi="仿宋" w:eastAsia="仿宋_GB2312"/>
                <w:color w:val="000000" w:themeColor="text1"/>
                <w:sz w:val="24"/>
              </w:rPr>
              <w:t>海昏遗址魅力地区。以海昏侯国遗址为主体，由汪山土库、象山森林公园、溪霞怪石岭生态公园等组成，重点活化利用遗址资源，建设世界级大遗址公园。</w:t>
            </w:r>
          </w:p>
          <w:p>
            <w:pPr>
              <w:spacing w:line="370" w:lineRule="exact"/>
              <w:ind w:firstLine="480"/>
              <w:rPr>
                <w:rFonts w:ascii="仿宋_GB2312" w:hAnsi="仿宋" w:eastAsia="仿宋_GB2312"/>
                <w:color w:val="000000" w:themeColor="text1"/>
                <w:sz w:val="24"/>
              </w:rPr>
            </w:pPr>
            <w:r>
              <w:rPr>
                <w:rFonts w:hint="eastAsia" w:ascii="仿宋_GB2312" w:hAnsi="仿宋" w:eastAsia="仿宋_GB2312"/>
                <w:color w:val="000000" w:themeColor="text1"/>
                <w:sz w:val="24"/>
              </w:rPr>
              <w:t>鄱阳湖滨魅力地区。由鲤鱼洲五星白鹤小镇、三里乡高铁军山湖小镇等组成，重点稳步提升湖滨景观，营造人鸟共生的生态环境。</w:t>
            </w:r>
          </w:p>
          <w:p>
            <w:pPr>
              <w:spacing w:line="370" w:lineRule="exact"/>
              <w:ind w:firstLine="480"/>
              <w:rPr>
                <w:rFonts w:ascii="仿宋_GB2312" w:hAnsi="仿宋" w:eastAsia="仿宋_GB2312"/>
                <w:color w:val="000000" w:themeColor="text1"/>
                <w:sz w:val="24"/>
              </w:rPr>
            </w:pPr>
            <w:r>
              <w:rPr>
                <w:rFonts w:hint="eastAsia" w:ascii="仿宋_GB2312" w:hAnsi="仿宋" w:eastAsia="仿宋_GB2312"/>
                <w:color w:val="000000" w:themeColor="text1"/>
                <w:sz w:val="24"/>
              </w:rPr>
              <w:t>抚河古镇魅力地区。由三江镇、温圳镇、架桥镇、文港镇、李渡镇等古镇名村组成，重点挖掘古镇内涵，建设特色商业街区。</w:t>
            </w:r>
          </w:p>
          <w:p>
            <w:pPr>
              <w:spacing w:line="370" w:lineRule="exact"/>
              <w:ind w:firstLine="480"/>
              <w:rPr>
                <w:rFonts w:ascii="仿宋_GB2312" w:hAnsi="仿宋" w:eastAsia="仿宋_GB2312"/>
                <w:color w:val="000000" w:themeColor="text1"/>
                <w:sz w:val="24"/>
              </w:rPr>
            </w:pPr>
            <w:r>
              <w:rPr>
                <w:rFonts w:hint="eastAsia" w:ascii="仿宋_GB2312" w:hAnsi="仿宋" w:eastAsia="仿宋_GB2312"/>
                <w:color w:val="000000" w:themeColor="text1"/>
                <w:sz w:val="24"/>
              </w:rPr>
              <w:t>锦江林岗魅力地区。由西山万寿宫、流湖温泉等组成，重点发展文化休闲与特色农业。</w:t>
            </w:r>
          </w:p>
          <w:p>
            <w:pPr>
              <w:spacing w:line="370" w:lineRule="exact"/>
              <w:ind w:firstLine="480"/>
              <w:rPr>
                <w:rFonts w:ascii="仿宋" w:hAnsi="仿宋"/>
                <w:color w:val="000000" w:themeColor="text1"/>
                <w:sz w:val="24"/>
              </w:rPr>
            </w:pPr>
            <w:r>
              <w:rPr>
                <w:rFonts w:hint="eastAsia" w:ascii="仿宋_GB2312" w:hAnsi="仿宋" w:eastAsia="仿宋_GB2312"/>
                <w:color w:val="000000" w:themeColor="text1"/>
                <w:sz w:val="24"/>
              </w:rPr>
              <w:t>市汊古埠魅力地区。以市汊古埠为龙头，由吴氏家庙、教授村等组成，重点保护提升市汊古街，重塑水运昌盛古韵。</w:t>
            </w:r>
          </w:p>
        </w:tc>
      </w:tr>
    </w:tbl>
    <w:p>
      <w:pPr>
        <w:pStyle w:val="59"/>
        <w:widowControl w:val="0"/>
        <w:adjustRightInd/>
        <w:snapToGrid/>
        <w:spacing w:line="580" w:lineRule="exact"/>
        <w:ind w:firstLine="0" w:firstLineChars="0"/>
      </w:pPr>
      <w:bookmarkStart w:id="555" w:name="_Toc58861176"/>
      <w:bookmarkStart w:id="556" w:name="_Toc9153"/>
    </w:p>
    <w:p>
      <w:pPr>
        <w:pStyle w:val="59"/>
        <w:widowControl w:val="0"/>
        <w:adjustRightInd/>
        <w:snapToGrid/>
        <w:spacing w:line="580" w:lineRule="exact"/>
        <w:ind w:firstLine="0" w:firstLineChars="0"/>
      </w:pPr>
    </w:p>
    <w:p>
      <w:pPr>
        <w:pStyle w:val="59"/>
        <w:widowControl w:val="0"/>
        <w:adjustRightInd/>
        <w:snapToGrid/>
        <w:spacing w:line="580" w:lineRule="exact"/>
        <w:ind w:firstLine="0" w:firstLineChars="0"/>
      </w:pPr>
    </w:p>
    <w:p>
      <w:pPr>
        <w:pStyle w:val="74"/>
        <w:adjustRightInd/>
        <w:snapToGrid/>
        <w:spacing w:line="580" w:lineRule="exact"/>
        <w:rPr>
          <w:rFonts w:ascii="楷体_GB2312" w:eastAsia="楷体_GB2312"/>
          <w:color w:val="000000" w:themeColor="text1"/>
        </w:rPr>
      </w:pPr>
      <w:bookmarkStart w:id="557" w:name="_Toc64542205"/>
      <w:bookmarkStart w:id="558" w:name="_Toc23688"/>
      <w:r>
        <w:rPr>
          <w:rFonts w:hint="eastAsia" w:ascii="楷体_GB2312" w:eastAsia="楷体_GB2312"/>
          <w:color w:val="000000" w:themeColor="text1"/>
        </w:rPr>
        <w:t>第四节  推进地下空间综合开发</w:t>
      </w:r>
      <w:bookmarkEnd w:id="555"/>
      <w:bookmarkEnd w:id="556"/>
      <w:bookmarkEnd w:id="557"/>
      <w:bookmarkEnd w:id="558"/>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构建地下空间综合利用体系，实现城市“地上地下一张蓝图”，统筹形成地下轨道交通设施为基础、人防设施和停车设施为主体，地下市政、商业为补充的地下空间系统，提升城市综合承载能力和安全韧性程度。结合人防工程，注重地下空间竖向分层和横向连通，加强地下空间与轨道交通站点衔接，积极推广以公共交通为导向开发（T</w:t>
      </w:r>
      <w:r>
        <w:rPr>
          <w:rFonts w:ascii="仿宋_GB2312" w:eastAsia="仿宋_GB2312"/>
          <w:color w:val="000000" w:themeColor="text1"/>
          <w:kern w:val="0"/>
        </w:rPr>
        <w:t>OD</w:t>
      </w:r>
      <w:r>
        <w:rPr>
          <w:rFonts w:hint="eastAsia" w:ascii="仿宋_GB2312" w:eastAsia="仿宋_GB2312"/>
          <w:color w:val="000000" w:themeColor="text1"/>
          <w:kern w:val="0"/>
        </w:rPr>
        <w:t>）模式，推动轨道沿线主要站点立体开发。加快推进地下综合管廊等市政设施建设，编制实施地下综合管廊建设规划，提升地下管线安全水平和承载力。近期充分开发利用浅层、次浅层空间，远期逐步探索次深层、深层空间的利用。到2025年，中心城区人均地下空间建设面积争取达到8㎡。</w:t>
      </w:r>
    </w:p>
    <w:p>
      <w:pPr>
        <w:pStyle w:val="31"/>
        <w:autoSpaceDN/>
        <w:spacing w:line="580" w:lineRule="exact"/>
        <w:ind w:firstLine="640"/>
        <w:rPr>
          <w:rFonts w:ascii="仿宋_GB2312"/>
          <w:color w:val="000000" w:themeColor="text1"/>
          <w:kern w:val="0"/>
        </w:rPr>
      </w:pPr>
    </w:p>
    <w:p>
      <w:pPr>
        <w:pStyle w:val="23"/>
        <w:adjustRightInd/>
        <w:snapToGrid/>
        <w:spacing w:line="580" w:lineRule="exact"/>
        <w:ind w:firstLine="641"/>
        <w:rPr>
          <w:b w:val="0"/>
          <w:color w:val="000000" w:themeColor="text1"/>
        </w:rPr>
      </w:pPr>
      <w:bookmarkStart w:id="559" w:name="_Toc28214"/>
      <w:bookmarkStart w:id="560" w:name="_Toc64542206"/>
      <w:bookmarkStart w:id="561" w:name="_Toc2963"/>
      <w:bookmarkStart w:id="562" w:name="_Toc58861177"/>
      <w:r>
        <w:rPr>
          <w:rFonts w:hint="eastAsia"/>
          <w:b w:val="0"/>
          <w:color w:val="000000" w:themeColor="text1"/>
        </w:rPr>
        <w:t>第三十章  提升城市现代化水平</w:t>
      </w:r>
      <w:bookmarkEnd w:id="559"/>
      <w:bookmarkEnd w:id="560"/>
      <w:bookmarkEnd w:id="561"/>
      <w:bookmarkEnd w:id="562"/>
    </w:p>
    <w:p>
      <w:pPr>
        <w:spacing w:line="580" w:lineRule="exact"/>
        <w:ind w:firstLine="640"/>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着眼于人民对美好生活的需要，开展城市赋能升级行动，以绣花功夫强化老城振兴，以恢弘手笔加大新城建设，着力提升城市精细化管理水平，高标准建成现代化城市。</w:t>
      </w: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563" w:name="_Toc15824"/>
      <w:bookmarkStart w:id="564" w:name="_Toc18187"/>
      <w:bookmarkStart w:id="565" w:name="_Toc58861178"/>
      <w:bookmarkStart w:id="566" w:name="_Toc64542207"/>
    </w:p>
    <w:p>
      <w:pPr>
        <w:pStyle w:val="74"/>
        <w:adjustRightInd/>
        <w:snapToGrid/>
        <w:spacing w:line="580" w:lineRule="exact"/>
        <w:rPr>
          <w:rFonts w:ascii="楷体_GB2312" w:eastAsia="楷体_GB2312"/>
          <w:color w:val="000000" w:themeColor="text1"/>
        </w:rPr>
      </w:pPr>
    </w:p>
    <w:p>
      <w:pPr>
        <w:pStyle w:val="74"/>
        <w:adjustRightInd/>
        <w:snapToGrid/>
        <w:spacing w:line="580" w:lineRule="exact"/>
        <w:rPr>
          <w:rFonts w:ascii="楷体_GB2312" w:eastAsia="楷体_GB2312"/>
          <w:color w:val="000000" w:themeColor="text1"/>
        </w:rPr>
      </w:pPr>
    </w:p>
    <w:p>
      <w:pPr>
        <w:pStyle w:val="74"/>
        <w:adjustRightInd/>
        <w:snapToGrid/>
        <w:spacing w:line="580" w:lineRule="exact"/>
        <w:rPr>
          <w:color w:val="000000" w:themeColor="text1"/>
        </w:rPr>
      </w:pPr>
      <w:r>
        <w:rPr>
          <w:rFonts w:hint="eastAsia" w:ascii="楷体_GB2312" w:eastAsia="楷体_GB2312"/>
          <w:color w:val="000000" w:themeColor="text1"/>
        </w:rPr>
        <w:t>第一节  提升城市功能品质</w:t>
      </w:r>
      <w:bookmarkEnd w:id="563"/>
      <w:bookmarkEnd w:id="564"/>
      <w:bookmarkEnd w:id="565"/>
      <w:bookmarkEnd w:id="566"/>
    </w:p>
    <w:p>
      <w:pPr>
        <w:spacing w:line="580" w:lineRule="exact"/>
        <w:ind w:firstLine="640"/>
        <w:rPr>
          <w:rFonts w:ascii="仿宋_GB2312" w:eastAsia="仿宋_GB2312"/>
          <w:color w:val="000000" w:themeColor="text1"/>
        </w:rPr>
      </w:pPr>
    </w:p>
    <w:p>
      <w:pPr>
        <w:spacing w:line="580" w:lineRule="exact"/>
        <w:ind w:firstLine="640"/>
        <w:rPr>
          <w:rFonts w:ascii="仿宋_GB2312" w:eastAsia="仿宋_GB2312"/>
          <w:color w:val="000000" w:themeColor="text1"/>
        </w:rPr>
      </w:pPr>
      <w:r>
        <w:rPr>
          <w:rFonts w:hint="eastAsia" w:ascii="仿宋_GB2312" w:eastAsia="仿宋_GB2312"/>
          <w:color w:val="000000" w:themeColor="text1"/>
        </w:rPr>
        <w:t>把全生命周期管理理念贯穿城市规划、建设、管理全过程各环节，深入实施城市功能品质提升行动，积极实施城市更新工程，建设公园城市、海绵城市、韧性城市，把公共安全建设纳入基础设施配套建设。根据城市空间、人口、产业布局，完善公共资源要素配置，加快“1+5+X”社区邻里中心建设，构建宜居、宜业的“15分钟”社区服务圈。优化城市生态网络，打出水系连通、城市绿道建设、公园系统提升组合拳，推动城市景观与自然景观完美融合，彰显“山水城相依、城景文交融”山水名城特色。全面推行城市设计和风貌管控，保护和延续历史文脉。盘活存量城镇低效产业用地，完善闲置土地使用权回收机制。以历史传承、工业遗产为特色促进文化再兴，重塑历史与现代交融对话的新空间。到2025年，累计完成1500个老旧小区改造，在中心城区实现社区邻里中心服务功能全覆盖。</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vAlign w:val="center"/>
          </w:tcPr>
          <w:p>
            <w:pPr>
              <w:pStyle w:val="52"/>
              <w:numPr>
                <w:ilvl w:val="0"/>
                <w:numId w:val="0"/>
              </w:numPr>
              <w:spacing w:after="0" w:line="360" w:lineRule="exact"/>
              <w:jc w:val="center"/>
              <w:rPr>
                <w:color w:val="000000" w:themeColor="text1"/>
              </w:rPr>
            </w:pPr>
            <w:r>
              <w:rPr>
                <w:rFonts w:hint="eastAsia" w:ascii="黑体" w:hAnsi="黑体" w:eastAsia="黑体" w:cs="黑体"/>
                <w:bCs/>
                <w:color w:val="000000" w:themeColor="text1"/>
                <w:sz w:val="28"/>
                <w:szCs w:val="28"/>
              </w:rPr>
              <w:t>专栏20：城市功能品质提升重点建设内容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pStyle w:val="50"/>
              <w:numPr>
                <w:ilvl w:val="0"/>
                <w:numId w:val="8"/>
              </w:numPr>
              <w:spacing w:line="360" w:lineRule="exact"/>
              <w:ind w:left="0" w:firstLineChars="0"/>
              <w:rPr>
                <w:rFonts w:ascii="仿宋_GB2312" w:eastAsia="仿宋_GB2312"/>
                <w:b/>
                <w:color w:val="000000" w:themeColor="text1"/>
                <w:kern w:val="0"/>
                <w:sz w:val="24"/>
                <w:szCs w:val="24"/>
              </w:rPr>
            </w:pPr>
            <w:r>
              <w:rPr>
                <w:rFonts w:hint="eastAsia" w:ascii="仿宋_GB2312" w:eastAsia="仿宋_GB2312"/>
                <w:b/>
                <w:color w:val="000000" w:themeColor="text1"/>
                <w:kern w:val="0"/>
                <w:sz w:val="24"/>
                <w:szCs w:val="24"/>
              </w:rPr>
              <w:t xml:space="preserve">    （一）公园城市建设行动</w:t>
            </w:r>
          </w:p>
          <w:p>
            <w:pPr>
              <w:pStyle w:val="50"/>
              <w:numPr>
                <w:ilvl w:val="0"/>
                <w:numId w:val="8"/>
              </w:numPr>
              <w:spacing w:line="360" w:lineRule="exact"/>
              <w:ind w:left="0" w:firstLineChars="0"/>
              <w:rPr>
                <w:rStyle w:val="35"/>
                <w:rFonts w:ascii="仿宋_GB2312" w:hAnsi="仿宋" w:eastAsia="仿宋_GB2312" w:cs="仿宋"/>
                <w:b w:val="0"/>
                <w:bCs w:val="0"/>
                <w:color w:val="000000" w:themeColor="text1"/>
                <w:kern w:val="0"/>
                <w:sz w:val="24"/>
              </w:rPr>
            </w:pPr>
            <w:r>
              <w:rPr>
                <w:rStyle w:val="35"/>
                <w:rFonts w:hint="eastAsia" w:ascii="仿宋_GB2312" w:hAnsi="仿宋" w:eastAsia="仿宋_GB2312" w:cs="仿宋"/>
                <w:b w:val="0"/>
                <w:bCs w:val="0"/>
                <w:color w:val="000000" w:themeColor="text1"/>
                <w:kern w:val="0"/>
                <w:sz w:val="24"/>
              </w:rPr>
              <w:t xml:space="preserve">    完善郊野生态公园、城市公园、社区公园以及邮票绿地四级城乡体系建设，重点打造梅岭近城区森林公园、富山湿地郊野公园，完善主要城市公园的整体布局，以重点城市公园为核心，带动城市公共绿地系统整体优化提升，增加社区公园和邮票绿地数量，到2025年，公园绿地和开敞空间5分钟覆盖率从56%提高到60%。</w:t>
            </w:r>
          </w:p>
          <w:p>
            <w:pPr>
              <w:pStyle w:val="50"/>
              <w:numPr>
                <w:ilvl w:val="0"/>
                <w:numId w:val="8"/>
              </w:numPr>
              <w:spacing w:line="360" w:lineRule="exact"/>
              <w:ind w:left="0" w:firstLineChars="0"/>
              <w:rPr>
                <w:rFonts w:ascii="仿宋_GB2312" w:eastAsia="仿宋_GB2312"/>
                <w:b/>
                <w:color w:val="000000" w:themeColor="text1"/>
                <w:kern w:val="0"/>
                <w:sz w:val="24"/>
                <w:szCs w:val="24"/>
              </w:rPr>
            </w:pPr>
            <w:r>
              <w:rPr>
                <w:rFonts w:hint="eastAsia" w:ascii="仿宋_GB2312" w:eastAsia="仿宋_GB2312"/>
                <w:b/>
                <w:color w:val="000000" w:themeColor="text1"/>
                <w:kern w:val="0"/>
                <w:sz w:val="24"/>
                <w:szCs w:val="24"/>
              </w:rPr>
              <w:t xml:space="preserve">    （二）海绵城市建设行动</w:t>
            </w:r>
          </w:p>
          <w:p>
            <w:pPr>
              <w:pStyle w:val="50"/>
              <w:numPr>
                <w:ilvl w:val="0"/>
                <w:numId w:val="8"/>
              </w:numPr>
              <w:spacing w:line="360" w:lineRule="exact"/>
              <w:ind w:left="0" w:firstLineChars="0"/>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围绕解决城市水安全、水环境、水生态、水资源、水文化等城市生态问题，以防涝、净水为重点，积极通过渗、滞、蓄、净、用、排等多种生态化技术，推进雨水利用、中水回用、分质供水，构建低影响雨水开发系统，统筹城市给排水、道路、园林绿地、地下综合管廊等建设。</w:t>
            </w:r>
          </w:p>
          <w:p>
            <w:pPr>
              <w:pStyle w:val="50"/>
              <w:spacing w:line="360" w:lineRule="exact"/>
              <w:ind w:firstLineChars="0"/>
              <w:rPr>
                <w:rFonts w:ascii="仿宋_GB2312" w:eastAsia="仿宋_GB2312"/>
                <w:b/>
                <w:color w:val="000000" w:themeColor="text1"/>
                <w:kern w:val="0"/>
                <w:sz w:val="24"/>
                <w:szCs w:val="24"/>
              </w:rPr>
            </w:pPr>
            <w:r>
              <w:rPr>
                <w:rFonts w:hint="eastAsia" w:ascii="仿宋_GB2312" w:eastAsia="仿宋_GB2312"/>
                <w:b/>
                <w:color w:val="000000" w:themeColor="text1"/>
                <w:kern w:val="0"/>
                <w:sz w:val="24"/>
                <w:szCs w:val="24"/>
              </w:rPr>
              <w:t>（三）韧性城市提升行动</w:t>
            </w:r>
          </w:p>
          <w:p>
            <w:pPr>
              <w:pStyle w:val="2"/>
              <w:spacing w:after="0" w:line="360" w:lineRule="exact"/>
              <w:ind w:firstLine="480" w:firstLineChars="200"/>
              <w:rPr>
                <w:rFonts w:ascii="仿宋_GB2312" w:hAnsi="仿宋" w:eastAsia="仿宋_GB2312" w:cs="仿宋"/>
                <w:color w:val="000000" w:themeColor="text1"/>
                <w:kern w:val="0"/>
                <w:sz w:val="24"/>
              </w:rPr>
            </w:pPr>
            <w:r>
              <w:rPr>
                <w:rFonts w:hint="eastAsia" w:ascii="仿宋_GB2312" w:eastAsia="仿宋_GB2312"/>
                <w:color w:val="000000" w:themeColor="text1"/>
                <w:kern w:val="0"/>
                <w:sz w:val="24"/>
              </w:rPr>
              <w:t>实施设施韧性提升工程，完善各类防灾减灾应急基础设施建设，增强交通物流、水电供应、通讯保障、网络安全、垃圾处理、医疗设备、生态屏障、环境修复等重点设施功能。实施经济社会韧性提升工程，加强应急物资保障、供应链产业链弹性和财政资金支撑能力建设。实施治理韧性提升工程，构建灵活高效城市治理框架。</w:t>
            </w:r>
          </w:p>
        </w:tc>
      </w:tr>
    </w:tbl>
    <w:p>
      <w:pPr>
        <w:pStyle w:val="74"/>
        <w:adjustRightInd/>
        <w:snapToGrid/>
        <w:spacing w:line="566" w:lineRule="exact"/>
        <w:rPr>
          <w:rFonts w:ascii="楷体_GB2312" w:eastAsia="楷体_GB2312"/>
          <w:color w:val="000000" w:themeColor="text1"/>
        </w:rPr>
      </w:pPr>
      <w:bookmarkStart w:id="567" w:name="_Toc58861179"/>
      <w:bookmarkStart w:id="568" w:name="_Toc16868"/>
      <w:bookmarkStart w:id="569" w:name="_Toc64542208"/>
      <w:bookmarkStart w:id="570" w:name="_Toc16172"/>
    </w:p>
    <w:p>
      <w:pPr>
        <w:pStyle w:val="74"/>
        <w:adjustRightInd/>
        <w:snapToGrid/>
        <w:spacing w:line="566" w:lineRule="exact"/>
        <w:rPr>
          <w:rFonts w:ascii="楷体_GB2312" w:eastAsia="楷体_GB2312"/>
          <w:color w:val="000000" w:themeColor="text1"/>
        </w:rPr>
      </w:pPr>
      <w:r>
        <w:rPr>
          <w:rFonts w:hint="eastAsia" w:ascii="楷体_GB2312" w:eastAsia="楷体_GB2312"/>
          <w:color w:val="000000" w:themeColor="text1"/>
        </w:rPr>
        <w:t>第二节  促进城区</w:t>
      </w:r>
      <w:bookmarkEnd w:id="567"/>
      <w:r>
        <w:rPr>
          <w:rFonts w:hint="eastAsia" w:ascii="楷体_GB2312" w:eastAsia="楷体_GB2312"/>
          <w:color w:val="000000" w:themeColor="text1"/>
        </w:rPr>
        <w:t>繁荣协同发展</w:t>
      </w:r>
      <w:bookmarkEnd w:id="568"/>
      <w:bookmarkEnd w:id="569"/>
      <w:bookmarkEnd w:id="570"/>
    </w:p>
    <w:p>
      <w:pPr>
        <w:spacing w:line="566" w:lineRule="exact"/>
        <w:ind w:firstLine="640"/>
      </w:pPr>
    </w:p>
    <w:p>
      <w:pPr>
        <w:spacing w:line="566" w:lineRule="exact"/>
        <w:ind w:firstLine="640"/>
        <w:rPr>
          <w:rFonts w:ascii="仿宋_GB2312" w:eastAsia="仿宋_GB2312"/>
          <w:color w:val="000000" w:themeColor="text1"/>
          <w:kern w:val="0"/>
        </w:rPr>
      </w:pPr>
      <w:r>
        <w:rPr>
          <w:rFonts w:hint="eastAsia" w:ascii="仿宋_GB2312" w:eastAsia="仿宋_GB2312"/>
          <w:bCs/>
          <w:kern w:val="0"/>
        </w:rPr>
        <w:t>发挥各区比较优势，强化特色发展，实现优势互补，实施老城区振兴计划，促进城区全面繁荣。</w:t>
      </w:r>
    </w:p>
    <w:p>
      <w:pPr>
        <w:spacing w:line="566" w:lineRule="exact"/>
        <w:ind w:firstLine="643"/>
        <w:rPr>
          <w:rFonts w:ascii="仿宋_GB2312" w:eastAsia="仿宋_GB2312"/>
          <w:color w:val="000000" w:themeColor="text1"/>
          <w:kern w:val="0"/>
        </w:rPr>
      </w:pPr>
      <w:r>
        <w:rPr>
          <w:rFonts w:hint="eastAsia" w:ascii="仿宋_GB2312" w:eastAsia="仿宋_GB2312"/>
          <w:b/>
          <w:color w:val="000000" w:themeColor="text1"/>
          <w:kern w:val="0"/>
        </w:rPr>
        <w:t>东湖区</w:t>
      </w:r>
      <w:r>
        <w:rPr>
          <w:rFonts w:hint="eastAsia" w:ascii="仿宋_GB2312" w:eastAsia="仿宋_GB2312"/>
          <w:color w:val="000000" w:themeColor="text1"/>
          <w:kern w:val="0"/>
        </w:rPr>
        <w:t>以城区品质改善、文化特色保护和商服配套设施完善为重点，加强四湖、佑民寺、滕王阁等历史文化资源周边整体环境的保护与重塑，提升赣江沿线滨江景观，打造现代时尚消费、数字生活体验的老城复兴典范区。</w:t>
      </w:r>
    </w:p>
    <w:p>
      <w:pPr>
        <w:spacing w:line="566" w:lineRule="exact"/>
        <w:ind w:firstLine="643"/>
        <w:rPr>
          <w:rFonts w:ascii="仿宋_GB2312" w:eastAsia="仿宋_GB2312"/>
          <w:color w:val="000000" w:themeColor="text1"/>
          <w:kern w:val="0"/>
        </w:rPr>
      </w:pPr>
      <w:r>
        <w:rPr>
          <w:rFonts w:hint="eastAsia" w:ascii="仿宋_GB2312" w:eastAsia="仿宋_GB2312"/>
          <w:b/>
          <w:color w:val="000000" w:themeColor="text1"/>
          <w:kern w:val="0"/>
        </w:rPr>
        <w:t>西湖区</w:t>
      </w:r>
      <w:r>
        <w:rPr>
          <w:rFonts w:hint="eastAsia" w:ascii="仿宋_GB2312" w:eastAsia="仿宋_GB2312"/>
          <w:color w:val="000000" w:themeColor="text1"/>
          <w:kern w:val="0"/>
        </w:rPr>
        <w:t>以完善居住、商业服务、公共服务配套和活化历史文化为重点，加快推动旧城中心片区、洪城商圈片区、朝阳商贸组</w:t>
      </w:r>
      <w:r>
        <w:rPr>
          <w:rFonts w:hint="eastAsia" w:ascii="仿宋_GB2312" w:eastAsia="仿宋_GB2312"/>
          <w:color w:val="000000" w:themeColor="text1"/>
          <w:spacing w:val="-6"/>
          <w:kern w:val="0"/>
        </w:rPr>
        <w:t>团和文化功能核心区建设，着力打造宜居、文化、生态的现代都市生活引领区。</w:t>
      </w:r>
    </w:p>
    <w:p>
      <w:pPr>
        <w:spacing w:line="566" w:lineRule="exact"/>
        <w:ind w:firstLine="643"/>
        <w:rPr>
          <w:rFonts w:ascii="仿宋_GB2312" w:eastAsia="仿宋_GB2312"/>
          <w:color w:val="000000" w:themeColor="text1"/>
          <w:szCs w:val="32"/>
        </w:rPr>
      </w:pPr>
      <w:r>
        <w:rPr>
          <w:rFonts w:hint="eastAsia" w:ascii="仿宋_GB2312" w:eastAsia="仿宋_GB2312"/>
          <w:b/>
          <w:color w:val="000000" w:themeColor="text1"/>
          <w:kern w:val="0"/>
        </w:rPr>
        <w:t>青云谱区</w:t>
      </w:r>
      <w:r>
        <w:rPr>
          <w:rFonts w:hint="eastAsia" w:ascii="仿宋_GB2312" w:eastAsia="仿宋_GB2312"/>
          <w:szCs w:val="32"/>
        </w:rPr>
        <w:t>以老工业文化、洪都中心公园、生态长廊为优势，以完善基础设施建设和产业转型为重点，加快推动城南副中心、洪都老厂区、江铃老厂区等城市功能片区建设，着力打造老工业区转型升级、城市有机更新、军民融合产业发展的样板区</w:t>
      </w:r>
      <w:r>
        <w:rPr>
          <w:rFonts w:hint="eastAsia" w:ascii="仿宋_GB2312" w:eastAsia="仿宋_GB2312"/>
          <w:color w:val="000000" w:themeColor="text1"/>
          <w:szCs w:val="32"/>
        </w:rPr>
        <w:t>。</w:t>
      </w:r>
    </w:p>
    <w:p>
      <w:pPr>
        <w:spacing w:line="566" w:lineRule="exact"/>
        <w:ind w:firstLine="643"/>
        <w:rPr>
          <w:rFonts w:ascii="仿宋_GB2312" w:eastAsia="仿宋_GB2312"/>
          <w:color w:val="000000" w:themeColor="text1"/>
          <w:kern w:val="0"/>
        </w:rPr>
      </w:pPr>
      <w:r>
        <w:rPr>
          <w:rFonts w:hint="eastAsia" w:ascii="仿宋_GB2312" w:eastAsia="仿宋_GB2312"/>
          <w:b/>
          <w:color w:val="000000" w:themeColor="text1"/>
          <w:kern w:val="0"/>
        </w:rPr>
        <w:t>青山湖区</w:t>
      </w:r>
      <w:r>
        <w:rPr>
          <w:rFonts w:hint="eastAsia" w:ascii="仿宋_GB2312" w:eastAsia="仿宋_GB2312"/>
          <w:color w:val="000000" w:themeColor="text1"/>
          <w:kern w:val="0"/>
        </w:rPr>
        <w:t>以改善城区功能品质、推动产业转型升级和生态环境修复为重点，保障建设用地储备，加快推动青山湖文化休闲区、城东片区中心和昌东工业组团等城市功能片区建设，着力打造现代产城融合新城。</w:t>
      </w:r>
    </w:p>
    <w:p>
      <w:pPr>
        <w:spacing w:line="580" w:lineRule="exact"/>
        <w:ind w:firstLine="618"/>
        <w:rPr>
          <w:rFonts w:ascii="仿宋_GB2312" w:eastAsia="仿宋_GB2312"/>
          <w:color w:val="000000" w:themeColor="text1"/>
          <w:spacing w:val="-6"/>
          <w:kern w:val="0"/>
        </w:rPr>
      </w:pPr>
      <w:r>
        <w:rPr>
          <w:rFonts w:hint="eastAsia" w:ascii="仿宋_GB2312" w:eastAsia="仿宋_GB2312"/>
          <w:b/>
          <w:color w:val="000000" w:themeColor="text1"/>
          <w:spacing w:val="-6"/>
          <w:kern w:val="0"/>
        </w:rPr>
        <w:t>新建区</w:t>
      </w:r>
      <w:r>
        <w:rPr>
          <w:rFonts w:hint="eastAsia" w:ascii="仿宋_GB2312" w:eastAsia="仿宋_GB2312"/>
          <w:color w:val="000000" w:themeColor="text1"/>
          <w:spacing w:val="-6"/>
          <w:kern w:val="0"/>
        </w:rPr>
        <w:t>包括新建片和湾里片。新建片提质老城区风貌，高标准建设新城区，全面推进</w:t>
      </w:r>
      <w:r>
        <w:rPr>
          <w:rFonts w:hint="eastAsia" w:ascii="仿宋_GB2312" w:hAnsi="黑体" w:eastAsia="仿宋_GB2312"/>
        </w:rPr>
        <w:t>工业强区、商贸旺区、农业特区、文旅大区、数字新区、生态立区等</w:t>
      </w:r>
      <w:r>
        <w:rPr>
          <w:rFonts w:hint="eastAsia" w:ascii="仿宋_GB2312" w:eastAsia="仿宋_GB2312"/>
          <w:color w:val="000000" w:themeColor="text1"/>
          <w:spacing w:val="-6"/>
          <w:kern w:val="0"/>
        </w:rPr>
        <w:t>“六区同创”，加快打造现代产业新城和实力繁荣和谐新区。湾里片重点发挥好山水、生态和文化资源优势，加强文旅创意康养融合，建设全国知名、世界有影响的城市中央公园和绿色发展标杆。</w:t>
      </w:r>
    </w:p>
    <w:p>
      <w:pPr>
        <w:spacing w:line="580" w:lineRule="exact"/>
        <w:ind w:firstLine="643"/>
        <w:rPr>
          <w:rFonts w:ascii="仿宋_GB2312" w:eastAsia="仿宋_GB2312"/>
          <w:bCs/>
          <w:color w:val="000000" w:themeColor="text1"/>
          <w:kern w:val="0"/>
        </w:rPr>
      </w:pPr>
      <w:r>
        <w:rPr>
          <w:rFonts w:hint="eastAsia" w:ascii="仿宋_GB2312" w:eastAsia="仿宋_GB2312"/>
          <w:b/>
          <w:color w:val="000000" w:themeColor="text1"/>
          <w:kern w:val="0"/>
        </w:rPr>
        <w:t>红谷滩区</w:t>
      </w:r>
      <w:r>
        <w:rPr>
          <w:rFonts w:hint="eastAsia" w:ascii="仿宋_GB2312" w:eastAsia="仿宋_GB2312"/>
          <w:bCs/>
          <w:color w:val="000000" w:themeColor="text1"/>
          <w:kern w:val="0"/>
        </w:rPr>
        <w:t>重点提升城市综合服务中心能级，提供国际水准的公共服务，打造引领全省、领军中部的金融产业和总部经济集聚区，建成南昌现代化都市典范、</w:t>
      </w:r>
      <w:r>
        <w:rPr>
          <w:rFonts w:hint="eastAsia" w:ascii="仿宋_GB2312" w:eastAsia="仿宋_GB2312"/>
          <w:color w:val="000000" w:themeColor="text1"/>
          <w:kern w:val="0"/>
        </w:rPr>
        <w:t>大都市滨水</w:t>
      </w:r>
      <w:r>
        <w:rPr>
          <w:rFonts w:hint="eastAsia" w:ascii="仿宋_GB2312" w:eastAsia="仿宋_GB2312"/>
          <w:bCs/>
          <w:color w:val="000000" w:themeColor="text1"/>
          <w:kern w:val="0"/>
        </w:rPr>
        <w:t>会客厅、中部一流的中央商务区和</w:t>
      </w:r>
      <w:r>
        <w:rPr>
          <w:rFonts w:hint="eastAsia" w:ascii="仿宋_GB2312" w:eastAsia="仿宋_GB2312"/>
          <w:color w:val="000000" w:themeColor="text1"/>
          <w:kern w:val="0"/>
        </w:rPr>
        <w:t>未来城市样板区。</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1832"/>
        <w:gridCol w:w="5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gridSpan w:val="3"/>
            <w:tcBorders>
              <w:top w:val="single" w:color="auto" w:sz="4" w:space="0"/>
              <w:left w:val="single" w:color="auto" w:sz="4" w:space="0"/>
              <w:bottom w:val="single" w:color="auto" w:sz="4" w:space="0"/>
              <w:right w:val="single" w:color="auto" w:sz="4" w:space="0"/>
            </w:tcBorders>
            <w:vAlign w:val="center"/>
          </w:tcPr>
          <w:p>
            <w:pPr>
              <w:pStyle w:val="52"/>
              <w:numPr>
                <w:ilvl w:val="0"/>
                <w:numId w:val="0"/>
              </w:numPr>
              <w:spacing w:after="0" w:line="360" w:lineRule="exact"/>
              <w:jc w:val="center"/>
              <w:rPr>
                <w:rFonts w:ascii="仿宋_GB2312" w:hAnsi="仿宋_GB2312" w:eastAsia="仿宋_GB2312" w:cs="仿宋_GB2312"/>
                <w:color w:val="000000" w:themeColor="text1"/>
                <w:kern w:val="0"/>
                <w:szCs w:val="32"/>
              </w:rPr>
            </w:pPr>
            <w:r>
              <w:rPr>
                <w:rFonts w:hint="eastAsia" w:ascii="黑体" w:hAnsi="黑体" w:eastAsia="黑体" w:cs="黑体"/>
                <w:bCs/>
                <w:color w:val="000000" w:themeColor="text1"/>
                <w:sz w:val="28"/>
                <w:szCs w:val="28"/>
              </w:rPr>
              <w:t>专栏21：重点功能区块发展导向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jc w:val="center"/>
        </w:trPr>
        <w:tc>
          <w:tcPr>
            <w:tcW w:w="1632" w:type="dxa"/>
            <w:vMerge w:val="restart"/>
            <w:tcBorders>
              <w:top w:val="single" w:color="auto" w:sz="4" w:space="0"/>
              <w:left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仿宋_GB2312"/>
                <w:b/>
                <w:color w:val="000000" w:themeColor="text1"/>
                <w:kern w:val="0"/>
                <w:sz w:val="24"/>
              </w:rPr>
            </w:pPr>
            <w:r>
              <w:rPr>
                <w:rFonts w:hint="eastAsia" w:ascii="仿宋_GB2312" w:hAnsi="Times New Roman" w:eastAsia="仿宋_GB2312"/>
                <w:b/>
                <w:color w:val="000000" w:themeColor="text1"/>
                <w:kern w:val="0"/>
                <w:sz w:val="24"/>
              </w:rPr>
              <w:t>东湖区</w:t>
            </w:r>
          </w:p>
          <w:p>
            <w:pPr>
              <w:pStyle w:val="2"/>
              <w:spacing w:after="0" w:line="320" w:lineRule="exact"/>
              <w:ind w:firstLine="0" w:firstLineChars="0"/>
              <w:jc w:val="center"/>
              <w:rPr>
                <w:rFonts w:ascii="仿宋_GB2312" w:hAnsi="Times New Roman" w:eastAsia="仿宋_GB2312" w:cs="Times New Roman"/>
                <w:b/>
                <w:color w:val="000000" w:themeColor="text1"/>
                <w:kern w:val="0"/>
                <w:sz w:val="24"/>
              </w:rPr>
            </w:pPr>
            <w:r>
              <w:rPr>
                <w:rFonts w:hint="eastAsia" w:ascii="仿宋_GB2312" w:hAnsi="Times New Roman" w:eastAsia="仿宋_GB2312"/>
                <w:b/>
                <w:color w:val="000000" w:themeColor="text1"/>
                <w:kern w:val="0"/>
                <w:sz w:val="24"/>
              </w:rPr>
              <w:t>西湖区</w:t>
            </w:r>
          </w:p>
        </w:tc>
        <w:tc>
          <w:tcPr>
            <w:tcW w:w="1832" w:type="dxa"/>
            <w:vMerge w:val="restart"/>
            <w:tcBorders>
              <w:top w:val="single" w:color="auto" w:sz="4" w:space="0"/>
              <w:left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旧城中心片区</w:t>
            </w:r>
          </w:p>
        </w:tc>
        <w:tc>
          <w:tcPr>
            <w:tcW w:w="5607" w:type="dxa"/>
            <w:tcBorders>
              <w:top w:val="single" w:color="auto" w:sz="4" w:space="0"/>
              <w:left w:val="single" w:color="auto" w:sz="4" w:space="0"/>
              <w:bottom w:val="single" w:color="auto" w:sz="4" w:space="0"/>
              <w:right w:val="single" w:color="auto" w:sz="4" w:space="0"/>
            </w:tcBorders>
            <w:vAlign w:val="center"/>
          </w:tcPr>
          <w:p>
            <w:pPr>
              <w:pStyle w:val="2"/>
              <w:spacing w:after="0" w:line="280" w:lineRule="exact"/>
              <w:ind w:firstLine="0" w:firstLineChars="0"/>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东湖区</w:t>
            </w:r>
            <w:r>
              <w:rPr>
                <w:rFonts w:ascii="仿宋_GB2312" w:hAnsi="Times New Roman" w:eastAsia="仿宋_GB2312"/>
                <w:color w:val="000000" w:themeColor="text1"/>
                <w:kern w:val="0"/>
                <w:sz w:val="24"/>
              </w:rPr>
              <w:t>重点提升中山路</w:t>
            </w:r>
            <w:r>
              <w:rPr>
                <w:rFonts w:hint="eastAsia" w:ascii="仿宋_GB2312" w:hAnsi="Times New Roman" w:eastAsia="仿宋_GB2312"/>
                <w:color w:val="000000" w:themeColor="text1"/>
                <w:kern w:val="0"/>
                <w:sz w:val="24"/>
              </w:rPr>
              <w:t>-</w:t>
            </w:r>
            <w:r>
              <w:rPr>
                <w:rFonts w:ascii="仿宋_GB2312" w:hAnsi="Times New Roman" w:eastAsia="仿宋_GB2312"/>
                <w:color w:val="000000" w:themeColor="text1"/>
                <w:kern w:val="0"/>
                <w:sz w:val="24"/>
              </w:rPr>
              <w:t>北京西路、八一大道</w:t>
            </w:r>
            <w:r>
              <w:rPr>
                <w:rFonts w:hint="eastAsia" w:ascii="仿宋_GB2312" w:hAnsi="Times New Roman" w:eastAsia="仿宋_GB2312"/>
                <w:color w:val="000000" w:themeColor="text1"/>
                <w:kern w:val="0"/>
                <w:sz w:val="24"/>
              </w:rPr>
              <w:t>-</w:t>
            </w:r>
            <w:r>
              <w:rPr>
                <w:rFonts w:ascii="仿宋_GB2312" w:hAnsi="Times New Roman" w:eastAsia="仿宋_GB2312"/>
                <w:color w:val="000000" w:themeColor="text1"/>
                <w:kern w:val="0"/>
                <w:sz w:val="24"/>
              </w:rPr>
              <w:t>青山路、阳明路三大轴线，着力挖掘核心区历史文化内涵，提升城市品质，引导区域功能品质提升和设施配套完善，促进风貌特色传承与创新有序发展。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jc w:val="center"/>
        </w:trPr>
        <w:tc>
          <w:tcPr>
            <w:tcW w:w="1632" w:type="dxa"/>
            <w:vMerge w:val="continue"/>
            <w:tcBorders>
              <w:left w:val="single" w:color="auto" w:sz="4" w:space="0"/>
              <w:right w:val="single" w:color="auto" w:sz="4" w:space="0"/>
            </w:tcBorders>
            <w:vAlign w:val="center"/>
          </w:tcPr>
          <w:p>
            <w:pPr>
              <w:pStyle w:val="2"/>
              <w:spacing w:after="0" w:line="320" w:lineRule="exact"/>
              <w:ind w:firstLine="0" w:firstLineChars="0"/>
            </w:pPr>
          </w:p>
        </w:tc>
        <w:tc>
          <w:tcPr>
            <w:tcW w:w="1832" w:type="dxa"/>
            <w:vMerge w:val="continue"/>
            <w:tcBorders>
              <w:left w:val="single" w:color="auto" w:sz="4" w:space="0"/>
              <w:bottom w:val="single" w:color="auto" w:sz="4" w:space="0"/>
              <w:right w:val="single" w:color="auto" w:sz="4" w:space="0"/>
            </w:tcBorders>
            <w:vAlign w:val="center"/>
          </w:tcPr>
          <w:p>
            <w:pPr>
              <w:pStyle w:val="2"/>
              <w:spacing w:after="0" w:line="320" w:lineRule="exact"/>
              <w:ind w:firstLine="0" w:firstLineChars="0"/>
            </w:pPr>
          </w:p>
        </w:tc>
        <w:tc>
          <w:tcPr>
            <w:tcW w:w="5607" w:type="dxa"/>
            <w:tcBorders>
              <w:top w:val="single" w:color="auto" w:sz="4" w:space="0"/>
              <w:left w:val="single" w:color="auto" w:sz="4" w:space="0"/>
              <w:bottom w:val="single" w:color="auto" w:sz="4" w:space="0"/>
              <w:right w:val="single" w:color="auto" w:sz="4" w:space="0"/>
            </w:tcBorders>
            <w:vAlign w:val="center"/>
          </w:tcPr>
          <w:p>
            <w:pPr>
              <w:pStyle w:val="2"/>
              <w:spacing w:after="0" w:line="280" w:lineRule="exact"/>
              <w:ind w:firstLine="0" w:firstLineChars="0"/>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西湖区重点以八一大道、中山路为核心，完善居住功能配套，提升人居环境品质和商业服务功能，促进功能结构调整、空间品质改善、交通体系优化和辐射能级提升，打造形成全市的综合服务中心、商业贸易中心和文化娱乐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632" w:type="dxa"/>
            <w:vMerge w:val="continue"/>
            <w:tcBorders>
              <w:left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仿宋_GB2312" w:cs="Times New Roman"/>
                <w:b/>
                <w:color w:val="000000" w:themeColor="text1"/>
                <w:kern w:val="0"/>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洪城商圈片区</w:t>
            </w:r>
          </w:p>
        </w:tc>
        <w:tc>
          <w:tcPr>
            <w:tcW w:w="5607" w:type="dxa"/>
            <w:tcBorders>
              <w:top w:val="single" w:color="auto" w:sz="4" w:space="0"/>
              <w:left w:val="single" w:color="auto" w:sz="4" w:space="0"/>
              <w:bottom w:val="single" w:color="auto" w:sz="4" w:space="0"/>
              <w:right w:val="single" w:color="auto" w:sz="4" w:space="0"/>
            </w:tcBorders>
            <w:vAlign w:val="center"/>
          </w:tcPr>
          <w:p>
            <w:pPr>
              <w:pStyle w:val="2"/>
              <w:spacing w:after="0" w:line="280" w:lineRule="exact"/>
              <w:ind w:firstLine="0" w:firstLineChars="0"/>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重点对存量土地进行再次开发与整理，推进旧商业功能的升级与转型。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632" w:type="dxa"/>
            <w:vMerge w:val="continue"/>
            <w:tcBorders>
              <w:left w:val="single" w:color="auto" w:sz="4" w:space="0"/>
              <w:bottom w:val="single" w:color="auto" w:sz="4" w:space="0"/>
              <w:right w:val="single" w:color="auto" w:sz="4" w:space="0"/>
            </w:tcBorders>
            <w:vAlign w:val="center"/>
          </w:tcPr>
          <w:p>
            <w:pPr>
              <w:spacing w:line="320" w:lineRule="exact"/>
              <w:ind w:firstLine="0" w:firstLineChars="0"/>
              <w:jc w:val="center"/>
              <w:rPr>
                <w:rFonts w:ascii="仿宋_GB2312" w:hAnsi="Times New Roman" w:eastAsia="仿宋_GB2312" w:cs="Times New Roman"/>
                <w:b/>
                <w:color w:val="000000" w:themeColor="text1"/>
                <w:kern w:val="0"/>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南昌站片区</w:t>
            </w:r>
          </w:p>
        </w:tc>
        <w:tc>
          <w:tcPr>
            <w:tcW w:w="5607" w:type="dxa"/>
            <w:tcBorders>
              <w:top w:val="single" w:color="auto" w:sz="4" w:space="0"/>
              <w:left w:val="single" w:color="auto" w:sz="4" w:space="0"/>
              <w:bottom w:val="single" w:color="auto" w:sz="4" w:space="0"/>
              <w:right w:val="single" w:color="auto" w:sz="4" w:space="0"/>
            </w:tcBorders>
            <w:vAlign w:val="center"/>
          </w:tcPr>
          <w:p>
            <w:pPr>
              <w:pStyle w:val="2"/>
              <w:spacing w:after="0" w:line="280" w:lineRule="exact"/>
              <w:ind w:firstLine="0" w:firstLineChars="0"/>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合理优化南昌站周边地区空间组织，改善地区空间质量环境。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jc w:val="center"/>
        </w:trPr>
        <w:tc>
          <w:tcPr>
            <w:tcW w:w="1632" w:type="dxa"/>
            <w:vMerge w:val="restart"/>
            <w:tcBorders>
              <w:top w:val="single" w:color="auto" w:sz="4" w:space="0"/>
              <w:left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仿宋_GB2312"/>
                <w:b/>
                <w:color w:val="000000" w:themeColor="text1"/>
                <w:kern w:val="0"/>
                <w:sz w:val="24"/>
              </w:rPr>
            </w:pPr>
          </w:p>
          <w:p>
            <w:pPr>
              <w:pStyle w:val="2"/>
              <w:spacing w:after="0" w:line="320" w:lineRule="exact"/>
              <w:ind w:firstLine="0" w:firstLineChars="0"/>
              <w:jc w:val="center"/>
              <w:rPr>
                <w:rFonts w:ascii="仿宋_GB2312" w:hAnsi="Times New Roman" w:eastAsia="仿宋_GB2312"/>
                <w:b/>
                <w:color w:val="000000" w:themeColor="text1"/>
                <w:kern w:val="0"/>
                <w:sz w:val="24"/>
              </w:rPr>
            </w:pPr>
            <w:r>
              <w:rPr>
                <w:rFonts w:hint="eastAsia" w:ascii="仿宋_GB2312" w:hAnsi="Times New Roman" w:eastAsia="仿宋_GB2312"/>
                <w:b/>
                <w:color w:val="000000" w:themeColor="text1"/>
                <w:kern w:val="0"/>
                <w:sz w:val="24"/>
              </w:rPr>
              <w:t>青云谱区</w:t>
            </w:r>
          </w:p>
        </w:tc>
        <w:tc>
          <w:tcPr>
            <w:tcW w:w="1832" w:type="dxa"/>
            <w:tcBorders>
              <w:top w:val="single" w:color="auto" w:sz="4" w:space="0"/>
              <w:left w:val="single" w:color="auto" w:sz="4" w:space="0"/>
              <w:bottom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城南片区</w:t>
            </w:r>
          </w:p>
        </w:tc>
        <w:tc>
          <w:tcPr>
            <w:tcW w:w="5607" w:type="dxa"/>
            <w:tcBorders>
              <w:top w:val="single" w:color="auto" w:sz="4" w:space="0"/>
              <w:left w:val="single" w:color="auto" w:sz="4" w:space="0"/>
              <w:bottom w:val="single" w:color="auto" w:sz="4" w:space="0"/>
              <w:right w:val="single" w:color="auto" w:sz="4" w:space="0"/>
            </w:tcBorders>
            <w:vAlign w:val="center"/>
          </w:tcPr>
          <w:p>
            <w:pPr>
              <w:pStyle w:val="2"/>
              <w:spacing w:after="0" w:line="300" w:lineRule="exact"/>
              <w:ind w:firstLine="0" w:firstLineChars="0"/>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重点腾退低效存量用地。提升巩固以王府井为中心的商务商贸圈繁荣区，引进洪都商业综合体、广州路商业综合体、京山商业综合体。加快推进广州路-象湖隧道工程、上海路南延工程、九州高架东延工程，结合轨道交通线网规划，研究TOD综合开发模式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jc w:val="center"/>
        </w:trPr>
        <w:tc>
          <w:tcPr>
            <w:tcW w:w="1632" w:type="dxa"/>
            <w:vMerge w:val="continue"/>
            <w:tcBorders>
              <w:left w:val="single" w:color="auto" w:sz="4" w:space="0"/>
              <w:right w:val="single" w:color="auto" w:sz="4" w:space="0"/>
            </w:tcBorders>
            <w:vAlign w:val="center"/>
          </w:tcPr>
          <w:p>
            <w:pPr>
              <w:spacing w:line="320" w:lineRule="exact"/>
              <w:ind w:firstLine="0" w:firstLineChars="0"/>
              <w:jc w:val="center"/>
              <w:rPr>
                <w:rFonts w:ascii="仿宋_GB2312" w:hAnsi="Times New Roman" w:eastAsia="仿宋_GB2312" w:cs="Times New Roman"/>
                <w:b/>
                <w:color w:val="000000" w:themeColor="text1"/>
                <w:kern w:val="0"/>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洪都老厂区</w:t>
            </w:r>
          </w:p>
        </w:tc>
        <w:tc>
          <w:tcPr>
            <w:tcW w:w="5607" w:type="dxa"/>
            <w:tcBorders>
              <w:top w:val="single" w:color="auto" w:sz="4" w:space="0"/>
              <w:left w:val="single" w:color="auto" w:sz="4" w:space="0"/>
              <w:bottom w:val="single" w:color="auto" w:sz="4" w:space="0"/>
              <w:right w:val="single" w:color="auto" w:sz="4" w:space="0"/>
            </w:tcBorders>
            <w:vAlign w:val="center"/>
          </w:tcPr>
          <w:p>
            <w:pPr>
              <w:pStyle w:val="2"/>
              <w:spacing w:after="0" w:line="300" w:lineRule="exact"/>
              <w:ind w:firstLine="0" w:firstLineChars="0"/>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提升洪都老工业区搬迁改造效能，打造“军民融合样板区、工业设计创意园、工业文化体验区”，加快完善基础设施建设，提升公共服务供给，加强工业遗产的保护和再利用，推动产业发展及城市重塑，大力发展文化创意产业，建设洪都新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jc w:val="center"/>
        </w:trPr>
        <w:tc>
          <w:tcPr>
            <w:tcW w:w="1632" w:type="dxa"/>
            <w:vMerge w:val="continue"/>
            <w:tcBorders>
              <w:left w:val="single" w:color="auto" w:sz="4" w:space="0"/>
              <w:bottom w:val="single" w:color="auto" w:sz="4" w:space="0"/>
              <w:right w:val="single" w:color="auto" w:sz="4" w:space="0"/>
            </w:tcBorders>
            <w:vAlign w:val="center"/>
          </w:tcPr>
          <w:p>
            <w:pPr>
              <w:spacing w:line="320" w:lineRule="exact"/>
              <w:ind w:firstLine="0" w:firstLineChars="0"/>
              <w:jc w:val="center"/>
              <w:rPr>
                <w:rFonts w:ascii="仿宋_GB2312" w:hAnsi="Times New Roman" w:eastAsia="仿宋_GB2312"/>
                <w:b/>
                <w:color w:val="000000" w:themeColor="text1"/>
                <w:kern w:val="0"/>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江铃老厂区</w:t>
            </w:r>
          </w:p>
        </w:tc>
        <w:tc>
          <w:tcPr>
            <w:tcW w:w="5607" w:type="dxa"/>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采用“综合开发+产业引擎+轨道交通”模式，按照“北科创+中商业+南文创”布局，利用数字经济赋能、高校加持，重点建设商务办公区、专业技术服务区、科创街区和文化创意基地等，打造老工业区转型升级新样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1632" w:type="dxa"/>
            <w:vMerge w:val="restart"/>
            <w:tcBorders>
              <w:top w:val="single" w:color="auto" w:sz="4" w:space="0"/>
              <w:left w:val="single" w:color="auto" w:sz="4" w:space="0"/>
              <w:bottom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仿宋_GB2312"/>
                <w:b/>
                <w:color w:val="000000" w:themeColor="text1"/>
                <w:kern w:val="0"/>
                <w:sz w:val="24"/>
              </w:rPr>
            </w:pPr>
            <w:r>
              <w:rPr>
                <w:rFonts w:hint="eastAsia" w:ascii="仿宋_GB2312" w:hAnsi="Times New Roman" w:eastAsia="仿宋_GB2312"/>
                <w:b/>
                <w:color w:val="000000" w:themeColor="text1"/>
                <w:kern w:val="0"/>
                <w:sz w:val="24"/>
              </w:rPr>
              <w:t>青山湖区</w:t>
            </w:r>
          </w:p>
        </w:tc>
        <w:tc>
          <w:tcPr>
            <w:tcW w:w="1832" w:type="dxa"/>
            <w:tcBorders>
              <w:top w:val="single" w:color="auto" w:sz="4" w:space="0"/>
              <w:left w:val="single" w:color="auto" w:sz="4" w:space="0"/>
              <w:bottom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城东片区</w:t>
            </w:r>
          </w:p>
        </w:tc>
        <w:tc>
          <w:tcPr>
            <w:tcW w:w="5607" w:type="dxa"/>
            <w:tcBorders>
              <w:top w:val="single" w:color="auto" w:sz="4" w:space="0"/>
              <w:left w:val="single" w:color="auto" w:sz="4" w:space="0"/>
              <w:bottom w:val="single" w:color="auto" w:sz="4" w:space="0"/>
              <w:right w:val="single" w:color="auto" w:sz="4" w:space="0"/>
            </w:tcBorders>
            <w:vAlign w:val="center"/>
          </w:tcPr>
          <w:p>
            <w:pPr>
              <w:pStyle w:val="2"/>
              <w:spacing w:after="0" w:line="300" w:lineRule="exact"/>
              <w:ind w:firstLine="0" w:firstLineChars="0"/>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加快改善居住、商服和配套服务功能，结合轨道交通2、3、4号线建设，加强地铁站点周边500m范围内用地更新，加快洪都大道沿线老旧小区环境提升，推动</w:t>
            </w:r>
            <w:r>
              <w:rPr>
                <w:rFonts w:ascii="仿宋_GB2312" w:hAnsi="Times New Roman" w:eastAsia="仿宋_GB2312"/>
                <w:color w:val="000000" w:themeColor="text1"/>
                <w:kern w:val="0"/>
                <w:sz w:val="24"/>
              </w:rPr>
              <w:t>“</w:t>
            </w:r>
            <w:r>
              <w:rPr>
                <w:rFonts w:hint="eastAsia" w:ascii="仿宋_GB2312" w:hAnsi="Times New Roman" w:eastAsia="仿宋_GB2312"/>
                <w:color w:val="000000" w:themeColor="text1"/>
                <w:kern w:val="0"/>
                <w:sz w:val="24"/>
              </w:rPr>
              <w:t>南钢</w:t>
            </w:r>
            <w:r>
              <w:rPr>
                <w:rFonts w:ascii="仿宋_GB2312" w:hAnsi="Times New Roman" w:eastAsia="仿宋_GB2312"/>
                <w:color w:val="000000" w:themeColor="text1"/>
                <w:kern w:val="0"/>
                <w:sz w:val="24"/>
              </w:rPr>
              <w:t>”</w:t>
            </w:r>
            <w:r>
              <w:rPr>
                <w:rFonts w:hint="eastAsia" w:ascii="仿宋_GB2312" w:hAnsi="Times New Roman" w:eastAsia="仿宋_GB2312"/>
                <w:color w:val="000000" w:themeColor="text1"/>
                <w:kern w:val="0"/>
                <w:sz w:val="24"/>
              </w:rPr>
              <w:t>旧厂片区产业转型升级。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1632"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ind w:firstLine="0" w:firstLineChars="0"/>
              <w:jc w:val="center"/>
              <w:rPr>
                <w:rFonts w:ascii="仿宋_GB2312" w:hAnsi="Times New Roman" w:eastAsia="仿宋_GB2312" w:cs="Times New Roman"/>
                <w:b/>
                <w:color w:val="000000" w:themeColor="text1"/>
                <w:kern w:val="0"/>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临江商务区</w:t>
            </w:r>
          </w:p>
        </w:tc>
        <w:tc>
          <w:tcPr>
            <w:tcW w:w="5607" w:type="dxa"/>
            <w:tcBorders>
              <w:top w:val="single" w:color="auto" w:sz="4" w:space="0"/>
              <w:left w:val="single" w:color="auto" w:sz="4" w:space="0"/>
              <w:bottom w:val="single" w:color="auto" w:sz="4" w:space="0"/>
              <w:right w:val="single" w:color="auto" w:sz="4" w:space="0"/>
            </w:tcBorders>
            <w:vAlign w:val="center"/>
          </w:tcPr>
          <w:p>
            <w:pPr>
              <w:pStyle w:val="2"/>
              <w:spacing w:after="0" w:line="300" w:lineRule="exact"/>
              <w:ind w:firstLine="0" w:firstLineChars="0"/>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坚持土地集约利用，健全土地运作政策，加快“退二进三”，推动产业转型升级，实施民营科技园开发改造工程，挖掘老工业遗址，着力打造江纺工业遗址历史文化街区。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1632"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ind w:firstLine="0" w:firstLineChars="0"/>
              <w:jc w:val="center"/>
              <w:rPr>
                <w:rFonts w:ascii="仿宋_GB2312" w:hAnsi="Times New Roman" w:eastAsia="仿宋_GB2312" w:cs="Times New Roman"/>
                <w:b/>
                <w:color w:val="000000" w:themeColor="text1"/>
                <w:kern w:val="0"/>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昌东工业园</w:t>
            </w:r>
          </w:p>
        </w:tc>
        <w:tc>
          <w:tcPr>
            <w:tcW w:w="5607" w:type="dxa"/>
            <w:tcBorders>
              <w:top w:val="single" w:color="auto" w:sz="4" w:space="0"/>
              <w:left w:val="single" w:color="auto" w:sz="4" w:space="0"/>
              <w:bottom w:val="single" w:color="auto" w:sz="4" w:space="0"/>
              <w:right w:val="single" w:color="auto" w:sz="4" w:space="0"/>
            </w:tcBorders>
            <w:vAlign w:val="center"/>
          </w:tcPr>
          <w:p>
            <w:pPr>
              <w:pStyle w:val="2"/>
              <w:spacing w:after="0" w:line="300" w:lineRule="exact"/>
              <w:ind w:firstLine="0" w:firstLineChars="0"/>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重点推进昌东工业园区产业升级，腾退低效用地，大力发展服装设计、创意文化产业，着力打造现代文化产业园区。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6" w:hRule="atLeast"/>
          <w:jc w:val="center"/>
        </w:trPr>
        <w:tc>
          <w:tcPr>
            <w:tcW w:w="1632" w:type="dxa"/>
            <w:vMerge w:val="restart"/>
            <w:tcBorders>
              <w:top w:val="single" w:color="auto" w:sz="4" w:space="0"/>
              <w:left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仿宋_GB2312" w:cs="Times New Roman"/>
                <w:b/>
                <w:color w:val="000000" w:themeColor="text1"/>
                <w:kern w:val="0"/>
                <w:sz w:val="24"/>
              </w:rPr>
            </w:pPr>
            <w:r>
              <w:rPr>
                <w:rFonts w:hint="eastAsia" w:ascii="仿宋_GB2312" w:hAnsi="Times New Roman" w:eastAsia="仿宋_GB2312"/>
                <w:b/>
                <w:color w:val="000000" w:themeColor="text1"/>
                <w:kern w:val="0"/>
                <w:sz w:val="24"/>
              </w:rPr>
              <w:t>新建区</w:t>
            </w:r>
          </w:p>
        </w:tc>
        <w:tc>
          <w:tcPr>
            <w:tcW w:w="1832" w:type="dxa"/>
            <w:tcBorders>
              <w:top w:val="single" w:color="auto" w:sz="4" w:space="0"/>
              <w:left w:val="single" w:color="auto" w:sz="4" w:space="0"/>
              <w:bottom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宋体"/>
                <w:color w:val="000000" w:themeColor="text1"/>
                <w:kern w:val="0"/>
                <w:sz w:val="24"/>
              </w:rPr>
            </w:pPr>
            <w:r>
              <w:rPr>
                <w:rFonts w:hint="eastAsia" w:ascii="仿宋_GB2312" w:hAnsi="Times New Roman" w:eastAsia="仿宋_GB2312"/>
                <w:color w:val="000000" w:themeColor="text1"/>
                <w:kern w:val="0"/>
                <w:sz w:val="24"/>
              </w:rPr>
              <w:t>长堎片区</w:t>
            </w:r>
          </w:p>
        </w:tc>
        <w:tc>
          <w:tcPr>
            <w:tcW w:w="5607" w:type="dxa"/>
            <w:tcBorders>
              <w:top w:val="single" w:color="auto" w:sz="4" w:space="0"/>
              <w:left w:val="single" w:color="auto" w:sz="4" w:space="0"/>
              <w:bottom w:val="single" w:color="auto" w:sz="4" w:space="0"/>
              <w:right w:val="single" w:color="auto" w:sz="4" w:space="0"/>
            </w:tcBorders>
            <w:vAlign w:val="center"/>
          </w:tcPr>
          <w:p>
            <w:pPr>
              <w:pStyle w:val="2"/>
              <w:spacing w:after="0" w:line="300" w:lineRule="exact"/>
              <w:ind w:firstLine="0" w:firstLineChars="0"/>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全面提升城市风貌，优化城区交通，大力发展现代服务业，提高城市公共服务水平。加快建成欣悦湖片区“三馆一中心”、体育公园、学校、医院等建设，推进地铁及配套基础设施建设，补齐老城区品质功能短板，打造我市主城区重要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jc w:val="center"/>
        </w:trPr>
        <w:tc>
          <w:tcPr>
            <w:tcW w:w="1632" w:type="dxa"/>
            <w:vMerge w:val="continue"/>
            <w:tcBorders>
              <w:left w:val="single" w:color="auto" w:sz="4" w:space="0"/>
              <w:bottom w:val="single" w:color="auto" w:sz="4" w:space="0"/>
              <w:right w:val="single" w:color="auto" w:sz="4" w:space="0"/>
            </w:tcBorders>
            <w:vAlign w:val="center"/>
          </w:tcPr>
          <w:p>
            <w:pPr>
              <w:spacing w:line="320" w:lineRule="exact"/>
              <w:ind w:firstLine="0" w:firstLineChars="0"/>
              <w:jc w:val="center"/>
              <w:rPr>
                <w:rFonts w:ascii="仿宋_GB2312" w:hAnsi="Times New Roman" w:eastAsia="仿宋_GB2312" w:cs="Times New Roman"/>
                <w:b/>
                <w:color w:val="000000" w:themeColor="text1"/>
                <w:kern w:val="0"/>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招贤片区</w:t>
            </w:r>
          </w:p>
        </w:tc>
        <w:tc>
          <w:tcPr>
            <w:tcW w:w="5607" w:type="dxa"/>
            <w:tcBorders>
              <w:top w:val="single" w:color="auto" w:sz="4" w:space="0"/>
              <w:left w:val="single" w:color="auto" w:sz="4" w:space="0"/>
              <w:bottom w:val="single" w:color="auto" w:sz="4" w:space="0"/>
              <w:right w:val="single" w:color="auto" w:sz="4" w:space="0"/>
            </w:tcBorders>
            <w:vAlign w:val="center"/>
          </w:tcPr>
          <w:p>
            <w:pPr>
              <w:pStyle w:val="2"/>
              <w:spacing w:after="0" w:line="300" w:lineRule="exact"/>
              <w:ind w:firstLine="0" w:firstLineChars="0"/>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重点对现有城中村、空置地进行全面改造和利用，严格控制开发型更新的增量空间，大力发展商业和旅游服务业，开展旧厂转型升级改造，引导传统工业向高端服务业和文化创意产业转变。打造全市旅游集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1632" w:type="dxa"/>
            <w:vMerge w:val="restart"/>
            <w:tcBorders>
              <w:top w:val="single" w:color="auto" w:sz="4" w:space="0"/>
              <w:left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仿宋_GB2312"/>
                <w:color w:val="000000" w:themeColor="text1"/>
                <w:kern w:val="0"/>
                <w:sz w:val="24"/>
              </w:rPr>
            </w:pPr>
            <w:r>
              <w:rPr>
                <w:rFonts w:hint="eastAsia" w:ascii="仿宋_GB2312" w:hAnsi="Times New Roman" w:eastAsia="仿宋_GB2312"/>
                <w:b/>
                <w:color w:val="000000" w:themeColor="text1"/>
                <w:kern w:val="0"/>
                <w:sz w:val="24"/>
              </w:rPr>
              <w:t>红谷滩区</w:t>
            </w:r>
          </w:p>
        </w:tc>
        <w:tc>
          <w:tcPr>
            <w:tcW w:w="1832" w:type="dxa"/>
            <w:tcBorders>
              <w:top w:val="single" w:color="auto" w:sz="4" w:space="0"/>
              <w:left w:val="single" w:color="auto" w:sz="4" w:space="0"/>
              <w:bottom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中央商务区（C</w:t>
            </w:r>
            <w:r>
              <w:rPr>
                <w:rFonts w:ascii="仿宋_GB2312" w:hAnsi="Times New Roman" w:eastAsia="仿宋_GB2312"/>
                <w:color w:val="000000" w:themeColor="text1"/>
                <w:kern w:val="0"/>
                <w:sz w:val="24"/>
              </w:rPr>
              <w:t>BD</w:t>
            </w:r>
            <w:r>
              <w:rPr>
                <w:rFonts w:hint="eastAsia" w:ascii="仿宋_GB2312" w:hAnsi="Times New Roman" w:eastAsia="仿宋_GB2312"/>
                <w:color w:val="000000" w:themeColor="text1"/>
                <w:kern w:val="0"/>
                <w:sz w:val="24"/>
              </w:rPr>
              <w:t>）</w:t>
            </w:r>
          </w:p>
        </w:tc>
        <w:tc>
          <w:tcPr>
            <w:tcW w:w="5607" w:type="dxa"/>
            <w:tcBorders>
              <w:top w:val="single" w:color="auto" w:sz="4" w:space="0"/>
              <w:left w:val="single" w:color="auto" w:sz="4" w:space="0"/>
              <w:bottom w:val="single" w:color="auto" w:sz="4" w:space="0"/>
              <w:right w:val="single" w:color="auto" w:sz="4" w:space="0"/>
            </w:tcBorders>
            <w:vAlign w:val="center"/>
          </w:tcPr>
          <w:p>
            <w:pPr>
              <w:pStyle w:val="2"/>
              <w:spacing w:after="0" w:line="300" w:lineRule="exact"/>
              <w:ind w:firstLine="0" w:firstLineChars="0"/>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重点强化核心区中心职能，推进凤凰洲文化中心建设，优化服务水平，高标准建设以商务办公、金融服务、商业贸易、文化旅游为主的中央商务区（C</w:t>
            </w:r>
            <w:r>
              <w:rPr>
                <w:rFonts w:ascii="仿宋_GB2312" w:hAnsi="Times New Roman" w:eastAsia="仿宋_GB2312"/>
                <w:color w:val="000000" w:themeColor="text1"/>
                <w:kern w:val="0"/>
                <w:sz w:val="24"/>
              </w:rPr>
              <w:t>BD</w:t>
            </w:r>
            <w:r>
              <w:rPr>
                <w:rFonts w:hint="eastAsia" w:ascii="仿宋_GB2312" w:hAnsi="Times New Roman" w:eastAsia="仿宋_GB2312"/>
                <w:color w:val="000000" w:themeColor="text1"/>
                <w:kern w:val="0"/>
                <w:sz w:val="24"/>
              </w:rPr>
              <w:t>）中心，努力打造</w:t>
            </w:r>
            <w:r>
              <w:rPr>
                <w:rFonts w:ascii="仿宋_GB2312" w:hAnsi="Times New Roman" w:eastAsia="仿宋_GB2312"/>
                <w:color w:val="000000" w:themeColor="text1"/>
                <w:kern w:val="0"/>
                <w:sz w:val="24"/>
              </w:rPr>
              <w:t>“</w:t>
            </w:r>
            <w:r>
              <w:rPr>
                <w:rFonts w:hint="eastAsia" w:ascii="仿宋_GB2312" w:hAnsi="Times New Roman" w:eastAsia="仿宋_GB2312"/>
                <w:color w:val="000000" w:themeColor="text1"/>
                <w:kern w:val="0"/>
                <w:sz w:val="24"/>
              </w:rPr>
              <w:t>全省金融商务区</w:t>
            </w:r>
            <w:r>
              <w:rPr>
                <w:rFonts w:ascii="仿宋_GB2312" w:hAnsi="Times New Roman" w:eastAsia="仿宋_GB2312"/>
                <w:color w:val="000000" w:themeColor="text1"/>
                <w:kern w:val="0"/>
                <w:sz w:val="24"/>
              </w:rPr>
              <w:t>”</w:t>
            </w:r>
            <w:r>
              <w:rPr>
                <w:rFonts w:hint="eastAsia" w:ascii="仿宋_GB2312" w:hAnsi="Times New Roman" w:eastAsia="仿宋_GB2312"/>
                <w:color w:val="000000" w:themeColor="text1"/>
                <w:kern w:val="0"/>
                <w:sz w:val="24"/>
              </w:rPr>
              <w:t>和</w:t>
            </w:r>
            <w:r>
              <w:rPr>
                <w:rFonts w:ascii="仿宋_GB2312" w:hAnsi="Times New Roman" w:eastAsia="仿宋_GB2312"/>
                <w:color w:val="000000" w:themeColor="text1"/>
                <w:kern w:val="0"/>
                <w:sz w:val="24"/>
              </w:rPr>
              <w:t>“</w:t>
            </w:r>
            <w:r>
              <w:rPr>
                <w:rFonts w:hint="eastAsia" w:ascii="仿宋_GB2312" w:hAnsi="Times New Roman" w:eastAsia="仿宋_GB2312"/>
                <w:color w:val="000000" w:themeColor="text1"/>
                <w:kern w:val="0"/>
                <w:sz w:val="24"/>
              </w:rPr>
              <w:t>两园三平台</w:t>
            </w:r>
            <w:r>
              <w:rPr>
                <w:rFonts w:ascii="仿宋_GB2312" w:hAnsi="Times New Roman" w:eastAsia="仿宋_GB2312"/>
                <w:color w:val="000000" w:themeColor="text1"/>
                <w:kern w:val="0"/>
                <w:sz w:val="24"/>
              </w:rPr>
              <w:t>”</w:t>
            </w:r>
            <w:r>
              <w:rPr>
                <w:rFonts w:hint="eastAsia" w:ascii="仿宋_GB2312" w:hAnsi="Times New Roman" w:eastAsia="仿宋_GB2312"/>
                <w:color w:val="000000" w:themeColor="text1"/>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4" w:hRule="atLeast"/>
          <w:jc w:val="center"/>
        </w:trPr>
        <w:tc>
          <w:tcPr>
            <w:tcW w:w="1632" w:type="dxa"/>
            <w:vMerge w:val="continue"/>
            <w:tcBorders>
              <w:left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仿宋_GB2312"/>
                <w:color w:val="000000" w:themeColor="text1"/>
                <w:kern w:val="0"/>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九龙湖组团</w:t>
            </w:r>
          </w:p>
        </w:tc>
        <w:tc>
          <w:tcPr>
            <w:tcW w:w="5607" w:type="dxa"/>
            <w:tcBorders>
              <w:top w:val="single" w:color="auto" w:sz="4" w:space="0"/>
              <w:left w:val="single" w:color="auto" w:sz="4" w:space="0"/>
              <w:bottom w:val="single" w:color="auto" w:sz="4" w:space="0"/>
              <w:right w:val="single" w:color="auto" w:sz="4" w:space="0"/>
            </w:tcBorders>
            <w:vAlign w:val="center"/>
          </w:tcPr>
          <w:p>
            <w:pPr>
              <w:pStyle w:val="2"/>
              <w:spacing w:after="0" w:line="300" w:lineRule="exact"/>
              <w:ind w:firstLine="0" w:firstLineChars="0"/>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重点完善九龙湖城市副中心发展职能，强化西客站站前区服务配套功能，促进文体会展、创新创意等功能高端化聚集，打造成为具有区域影响力的旅游目的地和旅游服务中心。推进VR 科创城建设综合性VR+特色小镇，加快虚拟现实产业高端化和集群化发展。重点打造功能完善的城市次中心体系，促进九龙湖西部组团有序合理开发，构建生活服务副中心。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atLeast"/>
          <w:jc w:val="center"/>
        </w:trPr>
        <w:tc>
          <w:tcPr>
            <w:tcW w:w="1632" w:type="dxa"/>
            <w:vMerge w:val="continue"/>
            <w:tcBorders>
              <w:left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仿宋_GB2312"/>
                <w:color w:val="000000" w:themeColor="text1"/>
                <w:kern w:val="0"/>
                <w:sz w:val="24"/>
              </w:rPr>
            </w:pPr>
          </w:p>
        </w:tc>
        <w:tc>
          <w:tcPr>
            <w:tcW w:w="1832" w:type="dxa"/>
            <w:tcBorders>
              <w:top w:val="single" w:color="auto" w:sz="4" w:space="0"/>
              <w:left w:val="single" w:color="auto" w:sz="4" w:space="0"/>
              <w:bottom w:val="single" w:color="auto" w:sz="4" w:space="0"/>
              <w:right w:val="single" w:color="auto" w:sz="4" w:space="0"/>
            </w:tcBorders>
            <w:vAlign w:val="center"/>
          </w:tcPr>
          <w:p>
            <w:pPr>
              <w:pStyle w:val="2"/>
              <w:spacing w:after="0" w:line="320" w:lineRule="exact"/>
              <w:ind w:firstLine="0" w:firstLineChars="0"/>
              <w:jc w:val="center"/>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生米片区</w:t>
            </w:r>
          </w:p>
        </w:tc>
        <w:tc>
          <w:tcPr>
            <w:tcW w:w="5607" w:type="dxa"/>
            <w:tcBorders>
              <w:top w:val="single" w:color="auto" w:sz="4" w:space="0"/>
              <w:left w:val="single" w:color="auto" w:sz="4" w:space="0"/>
              <w:right w:val="single" w:color="auto" w:sz="4" w:space="0"/>
            </w:tcBorders>
            <w:vAlign w:val="center"/>
          </w:tcPr>
          <w:p>
            <w:pPr>
              <w:pStyle w:val="2"/>
              <w:spacing w:after="0" w:line="300" w:lineRule="exact"/>
              <w:ind w:firstLine="0" w:firstLineChars="0"/>
              <w:rPr>
                <w:rFonts w:ascii="仿宋_GB2312" w:hAnsi="Times New Roman" w:eastAsia="仿宋_GB2312"/>
                <w:color w:val="000000" w:themeColor="text1"/>
                <w:kern w:val="0"/>
                <w:sz w:val="24"/>
              </w:rPr>
            </w:pPr>
            <w:r>
              <w:rPr>
                <w:rFonts w:hint="eastAsia" w:ascii="仿宋_GB2312" w:hAnsi="Times New Roman" w:eastAsia="仿宋_GB2312"/>
                <w:color w:val="000000" w:themeColor="text1"/>
                <w:kern w:val="0"/>
                <w:sz w:val="24"/>
              </w:rPr>
              <w:t>大力复兴生米千年古镇，依托生米老街，结合梦江南文化旅游小镇，将生米镇老街片区打造成为生米文化风情小镇，保留老街的历史印记，延续生米历史文脉。</w:t>
            </w:r>
          </w:p>
        </w:tc>
      </w:tr>
    </w:tbl>
    <w:p>
      <w:pPr>
        <w:pStyle w:val="59"/>
        <w:spacing w:line="580" w:lineRule="exact"/>
        <w:ind w:firstLine="640"/>
      </w:pPr>
      <w:bookmarkStart w:id="571" w:name="_Toc58861180"/>
      <w:bookmarkStart w:id="572" w:name="_Toc30594"/>
    </w:p>
    <w:p>
      <w:pPr>
        <w:pStyle w:val="74"/>
        <w:adjustRightInd/>
        <w:snapToGrid/>
        <w:spacing w:line="580" w:lineRule="exact"/>
        <w:rPr>
          <w:rFonts w:ascii="楷体_GB2312" w:eastAsia="楷体_GB2312"/>
          <w:color w:val="000000" w:themeColor="text1"/>
        </w:rPr>
      </w:pPr>
      <w:bookmarkStart w:id="573" w:name="_Toc12374"/>
      <w:bookmarkStart w:id="574" w:name="_Toc64542209"/>
      <w:r>
        <w:rPr>
          <w:rFonts w:hint="eastAsia" w:ascii="楷体_GB2312" w:eastAsia="楷体_GB2312"/>
          <w:color w:val="000000" w:themeColor="text1"/>
        </w:rPr>
        <w:t>第三节  推进新城功能板块集约高效开发</w:t>
      </w:r>
      <w:bookmarkEnd w:id="571"/>
      <w:bookmarkEnd w:id="572"/>
      <w:bookmarkEnd w:id="573"/>
      <w:bookmarkEnd w:id="574"/>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发挥新城优化空间、集聚人口、带动周边地区发展的作用，以“五大新城”建设为重点，高标准规划建设一批城市开发与功能提升相结合的新版块，坚持集约高效开发原则，注重培育城市个性和特色风貌，着力打造高品质宜居生活环境，科学布局城市教育、医疗、商业、娱乐文化、体育休闲等设施，增强提升区域辐射、综合服务功能，打造一批代表南昌未来实力和水平的现代化新城。规划建设发展扬子洲，打造彰显生态特色、科技元素、人文精神的现代化魅力“未来城”。</w:t>
      </w:r>
    </w:p>
    <w:p>
      <w:pPr>
        <w:pStyle w:val="2"/>
        <w:ind w:firstLine="320"/>
      </w:pP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vAlign w:val="center"/>
          </w:tcPr>
          <w:p>
            <w:pPr>
              <w:pStyle w:val="52"/>
              <w:numPr>
                <w:ilvl w:val="0"/>
                <w:numId w:val="0"/>
              </w:numPr>
              <w:spacing w:after="0" w:line="360" w:lineRule="exact"/>
              <w:jc w:val="center"/>
              <w:rPr>
                <w:rFonts w:ascii="仿宋_GB2312" w:eastAsia="仿宋_GB2312"/>
                <w:color w:val="000000" w:themeColor="text1"/>
                <w:kern w:val="0"/>
              </w:rPr>
            </w:pPr>
            <w:r>
              <w:rPr>
                <w:rFonts w:hint="eastAsia" w:ascii="黑体" w:hAnsi="黑体" w:eastAsia="黑体" w:cs="黑体"/>
                <w:bCs/>
                <w:color w:val="000000" w:themeColor="text1"/>
                <w:sz w:val="28"/>
                <w:szCs w:val="28"/>
              </w:rPr>
              <w:t>专栏22：新城重点发展导向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spacing w:line="340" w:lineRule="exact"/>
              <w:ind w:firstLine="482"/>
              <w:rPr>
                <w:rFonts w:ascii="仿宋_GB2312" w:hAnsi="仿宋" w:eastAsia="仿宋_GB2312" w:cs="仿宋"/>
                <w:b/>
                <w:bCs/>
                <w:color w:val="000000" w:themeColor="text1"/>
                <w:sz w:val="24"/>
              </w:rPr>
            </w:pPr>
            <w:r>
              <w:rPr>
                <w:rFonts w:hint="eastAsia" w:ascii="仿宋_GB2312" w:hAnsi="仿宋" w:eastAsia="仿宋_GB2312" w:cs="仿宋"/>
                <w:b/>
                <w:bCs/>
                <w:color w:val="000000" w:themeColor="text1"/>
                <w:sz w:val="24"/>
              </w:rPr>
              <w:t>（一）南昌空港新城</w:t>
            </w:r>
          </w:p>
          <w:p>
            <w:pPr>
              <w:spacing w:line="340" w:lineRule="exact"/>
              <w:ind w:firstLine="480"/>
              <w:rPr>
                <w:rFonts w:ascii="仿宋_GB2312" w:hAnsi="仿宋" w:eastAsia="仿宋_GB2312" w:cs="仿宋"/>
                <w:color w:val="000000" w:themeColor="text1"/>
                <w:sz w:val="24"/>
              </w:rPr>
            </w:pPr>
            <w:r>
              <w:rPr>
                <w:rFonts w:hint="eastAsia" w:ascii="仿宋_GB2312" w:hAnsi="仿宋" w:eastAsia="仿宋_GB2312" w:cs="仿宋"/>
                <w:color w:val="000000" w:themeColor="text1"/>
                <w:sz w:val="24"/>
              </w:rPr>
              <w:t>规划面积约160.2平方公里。主要依托昌北国际机场、综合保税区，大力发展航空装备制造、新一代信息技术、临空高端服务等产业，加快完善基础设施和公共服务配套设施，促进以产兴城、以城促产、产城联动，着力打造我国双循环高地、中部地区空港经济先行区、全省内陆开放型经济新高地、大南昌都市圈重要增长极。</w:t>
            </w:r>
          </w:p>
          <w:p>
            <w:pPr>
              <w:spacing w:line="340" w:lineRule="exact"/>
              <w:ind w:firstLine="482"/>
              <w:rPr>
                <w:rFonts w:ascii="仿宋_GB2312" w:hAnsi="仿宋" w:eastAsia="仿宋_GB2312" w:cs="仿宋"/>
                <w:b/>
                <w:bCs/>
                <w:color w:val="000000" w:themeColor="text1"/>
                <w:sz w:val="24"/>
              </w:rPr>
            </w:pPr>
            <w:r>
              <w:rPr>
                <w:rFonts w:hint="eastAsia" w:ascii="仿宋_GB2312" w:hAnsi="仿宋" w:eastAsia="仿宋_GB2312" w:cs="仿宋"/>
                <w:b/>
                <w:bCs/>
                <w:color w:val="000000" w:themeColor="text1"/>
                <w:sz w:val="24"/>
              </w:rPr>
              <w:t>（二）南昌向塘国际陆港新城</w:t>
            </w:r>
          </w:p>
          <w:p>
            <w:pPr>
              <w:spacing w:line="340" w:lineRule="exact"/>
              <w:ind w:firstLine="456"/>
              <w:rPr>
                <w:rFonts w:ascii="仿宋_GB2312" w:hAnsi="仿宋" w:eastAsia="仿宋_GB2312" w:cs="仿宋"/>
                <w:color w:val="000000" w:themeColor="text1"/>
                <w:spacing w:val="-6"/>
                <w:sz w:val="24"/>
              </w:rPr>
            </w:pPr>
            <w:r>
              <w:rPr>
                <w:rFonts w:hint="eastAsia" w:ascii="仿宋_GB2312" w:hAnsi="仿宋" w:eastAsia="仿宋_GB2312" w:cs="仿宋"/>
                <w:color w:val="000000" w:themeColor="text1"/>
                <w:spacing w:val="-6"/>
                <w:sz w:val="24"/>
              </w:rPr>
              <w:t>规划面积约33.82平方公里。依托向塘铁路口岸，重点发展现代物流、现代商贸、出口加工、商务服务、信息服务、金融服务等主导产业，建设口岸成熟、贸易完善、物流集聚、产业优化、功能合理、宜居宜业的国际化时代新城，着力打造国家陆路开放实验示范区、江西“三同”实验发展创新区、大南昌都市圈铁路物流集聚区。</w:t>
            </w:r>
          </w:p>
          <w:p>
            <w:pPr>
              <w:spacing w:line="340" w:lineRule="exact"/>
              <w:ind w:firstLine="482"/>
              <w:rPr>
                <w:rFonts w:ascii="仿宋_GB2312" w:hAnsi="仿宋" w:eastAsia="仿宋_GB2312" w:cs="仿宋"/>
                <w:b/>
                <w:bCs/>
                <w:color w:val="000000" w:themeColor="text1"/>
                <w:sz w:val="24"/>
              </w:rPr>
            </w:pPr>
            <w:r>
              <w:rPr>
                <w:rFonts w:hint="eastAsia" w:ascii="仿宋_GB2312" w:hAnsi="仿宋" w:eastAsia="仿宋_GB2312" w:cs="仿宋"/>
                <w:b/>
                <w:bCs/>
                <w:color w:val="000000" w:themeColor="text1"/>
                <w:sz w:val="24"/>
              </w:rPr>
              <w:t>（三）南昌高铁东站新区</w:t>
            </w:r>
          </w:p>
          <w:p>
            <w:pPr>
              <w:spacing w:line="340" w:lineRule="exact"/>
              <w:ind w:firstLine="480"/>
              <w:rPr>
                <w:rFonts w:ascii="仿宋_GB2312" w:hAnsi="仿宋" w:eastAsia="仿宋_GB2312" w:cs="仿宋"/>
                <w:color w:val="000000" w:themeColor="text1"/>
                <w:sz w:val="24"/>
              </w:rPr>
            </w:pPr>
            <w:r>
              <w:rPr>
                <w:rFonts w:hint="eastAsia" w:ascii="仿宋_GB2312" w:hAnsi="仿宋" w:eastAsia="仿宋_GB2312" w:cs="仿宋"/>
                <w:color w:val="000000" w:themeColor="text1"/>
                <w:sz w:val="24"/>
              </w:rPr>
              <w:t>规划面积约22平方公里。重点围绕提高南昌城东片区城镇化水平和提升南昌东站周边城市品质，积极布局商贸服务、文化旅游、会展经济、楼宇经济、健康养老等产业，创新发展金融服务业、平台经济和共享经济，着力打造现代针纺产业的研发基地、信息技术与商贸服务核心区，建设成为集门户形象、产业创新、地域文化和生态低碳于一体的南昌城市副中心。</w:t>
            </w:r>
          </w:p>
          <w:p>
            <w:pPr>
              <w:spacing w:line="340" w:lineRule="exact"/>
              <w:ind w:firstLine="482"/>
              <w:rPr>
                <w:rFonts w:ascii="仿宋_GB2312" w:eastAsia="仿宋_GB2312"/>
                <w:b/>
                <w:color w:val="000000" w:themeColor="text1"/>
                <w:kern w:val="0"/>
                <w:sz w:val="24"/>
              </w:rPr>
            </w:pPr>
            <w:r>
              <w:rPr>
                <w:rFonts w:hint="eastAsia" w:ascii="仿宋_GB2312" w:eastAsia="仿宋_GB2312"/>
                <w:b/>
                <w:color w:val="000000" w:themeColor="text1"/>
                <w:kern w:val="0"/>
                <w:sz w:val="24"/>
              </w:rPr>
              <w:t>（四）九望新城</w:t>
            </w:r>
          </w:p>
          <w:p>
            <w:pPr>
              <w:spacing w:line="340" w:lineRule="exact"/>
              <w:ind w:firstLine="480"/>
            </w:pPr>
            <w:r>
              <w:rPr>
                <w:rFonts w:hint="eastAsia" w:ascii="仿宋_GB2312" w:eastAsia="仿宋_GB2312"/>
                <w:color w:val="000000" w:themeColor="text1"/>
                <w:kern w:val="0"/>
                <w:sz w:val="24"/>
              </w:rPr>
              <w:t>规划面积约15.13平方公里。按照“城西</w:t>
            </w:r>
            <w:r>
              <w:rPr>
                <w:rFonts w:hint="eastAsia" w:ascii="仿宋_GB2312" w:hAnsi="仿宋" w:eastAsia="仿宋_GB2312" w:cs="仿宋"/>
                <w:color w:val="000000" w:themeColor="text1"/>
                <w:sz w:val="24"/>
              </w:rPr>
              <w:t>门户，科创新都”总体定位，重点布局总部经济、科创金融、国际商贸、数字经济、文化创意五大重点产业，着力打造现代产业新城新区典范，加快建成集产业、居住、服务高度耦合的产城融合示范区。</w:t>
            </w:r>
          </w:p>
          <w:p>
            <w:pPr>
              <w:spacing w:line="340" w:lineRule="exact"/>
              <w:ind w:firstLine="482"/>
              <w:rPr>
                <w:rFonts w:ascii="仿宋_GB2312" w:hAnsi="仿宋" w:eastAsia="仿宋_GB2312" w:cs="仿宋"/>
                <w:b/>
                <w:bCs/>
                <w:color w:val="000000" w:themeColor="text1"/>
                <w:sz w:val="24"/>
              </w:rPr>
            </w:pPr>
            <w:r>
              <w:rPr>
                <w:rFonts w:hint="eastAsia" w:ascii="仿宋_GB2312" w:hAnsi="仿宋" w:eastAsia="仿宋_GB2312" w:cs="仿宋"/>
                <w:b/>
                <w:bCs/>
                <w:color w:val="000000" w:themeColor="text1"/>
                <w:sz w:val="24"/>
              </w:rPr>
              <w:t>（五）中国（南昌）现代职教城</w:t>
            </w:r>
          </w:p>
          <w:p>
            <w:pPr>
              <w:spacing w:line="340" w:lineRule="exact"/>
              <w:ind w:firstLine="480"/>
              <w:rPr>
                <w:rFonts w:ascii="仿宋_GB2312" w:hAnsi="仿宋" w:eastAsia="仿宋_GB2312" w:cs="仿宋"/>
                <w:color w:val="000000" w:themeColor="text1"/>
                <w:sz w:val="24"/>
              </w:rPr>
            </w:pPr>
            <w:r>
              <w:rPr>
                <w:rFonts w:hint="eastAsia" w:ascii="仿宋_GB2312" w:hAnsi="仿宋" w:eastAsia="仿宋_GB2312" w:cs="仿宋"/>
                <w:color w:val="000000" w:themeColor="text1"/>
                <w:sz w:val="24"/>
              </w:rPr>
              <w:t>规划面积约21平方公里。重点按照“一年打基础、两年见成效、三年成规模、五年出品牌”发展目标，以院校为依托、产业为支撑、城市为载体、生态为特色，全方位夯实产业实力、完善城市功能、提升教育水平，着力打造职教改革先行地、产教城融合示范区、职教发展新高地，建设成为“宜学、宜创、宜居、宜游”的智慧新城、生态新城、产业新城。</w:t>
            </w:r>
          </w:p>
          <w:p>
            <w:pPr>
              <w:spacing w:line="340" w:lineRule="exact"/>
              <w:ind w:firstLine="482"/>
              <w:rPr>
                <w:rFonts w:ascii="仿宋_GB2312" w:hAnsi="仿宋" w:eastAsia="仿宋_GB2312" w:cs="仿宋"/>
                <w:b/>
                <w:bCs/>
                <w:color w:val="000000" w:themeColor="text1"/>
                <w:sz w:val="24"/>
              </w:rPr>
            </w:pPr>
            <w:r>
              <w:rPr>
                <w:rFonts w:hint="eastAsia" w:ascii="仿宋_GB2312" w:hAnsi="仿宋" w:eastAsia="仿宋_GB2312" w:cs="仿宋"/>
                <w:b/>
                <w:bCs/>
                <w:color w:val="000000" w:themeColor="text1"/>
                <w:sz w:val="24"/>
              </w:rPr>
              <w:t>（六）扬子洲</w:t>
            </w:r>
          </w:p>
          <w:p>
            <w:pPr>
              <w:spacing w:line="340" w:lineRule="exact"/>
              <w:ind w:firstLine="480"/>
              <w:rPr>
                <w:rFonts w:ascii="仿宋_GB2312" w:hAnsi="仿宋" w:eastAsia="仿宋_GB2312" w:cs="仿宋"/>
                <w:color w:val="000000" w:themeColor="text1"/>
                <w:sz w:val="24"/>
              </w:rPr>
            </w:pPr>
            <w:r>
              <w:rPr>
                <w:rFonts w:hint="eastAsia" w:ascii="仿宋_GB2312" w:hAnsi="仿宋" w:eastAsia="仿宋_GB2312" w:cs="仿宋"/>
                <w:color w:val="000000" w:themeColor="text1"/>
                <w:sz w:val="24"/>
              </w:rPr>
              <w:t>重点培育科技创新、会议展览、文化娱乐、生态休闲等功能，作为融合两岸新老城区功能、产业、服务的核心纽带，打造成为重要的生态文明典范样板区。</w:t>
            </w:r>
          </w:p>
          <w:p>
            <w:pPr>
              <w:spacing w:line="340" w:lineRule="exact"/>
              <w:ind w:firstLine="482"/>
              <w:rPr>
                <w:rFonts w:ascii="仿宋_GB2312" w:hAnsi="仿宋" w:eastAsia="仿宋_GB2312" w:cs="仿宋"/>
                <w:b/>
                <w:bCs/>
                <w:color w:val="000000" w:themeColor="text1"/>
                <w:sz w:val="24"/>
              </w:rPr>
            </w:pPr>
            <w:r>
              <w:rPr>
                <w:rFonts w:hint="eastAsia" w:ascii="仿宋_GB2312" w:hAnsi="仿宋" w:eastAsia="仿宋_GB2312" w:cs="仿宋"/>
                <w:b/>
                <w:bCs/>
                <w:color w:val="000000" w:themeColor="text1"/>
                <w:sz w:val="24"/>
              </w:rPr>
              <w:t>（七）中国（南昌）现代医疗器械科创城</w:t>
            </w:r>
          </w:p>
          <w:p>
            <w:pPr>
              <w:spacing w:line="340" w:lineRule="exact"/>
              <w:ind w:firstLine="480"/>
              <w:rPr>
                <w:rFonts w:ascii="仿宋_GB2312" w:eastAsia="仿宋_GB2312"/>
                <w:color w:val="000000" w:themeColor="text1"/>
                <w:kern w:val="0"/>
                <w:sz w:val="24"/>
              </w:rPr>
            </w:pPr>
            <w:r>
              <w:rPr>
                <w:rFonts w:hint="eastAsia" w:ascii="仿宋_GB2312" w:hAnsi="仿宋" w:eastAsia="仿宋_GB2312" w:cs="仿宋"/>
                <w:color w:val="000000" w:themeColor="text1"/>
                <w:sz w:val="24"/>
              </w:rPr>
              <w:t>规划面积约15.55平方公里。重点引进和发展现代高值医疗器械，推进传统医疗器械产品迭代升级为基础，通过加大医疗器械产业引进孵化、改造升级、集群集聚、平台建设和专业服务等，全力打造成为在全国具有一定影响力的国家级医疗器械功能示范基地和产业创新高地。</w:t>
            </w:r>
          </w:p>
        </w:tc>
      </w:tr>
    </w:tbl>
    <w:p>
      <w:pPr>
        <w:pStyle w:val="59"/>
        <w:spacing w:line="580" w:lineRule="exact"/>
        <w:ind w:firstLine="0" w:firstLineChars="0"/>
      </w:pPr>
      <w:bookmarkStart w:id="575" w:name="_Toc58861181"/>
      <w:bookmarkStart w:id="576" w:name="_Toc414"/>
    </w:p>
    <w:p>
      <w:pPr>
        <w:pStyle w:val="74"/>
        <w:adjustRightInd/>
        <w:snapToGrid/>
        <w:spacing w:line="580" w:lineRule="exact"/>
        <w:rPr>
          <w:rFonts w:ascii="楷体_GB2312" w:eastAsia="楷体_GB2312"/>
          <w:color w:val="000000" w:themeColor="text1"/>
        </w:rPr>
      </w:pPr>
      <w:bookmarkStart w:id="577" w:name="_Toc64542210"/>
      <w:bookmarkStart w:id="578" w:name="_Toc1229"/>
    </w:p>
    <w:p>
      <w:pPr>
        <w:pStyle w:val="74"/>
        <w:adjustRightInd/>
        <w:snapToGrid/>
        <w:spacing w:line="580" w:lineRule="exact"/>
        <w:rPr>
          <w:rFonts w:ascii="楷体_GB2312" w:eastAsia="楷体_GB2312"/>
          <w:color w:val="000000" w:themeColor="text1"/>
        </w:rPr>
      </w:pPr>
      <w:r>
        <w:rPr>
          <w:rFonts w:hint="eastAsia" w:ascii="楷体_GB2312" w:eastAsia="楷体_GB2312"/>
          <w:color w:val="000000" w:themeColor="text1"/>
        </w:rPr>
        <w:t>第四节  提升城市精细化管理水平</w:t>
      </w:r>
      <w:bookmarkEnd w:id="575"/>
      <w:bookmarkEnd w:id="576"/>
      <w:bookmarkEnd w:id="577"/>
      <w:bookmarkEnd w:id="578"/>
    </w:p>
    <w:p>
      <w:pPr>
        <w:spacing w:line="580" w:lineRule="exact"/>
        <w:ind w:firstLine="640"/>
        <w:rPr>
          <w:rFonts w:ascii="仿宋_GB2312" w:hAnsi="仿宋" w:eastAsia="仿宋_GB2312" w:cs="仿宋"/>
          <w:color w:val="000000" w:themeColor="text1"/>
          <w:szCs w:val="32"/>
        </w:rPr>
      </w:pPr>
    </w:p>
    <w:p>
      <w:pPr>
        <w:spacing w:line="580" w:lineRule="exact"/>
        <w:ind w:firstLine="640"/>
        <w:rPr>
          <w:rFonts w:ascii="仿宋_GB2312" w:hAnsi="仿宋" w:eastAsia="仿宋_GB2312" w:cs="仿宋"/>
          <w:color w:val="000000" w:themeColor="text1"/>
          <w:szCs w:val="32"/>
        </w:rPr>
      </w:pPr>
      <w:r>
        <w:rPr>
          <w:rFonts w:hint="eastAsia" w:ascii="仿宋_GB2312" w:hAnsi="仿宋" w:eastAsia="仿宋_GB2312" w:cs="仿宋"/>
          <w:color w:val="000000" w:themeColor="text1"/>
          <w:szCs w:val="32"/>
        </w:rPr>
        <w:t>坚持高标准引领，着力补短板、强弱项、彰特色，实施智能管理、市政设施管护、市容环卫等精细化管理提升行动，推行城市管理“管监养”改革，把服务管理的触角延伸到城市角落，有效解决城市拥堵、停车难、违章建筑等问题，到2025年，全面建成温情城市、智管城市，使城市更加宜居、宜业、宜游、舒心。</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vAlign w:val="center"/>
          </w:tcPr>
          <w:p>
            <w:pPr>
              <w:pStyle w:val="52"/>
              <w:numPr>
                <w:ilvl w:val="0"/>
                <w:numId w:val="0"/>
              </w:numPr>
              <w:spacing w:after="0" w:line="360" w:lineRule="exact"/>
              <w:jc w:val="center"/>
              <w:rPr>
                <w:color w:val="000000" w:themeColor="text1"/>
              </w:rPr>
            </w:pPr>
            <w:r>
              <w:rPr>
                <w:rFonts w:hint="eastAsia" w:ascii="黑体" w:hAnsi="黑体" w:eastAsia="黑体" w:cs="黑体"/>
                <w:bCs/>
                <w:color w:val="000000" w:themeColor="text1"/>
                <w:sz w:val="28"/>
                <w:szCs w:val="28"/>
              </w:rPr>
              <w:t>专栏23：城市精细化管理提升行动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pStyle w:val="51"/>
              <w:numPr>
                <w:ilvl w:val="0"/>
                <w:numId w:val="9"/>
              </w:numPr>
              <w:spacing w:line="360" w:lineRule="exact"/>
              <w:ind w:left="0" w:firstLineChars="0"/>
              <w:rPr>
                <w:rFonts w:ascii="仿宋_GB2312" w:hAnsi="仿宋" w:eastAsia="仿宋_GB2312" w:cs="仿宋"/>
                <w:b/>
                <w:bCs/>
                <w:color w:val="000000" w:themeColor="text1"/>
                <w:sz w:val="24"/>
              </w:rPr>
            </w:pPr>
            <w:r>
              <w:rPr>
                <w:rFonts w:hint="eastAsia" w:ascii="仿宋_GB2312" w:hAnsi="仿宋" w:eastAsia="仿宋_GB2312" w:cs="仿宋"/>
                <w:b/>
                <w:bCs/>
                <w:color w:val="000000" w:themeColor="text1"/>
                <w:sz w:val="24"/>
              </w:rPr>
              <w:t xml:space="preserve">    （一）智能管理</w:t>
            </w:r>
          </w:p>
          <w:p>
            <w:pPr>
              <w:pStyle w:val="51"/>
              <w:numPr>
                <w:ilvl w:val="0"/>
                <w:numId w:val="9"/>
              </w:numPr>
              <w:spacing w:line="360" w:lineRule="exact"/>
              <w:ind w:left="0" w:firstLineChars="0"/>
              <w:rPr>
                <w:rFonts w:ascii="仿宋_GB2312" w:hAnsi="仿宋" w:eastAsia="仿宋_GB2312" w:cs="仿宋"/>
                <w:color w:val="000000" w:themeColor="text1"/>
                <w:sz w:val="24"/>
              </w:rPr>
            </w:pPr>
            <w:r>
              <w:rPr>
                <w:rFonts w:hint="eastAsia" w:ascii="仿宋_GB2312" w:hAnsi="仿宋" w:eastAsia="仿宋_GB2312" w:cs="仿宋"/>
                <w:color w:val="000000" w:themeColor="text1"/>
                <w:sz w:val="24"/>
              </w:rPr>
              <w:t xml:space="preserve">    建立我市智慧城管平台，整合共享市、县区两级城市管理数据资源，建成涵盖市政、环卫、执法、燃气、园林绿化、排水、污水等城市管理领域的“一个中心+十大子系统”平台；健全城市管理监管监测体系，形成全市城市管理监管监测一张网。加强智慧停车设施建设，建立智能停车诱导APP,推进智慧停车。积极探索“定时定点”生活垃圾分类投放和智能分类模式，加大智能化机械设备在市政设施维护、环卫作业、园林养护、建筑渣土运输管理等方面的运用。</w:t>
            </w:r>
          </w:p>
          <w:p>
            <w:pPr>
              <w:pStyle w:val="51"/>
              <w:numPr>
                <w:ilvl w:val="0"/>
                <w:numId w:val="9"/>
              </w:numPr>
              <w:spacing w:line="360" w:lineRule="exact"/>
              <w:ind w:left="0" w:firstLineChars="0"/>
              <w:rPr>
                <w:rFonts w:ascii="仿宋_GB2312" w:hAnsi="仿宋" w:eastAsia="仿宋_GB2312" w:cs="仿宋"/>
                <w:b/>
                <w:bCs/>
                <w:color w:val="000000" w:themeColor="text1"/>
                <w:sz w:val="24"/>
              </w:rPr>
            </w:pPr>
            <w:r>
              <w:rPr>
                <w:rFonts w:hint="eastAsia" w:ascii="仿宋_GB2312" w:hAnsi="仿宋" w:eastAsia="仿宋_GB2312" w:cs="仿宋"/>
                <w:b/>
                <w:bCs/>
                <w:color w:val="000000" w:themeColor="text1"/>
                <w:sz w:val="24"/>
              </w:rPr>
              <w:t xml:space="preserve">    （二）市政设施管护</w:t>
            </w:r>
          </w:p>
          <w:p>
            <w:pPr>
              <w:spacing w:line="360" w:lineRule="exact"/>
              <w:ind w:firstLine="480"/>
              <w:rPr>
                <w:rFonts w:ascii="仿宋_GB2312" w:hAnsi="仿宋" w:eastAsia="仿宋_GB2312" w:cs="仿宋"/>
                <w:color w:val="000000" w:themeColor="text1"/>
                <w:sz w:val="24"/>
              </w:rPr>
            </w:pPr>
            <w:r>
              <w:rPr>
                <w:rFonts w:hint="eastAsia" w:ascii="仿宋_GB2312" w:hAnsi="仿宋" w:eastAsia="仿宋_GB2312" w:cs="仿宋"/>
                <w:color w:val="000000" w:themeColor="text1"/>
                <w:sz w:val="24"/>
              </w:rPr>
              <w:t>大力开展市政设施专项整治，确保市政设施完好率95%以上；实施城市路灯照明“暗改亮”项目，对背街小巷及开放式社区进行补亮增亮，淘汰高耗能的高压钠灯，更换使用时间较长、照度不足的LED灯。</w:t>
            </w:r>
          </w:p>
          <w:p>
            <w:pPr>
              <w:spacing w:line="360" w:lineRule="exact"/>
              <w:ind w:firstLine="482"/>
              <w:rPr>
                <w:rFonts w:ascii="仿宋_GB2312" w:hAnsi="仿宋" w:eastAsia="仿宋_GB2312" w:cs="仿宋"/>
                <w:b/>
                <w:bCs/>
                <w:color w:val="000000" w:themeColor="text1"/>
                <w:sz w:val="24"/>
              </w:rPr>
            </w:pPr>
            <w:r>
              <w:rPr>
                <w:rFonts w:hint="eastAsia" w:ascii="仿宋_GB2312" w:hAnsi="仿宋" w:eastAsia="仿宋_GB2312" w:cs="仿宋"/>
                <w:b/>
                <w:bCs/>
                <w:color w:val="000000" w:themeColor="text1"/>
                <w:sz w:val="24"/>
              </w:rPr>
              <w:t>（三）市容环卫</w:t>
            </w:r>
          </w:p>
          <w:p>
            <w:pPr>
              <w:spacing w:line="360" w:lineRule="exact"/>
              <w:ind w:firstLine="480"/>
              <w:rPr>
                <w:rFonts w:ascii="仿宋_GB2312" w:hAnsi="仿宋" w:eastAsia="仿宋_GB2312" w:cs="仿宋"/>
                <w:b/>
                <w:bCs/>
                <w:color w:val="000000" w:themeColor="text1"/>
                <w:sz w:val="24"/>
              </w:rPr>
            </w:pPr>
            <w:r>
              <w:rPr>
                <w:rFonts w:hint="eastAsia" w:ascii="仿宋_GB2312" w:hAnsi="仿宋" w:eastAsia="仿宋_GB2312" w:cs="仿宋"/>
                <w:color w:val="000000" w:themeColor="text1"/>
                <w:sz w:val="24"/>
              </w:rPr>
              <w:t>全面解决主次干道、临街店面、街巷社区、城乡结合部和城中村存在的环境卫生问题。深化“马路本色”行动，进一步固化城市道路“机械化清扫、人行道冲洗、快速流动保洁”作业机制，全面推行“以克论净”考核机制，力争解决开放式老旧小区环卫保洁问题。持续提升环卫保洁机械化清扫率到100%。推动市容环卫保洁由平面向立面延伸，建立健全沿街建（构）筑物立面和树木定期清洗机制。</w:t>
            </w:r>
          </w:p>
          <w:p>
            <w:pPr>
              <w:spacing w:line="360" w:lineRule="exact"/>
              <w:ind w:firstLine="482"/>
              <w:rPr>
                <w:rFonts w:ascii="仿宋_GB2312" w:hAnsi="仿宋" w:eastAsia="仿宋_GB2312" w:cs="仿宋"/>
                <w:b/>
                <w:bCs/>
                <w:color w:val="000000" w:themeColor="text1"/>
                <w:sz w:val="24"/>
              </w:rPr>
            </w:pPr>
            <w:r>
              <w:rPr>
                <w:rFonts w:hint="eastAsia" w:ascii="仿宋_GB2312" w:hAnsi="仿宋" w:eastAsia="仿宋_GB2312" w:cs="仿宋"/>
                <w:b/>
                <w:bCs/>
                <w:color w:val="000000" w:themeColor="text1"/>
                <w:sz w:val="24"/>
              </w:rPr>
              <w:t>（四）提升优化城市人居环境</w:t>
            </w:r>
          </w:p>
          <w:p>
            <w:pPr>
              <w:spacing w:line="360" w:lineRule="exact"/>
              <w:ind w:firstLine="480"/>
              <w:rPr>
                <w:rFonts w:ascii="仿宋_GB2312" w:hAnsi="仿宋" w:eastAsia="仿宋_GB2312" w:cs="仿宋"/>
                <w:color w:val="000000" w:themeColor="text1"/>
                <w:sz w:val="24"/>
              </w:rPr>
            </w:pPr>
            <w:r>
              <w:rPr>
                <w:rFonts w:hint="eastAsia" w:ascii="仿宋_GB2312" w:hAnsi="仿宋" w:eastAsia="仿宋_GB2312" w:cs="仿宋"/>
                <w:color w:val="000000" w:themeColor="text1"/>
                <w:sz w:val="24"/>
              </w:rPr>
              <w:t>持续开展老旧社区、背街小巷改造和停车场设施建设等；继续深化农贸市场、交通场站、城市出入口、城市空中管线、户外广告、施工围档、餐饮油烟等专项治理。提升市域内公路、铁路等通道沿线综合环境品质，打造整洁美观、富有地域特色的通道沿线风光带。持续巩固地方和铁路“双段长”制、路域环境整治成效基础上，加强城市一环、二环、国省干线公路穿城镇（村）沿线整治。</w:t>
            </w:r>
          </w:p>
          <w:p>
            <w:pPr>
              <w:spacing w:line="360" w:lineRule="exact"/>
              <w:ind w:firstLine="482"/>
              <w:rPr>
                <w:rFonts w:ascii="仿宋_GB2312" w:hAnsi="仿宋" w:eastAsia="仿宋_GB2312" w:cs="仿宋"/>
                <w:b/>
                <w:bCs/>
                <w:color w:val="000000" w:themeColor="text1"/>
                <w:sz w:val="24"/>
              </w:rPr>
            </w:pPr>
            <w:r>
              <w:rPr>
                <w:rFonts w:hint="eastAsia" w:ascii="仿宋_GB2312" w:hAnsi="仿宋" w:eastAsia="仿宋_GB2312" w:cs="仿宋"/>
                <w:b/>
                <w:bCs/>
                <w:color w:val="000000" w:themeColor="text1"/>
                <w:sz w:val="24"/>
              </w:rPr>
              <w:t>（五）提升城市综合执法能力</w:t>
            </w:r>
          </w:p>
          <w:p>
            <w:pPr>
              <w:spacing w:line="360" w:lineRule="exact"/>
              <w:ind w:firstLine="480"/>
              <w:rPr>
                <w:rFonts w:ascii="仿宋_GB2312" w:hAnsi="仿宋" w:eastAsia="仿宋_GB2312" w:cs="仿宋"/>
                <w:color w:val="000000" w:themeColor="text1"/>
                <w:sz w:val="24"/>
              </w:rPr>
            </w:pPr>
            <w:r>
              <w:rPr>
                <w:rStyle w:val="35"/>
                <w:rFonts w:hint="eastAsia" w:ascii="仿宋_GB2312" w:hAnsi="仿宋" w:eastAsia="仿宋_GB2312" w:cs="仿宋"/>
                <w:b w:val="0"/>
                <w:bCs w:val="0"/>
                <w:color w:val="000000" w:themeColor="text1"/>
                <w:kern w:val="0"/>
                <w:sz w:val="24"/>
              </w:rPr>
              <w:t>建立联合执法机制，落实执法重心下移，加强城市管理执法队伍规范化建设，优化执法办案机制，规范执法标准、流程和统筹监管。加大街面秩序管理，规范开展市政、园林、环卫、环保、城市水务、违法建设、燃气等行业领域的行政执法。到2025年，全面完成队伍规范化建设，公众满意度达95%以上。</w:t>
            </w:r>
          </w:p>
          <w:p>
            <w:pPr>
              <w:spacing w:line="360" w:lineRule="exact"/>
              <w:ind w:firstLine="482"/>
              <w:rPr>
                <w:rFonts w:ascii="仿宋_GB2312" w:hAnsi="仿宋" w:eastAsia="仿宋_GB2312" w:cs="仿宋"/>
                <w:b/>
                <w:bCs/>
                <w:color w:val="000000" w:themeColor="text1"/>
                <w:sz w:val="24"/>
              </w:rPr>
            </w:pPr>
            <w:r>
              <w:rPr>
                <w:rFonts w:hint="eastAsia" w:ascii="仿宋_GB2312" w:hAnsi="仿宋" w:eastAsia="仿宋_GB2312" w:cs="仿宋"/>
                <w:b/>
                <w:bCs/>
                <w:color w:val="000000" w:themeColor="text1"/>
                <w:sz w:val="24"/>
              </w:rPr>
              <w:t>（六）推进城市管理体制机制改革</w:t>
            </w:r>
          </w:p>
          <w:p>
            <w:pPr>
              <w:spacing w:line="360" w:lineRule="exact"/>
              <w:ind w:firstLine="480"/>
              <w:rPr>
                <w:color w:val="000000" w:themeColor="text1"/>
                <w:sz w:val="24"/>
              </w:rPr>
            </w:pPr>
            <w:r>
              <w:rPr>
                <w:rFonts w:hint="eastAsia" w:ascii="仿宋_GB2312" w:hAnsi="仿宋" w:eastAsia="仿宋_GB2312" w:cs="仿宋"/>
                <w:color w:val="000000" w:themeColor="text1"/>
                <w:sz w:val="24"/>
              </w:rPr>
              <w:t>改革监管和养护模式，统筹设置监管机构，实行市级行业监管和区级属地化管理，构建规划、管理、监测、养护、执法“五位一体”城市治理运行体制。</w:t>
            </w:r>
          </w:p>
        </w:tc>
      </w:tr>
    </w:tbl>
    <w:p>
      <w:pPr>
        <w:pStyle w:val="14"/>
        <w:spacing w:after="0" w:line="558" w:lineRule="exact"/>
        <w:ind w:left="0" w:leftChars="0" w:firstLine="640"/>
      </w:pPr>
      <w:bookmarkStart w:id="579" w:name="_Toc18967"/>
    </w:p>
    <w:p>
      <w:pPr>
        <w:pStyle w:val="23"/>
        <w:adjustRightInd/>
        <w:snapToGrid/>
        <w:spacing w:line="558" w:lineRule="exact"/>
        <w:rPr>
          <w:b w:val="0"/>
          <w:color w:val="000000" w:themeColor="text1"/>
        </w:rPr>
      </w:pPr>
      <w:bookmarkStart w:id="580" w:name="_Toc64542211"/>
      <w:bookmarkStart w:id="581" w:name="_Toc14455"/>
      <w:r>
        <w:rPr>
          <w:rFonts w:hint="eastAsia"/>
          <w:b w:val="0"/>
          <w:color w:val="000000" w:themeColor="text1"/>
        </w:rPr>
        <w:t>第三十一章  推动综合交通跨越式发展</w:t>
      </w:r>
      <w:bookmarkEnd w:id="579"/>
      <w:bookmarkEnd w:id="580"/>
      <w:bookmarkEnd w:id="581"/>
    </w:p>
    <w:p>
      <w:pPr>
        <w:spacing w:line="558" w:lineRule="exact"/>
        <w:ind w:firstLine="640"/>
        <w:rPr>
          <w:rFonts w:ascii="仿宋_GB2312" w:eastAsia="仿宋_GB2312"/>
          <w:color w:val="000000" w:themeColor="text1"/>
          <w:kern w:val="0"/>
        </w:rPr>
      </w:pPr>
      <w:bookmarkStart w:id="582" w:name="_Toc57612822"/>
      <w:bookmarkStart w:id="583" w:name="_Toc57194231"/>
      <w:bookmarkStart w:id="584" w:name="_Toc57195692"/>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加快构建都市圈内1小时、全省设区市2小时、全国主要城市3-</w:t>
      </w:r>
      <w:r>
        <w:rPr>
          <w:rFonts w:ascii="仿宋_GB2312" w:eastAsia="仿宋_GB2312"/>
          <w:color w:val="000000" w:themeColor="text1"/>
          <w:kern w:val="0"/>
        </w:rPr>
        <w:t>5</w:t>
      </w:r>
      <w:r>
        <w:rPr>
          <w:rFonts w:hint="eastAsia" w:ascii="仿宋_GB2312" w:eastAsia="仿宋_GB2312"/>
          <w:color w:val="000000" w:themeColor="text1"/>
          <w:kern w:val="0"/>
        </w:rPr>
        <w:t>小时的快速综合交通网络，全力打造国际性综合运输枢纽城市</w:t>
      </w:r>
      <w:r>
        <w:rPr>
          <w:rFonts w:hint="eastAsia" w:ascii="仿宋_GB2312" w:hAnsi="Times New Roman" w:eastAsia="仿宋_GB2312" w:cs="Times New Roman"/>
          <w:color w:val="000000" w:themeColor="text1"/>
          <w:szCs w:val="32"/>
        </w:rPr>
        <w:t>，</w:t>
      </w:r>
      <w:r>
        <w:rPr>
          <w:rFonts w:hint="eastAsia" w:ascii="仿宋_GB2312" w:eastAsia="仿宋_GB2312"/>
          <w:color w:val="000000" w:themeColor="text1"/>
          <w:kern w:val="0"/>
        </w:rPr>
        <w:t>引领和支撑都市圈一体化发展。</w:t>
      </w:r>
    </w:p>
    <w:p>
      <w:pPr>
        <w:pStyle w:val="31"/>
        <w:autoSpaceDN/>
        <w:spacing w:line="558" w:lineRule="exact"/>
        <w:ind w:firstLine="640"/>
      </w:pPr>
    </w:p>
    <w:p>
      <w:pPr>
        <w:pStyle w:val="74"/>
        <w:adjustRightInd/>
        <w:snapToGrid/>
        <w:spacing w:line="558" w:lineRule="exact"/>
        <w:rPr>
          <w:rFonts w:ascii="楷体_GB2312" w:eastAsia="楷体_GB2312"/>
          <w:color w:val="000000" w:themeColor="text1"/>
        </w:rPr>
      </w:pPr>
      <w:bookmarkStart w:id="585" w:name="_Toc20345"/>
      <w:bookmarkStart w:id="586" w:name="_Toc64542212"/>
      <w:bookmarkStart w:id="587" w:name="_Toc17714"/>
      <w:bookmarkStart w:id="588" w:name="_Toc58676570"/>
      <w:r>
        <w:rPr>
          <w:rFonts w:hint="eastAsia" w:ascii="楷体_GB2312" w:eastAsia="楷体_GB2312"/>
          <w:color w:val="000000" w:themeColor="text1"/>
        </w:rPr>
        <w:t>第一节  强化外联综合运输通道</w:t>
      </w:r>
      <w:bookmarkEnd w:id="585"/>
      <w:bookmarkEnd w:id="586"/>
      <w:bookmarkEnd w:id="587"/>
      <w:bookmarkEnd w:id="588"/>
    </w:p>
    <w:p>
      <w:pPr>
        <w:spacing w:line="558" w:lineRule="exact"/>
        <w:ind w:firstLine="616"/>
        <w:rPr>
          <w:rFonts w:ascii="仿宋_GB2312" w:eastAsia="仿宋_GB2312"/>
          <w:color w:val="000000" w:themeColor="text1"/>
          <w:spacing w:val="-6"/>
          <w:kern w:val="0"/>
        </w:rPr>
      </w:pPr>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加快推进以南昌为中心的“米字型”高速铁路网和“五射”城际铁路网建设，加强与国家干线衔接，更优连接长江经济带、粤港澳、长三角等国家重大战略空间，更好联动省内沿线城市组团发展。</w:t>
      </w:r>
      <w:bookmarkStart w:id="589" w:name="_Toc58676571"/>
      <w:r>
        <w:rPr>
          <w:rFonts w:hint="eastAsia" w:ascii="仿宋_GB2312" w:eastAsia="仿宋_GB2312"/>
          <w:color w:val="000000" w:themeColor="text1"/>
          <w:kern w:val="0"/>
        </w:rPr>
        <w:t>推进高速公路路网建设</w:t>
      </w:r>
      <w:bookmarkEnd w:id="589"/>
      <w:r>
        <w:rPr>
          <w:rFonts w:hint="eastAsia" w:ascii="仿宋_GB2312" w:eastAsia="仿宋_GB2312"/>
          <w:color w:val="000000" w:themeColor="text1"/>
          <w:kern w:val="0"/>
        </w:rPr>
        <w:t>，加快形成“一环十一射”</w:t>
      </w:r>
      <w:r>
        <w:rPr>
          <w:rStyle w:val="38"/>
          <w:rFonts w:ascii="仿宋_GB2312" w:eastAsia="仿宋_GB2312"/>
          <w:color w:val="000000" w:themeColor="text1"/>
          <w:kern w:val="0"/>
        </w:rPr>
        <w:footnoteReference w:id="12"/>
      </w:r>
      <w:r>
        <w:rPr>
          <w:rFonts w:hint="eastAsia" w:ascii="仿宋_GB2312" w:eastAsia="仿宋_GB2312"/>
          <w:color w:val="000000" w:themeColor="text1"/>
          <w:kern w:val="0"/>
        </w:rPr>
        <w:t>高速公路网。推进赣新大道、昌高大道、昌抚大道等重要交通项目，构建“一环十三射”</w:t>
      </w:r>
      <w:r>
        <w:rPr>
          <w:rStyle w:val="38"/>
          <w:rFonts w:ascii="仿宋_GB2312" w:eastAsia="仿宋_GB2312"/>
          <w:color w:val="000000" w:themeColor="text1"/>
          <w:kern w:val="0"/>
        </w:rPr>
        <w:footnoteReference w:id="13"/>
      </w:r>
      <w:r>
        <w:rPr>
          <w:rFonts w:hint="eastAsia" w:ascii="仿宋_GB2312" w:eastAsia="仿宋_GB2312"/>
          <w:color w:val="000000" w:themeColor="text1"/>
          <w:kern w:val="0"/>
        </w:rPr>
        <w:t>的城际干线公路网布局。推进昌北国际机场三期扩建工程，加密航线网络，新增国际国内航线，完善集疏运系统，构建“</w:t>
      </w:r>
      <w:r>
        <w:rPr>
          <w:rFonts w:ascii="仿宋_GB2312" w:eastAsia="仿宋_GB2312"/>
          <w:color w:val="000000" w:themeColor="text1"/>
          <w:kern w:val="0"/>
        </w:rPr>
        <w:t>5</w:t>
      </w:r>
      <w:r>
        <w:rPr>
          <w:rFonts w:hint="eastAsia" w:ascii="仿宋_GB2312" w:eastAsia="仿宋_GB2312"/>
          <w:color w:val="000000" w:themeColor="text1"/>
          <w:kern w:val="0"/>
        </w:rPr>
        <w:t>横7纵”</w:t>
      </w:r>
      <w:r>
        <w:rPr>
          <w:rStyle w:val="38"/>
          <w:rFonts w:ascii="仿宋_GB2312" w:eastAsia="仿宋_GB2312"/>
          <w:color w:val="000000" w:themeColor="text1"/>
          <w:kern w:val="0"/>
        </w:rPr>
        <w:footnoteReference w:id="14"/>
      </w:r>
      <w:r>
        <w:rPr>
          <w:rFonts w:hint="eastAsia" w:ascii="仿宋_GB2312" w:eastAsia="仿宋_GB2312"/>
          <w:color w:val="000000" w:themeColor="text1"/>
          <w:kern w:val="0"/>
        </w:rPr>
        <w:t>路网疏解系统，引入昌九客专共建空铁综合枢纽，打造区域枢纽机场、江西省对外开放核心门户。推进赣江高等级航道网建设，优化航道港口联动体系，加快建设南昌港亿吨大港，打造国家内河主枢纽港，构建“一港十区两核心”</w:t>
      </w:r>
      <w:r>
        <w:rPr>
          <w:rStyle w:val="38"/>
          <w:rFonts w:ascii="仿宋_GB2312" w:eastAsia="仿宋_GB2312"/>
          <w:color w:val="000000" w:themeColor="text1"/>
          <w:kern w:val="0"/>
        </w:rPr>
        <w:footnoteReference w:id="15"/>
      </w:r>
      <w:r>
        <w:rPr>
          <w:rFonts w:hint="eastAsia" w:ascii="仿宋_GB2312" w:eastAsia="仿宋_GB2312"/>
          <w:color w:val="000000" w:themeColor="text1"/>
          <w:kern w:val="0"/>
        </w:rPr>
        <w:t>港区布局，形</w:t>
      </w:r>
      <w:r>
        <w:rPr>
          <w:rFonts w:hint="eastAsia" w:ascii="仿宋_GB2312" w:eastAsia="仿宋_GB2312"/>
          <w:color w:val="000000" w:themeColor="text1"/>
          <w:spacing w:val="-6"/>
          <w:kern w:val="0"/>
        </w:rPr>
        <w:t>成干支畅通、江海直达的内河水运体系。建设南昌东综合客运枢纽。</w:t>
      </w:r>
    </w:p>
    <w:p>
      <w:pPr>
        <w:pStyle w:val="31"/>
        <w:spacing w:line="480" w:lineRule="exact"/>
        <w:ind w:firstLine="640"/>
      </w:pPr>
    </w:p>
    <w:p>
      <w:pPr>
        <w:pStyle w:val="74"/>
        <w:adjustRightInd/>
        <w:snapToGrid/>
        <w:spacing w:line="580" w:lineRule="exact"/>
        <w:rPr>
          <w:rFonts w:ascii="楷体_GB2312" w:eastAsia="楷体_GB2312"/>
          <w:color w:val="000000" w:themeColor="text1"/>
        </w:rPr>
      </w:pPr>
      <w:bookmarkStart w:id="590" w:name="_Toc25823"/>
      <w:bookmarkStart w:id="591" w:name="_Toc64542213"/>
      <w:bookmarkStart w:id="592" w:name="_Toc31610"/>
      <w:r>
        <w:rPr>
          <w:rFonts w:hint="eastAsia" w:ascii="楷体_GB2312" w:eastAsia="楷体_GB2312"/>
          <w:color w:val="000000" w:themeColor="text1"/>
        </w:rPr>
        <w:t>第二节  优化内畅交通网络布局</w:t>
      </w:r>
      <w:bookmarkEnd w:id="590"/>
      <w:bookmarkEnd w:id="591"/>
      <w:bookmarkEnd w:id="592"/>
    </w:p>
    <w:p>
      <w:pPr>
        <w:spacing w:line="4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构建高效城市道路网络，完善跨江通道体系，在推动建成“十纵十横”城市干线道路的基础上，以加强我市纵横路网的联系通道建设。大力实施公交优先战略，构建定位清晰、功能互补的多层次公共交通网。打造城市绿色慢行空间和高品质绿道系统，促进自行车、步行交通和公共交通无缝衔接。建设无缝换乘、多式联运的综合客货运枢纽，构建“快进快出”的集疏运体系。着力打通交通拥堵瓶颈，基本消除断头路，推进无障碍设施改造和交通安全治理。</w:t>
      </w:r>
    </w:p>
    <w:tbl>
      <w:tblPr>
        <w:tblStyle w:val="3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tcBorders>
              <w:top w:val="single" w:color="auto" w:sz="4" w:space="0"/>
              <w:left w:val="single" w:color="auto" w:sz="4" w:space="0"/>
              <w:bottom w:val="single" w:color="auto" w:sz="4" w:space="0"/>
              <w:right w:val="single" w:color="auto" w:sz="4" w:space="0"/>
            </w:tcBorders>
            <w:vAlign w:val="center"/>
          </w:tcPr>
          <w:p>
            <w:pPr>
              <w:pStyle w:val="52"/>
              <w:numPr>
                <w:ilvl w:val="0"/>
                <w:numId w:val="0"/>
              </w:numPr>
              <w:spacing w:after="0" w:line="360" w:lineRule="exact"/>
              <w:jc w:val="center"/>
              <w:rPr>
                <w:rFonts w:ascii="仿宋_GB2312" w:eastAsia="仿宋_GB2312"/>
                <w:b/>
                <w:color w:val="000000" w:themeColor="text1"/>
                <w:sz w:val="28"/>
                <w:szCs w:val="28"/>
              </w:rPr>
            </w:pPr>
            <w:r>
              <w:rPr>
                <w:rFonts w:hint="eastAsia" w:ascii="黑体" w:hAnsi="黑体" w:eastAsia="黑体" w:cs="黑体"/>
                <w:bCs/>
                <w:color w:val="000000" w:themeColor="text1"/>
                <w:sz w:val="28"/>
                <w:szCs w:val="28"/>
              </w:rPr>
              <w:t>专栏24：交通运输重大工程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Borders>
              <w:top w:val="single" w:color="auto" w:sz="4" w:space="0"/>
              <w:left w:val="single" w:color="auto" w:sz="4" w:space="0"/>
              <w:bottom w:val="single" w:color="auto" w:sz="4" w:space="0"/>
              <w:right w:val="single" w:color="auto" w:sz="4" w:space="0"/>
            </w:tcBorders>
            <w:vAlign w:val="center"/>
          </w:tcPr>
          <w:p>
            <w:pPr>
              <w:spacing w:line="324" w:lineRule="exact"/>
              <w:ind w:firstLine="482"/>
              <w:rPr>
                <w:rFonts w:ascii="仿宋_GB2312" w:hAnsi="Times New Roman" w:eastAsia="仿宋_GB2312" w:cs="Times New Roman"/>
                <w:b/>
                <w:color w:val="000000" w:themeColor="text1"/>
                <w:kern w:val="0"/>
                <w:sz w:val="24"/>
              </w:rPr>
            </w:pPr>
            <w:r>
              <w:rPr>
                <w:rFonts w:hint="eastAsia" w:ascii="仿宋_GB2312" w:hAnsi="Times New Roman" w:eastAsia="仿宋_GB2312" w:cs="Times New Roman"/>
                <w:b/>
                <w:color w:val="000000" w:themeColor="text1"/>
                <w:kern w:val="0"/>
                <w:sz w:val="24"/>
              </w:rPr>
              <w:t>（一）铁路</w:t>
            </w:r>
          </w:p>
          <w:p>
            <w:pPr>
              <w:spacing w:line="324" w:lineRule="exact"/>
              <w:ind w:firstLine="482"/>
              <w:rPr>
                <w:rFonts w:ascii="仿宋_GB2312" w:hAnsi="Times New Roman" w:eastAsia="仿宋_GB2312" w:cs="Times New Roman"/>
                <w:b/>
                <w:color w:val="000000" w:themeColor="text1"/>
                <w:kern w:val="0"/>
                <w:sz w:val="24"/>
              </w:rPr>
            </w:pPr>
            <w:r>
              <w:rPr>
                <w:rFonts w:hint="eastAsia" w:ascii="仿宋_GB2312" w:hAnsi="Times New Roman" w:eastAsia="仿宋_GB2312" w:cs="Times New Roman"/>
                <w:b/>
                <w:color w:val="000000" w:themeColor="text1"/>
                <w:kern w:val="0"/>
                <w:sz w:val="24"/>
              </w:rPr>
              <w:t>高速铁路：</w:t>
            </w:r>
            <w:r>
              <w:rPr>
                <w:rFonts w:hint="eastAsia" w:ascii="仿宋_GB2312" w:hAnsi="Times New Roman" w:eastAsia="仿宋_GB2312" w:cs="Times New Roman"/>
                <w:color w:val="000000" w:themeColor="text1"/>
                <w:kern w:val="0"/>
                <w:sz w:val="24"/>
              </w:rPr>
              <w:t>昌景黄铁路、昌九客专、昌厦（福）高速铁路南昌段、常岳昌高速铁路南昌段。</w:t>
            </w:r>
          </w:p>
          <w:p>
            <w:pPr>
              <w:spacing w:line="324" w:lineRule="exact"/>
              <w:ind w:firstLine="482"/>
              <w:rPr>
                <w:rFonts w:ascii="仿宋_GB2312" w:hAnsi="Times New Roman" w:eastAsia="仿宋_GB2312" w:cs="Times New Roman"/>
                <w:b/>
                <w:color w:val="000000" w:themeColor="text1"/>
                <w:kern w:val="0"/>
                <w:sz w:val="24"/>
              </w:rPr>
            </w:pPr>
            <w:r>
              <w:rPr>
                <w:rFonts w:hint="eastAsia" w:ascii="仿宋_GB2312" w:hAnsi="Times New Roman" w:eastAsia="仿宋_GB2312" w:cs="Times New Roman"/>
                <w:b/>
                <w:color w:val="000000" w:themeColor="text1"/>
                <w:kern w:val="0"/>
                <w:sz w:val="24"/>
              </w:rPr>
              <w:t>大南昌都市圈轨道：</w:t>
            </w:r>
            <w:r>
              <w:rPr>
                <w:rFonts w:hint="eastAsia" w:ascii="仿宋_GB2312" w:hAnsi="Times New Roman" w:eastAsia="仿宋_GB2312" w:cs="Times New Roman"/>
                <w:color w:val="000000" w:themeColor="text1"/>
                <w:kern w:val="0"/>
                <w:sz w:val="24"/>
              </w:rPr>
              <w:t>推动</w:t>
            </w:r>
            <w:r>
              <w:rPr>
                <w:rFonts w:hint="eastAsia" w:ascii="仿宋_GB2312" w:eastAsia="仿宋_GB2312"/>
                <w:sz w:val="24"/>
              </w:rPr>
              <w:t>南昌-安义、南昌-高安、南昌-丰城、南昌-抚州轨道交通作为市域郊线建设工程统一纳入前期研究</w:t>
            </w:r>
            <w:r>
              <w:rPr>
                <w:rFonts w:hint="eastAsia" w:ascii="仿宋_GB2312" w:hAnsi="Times New Roman" w:eastAsia="仿宋_GB2312" w:cs="Times New Roman"/>
                <w:color w:val="000000" w:themeColor="text1"/>
                <w:kern w:val="0"/>
                <w:sz w:val="24"/>
              </w:rPr>
              <w:t>。</w:t>
            </w:r>
          </w:p>
          <w:p>
            <w:pPr>
              <w:spacing w:line="324" w:lineRule="exact"/>
              <w:ind w:firstLine="482"/>
              <w:rPr>
                <w:rFonts w:ascii="仿宋_GB2312" w:hAnsi="Times New Roman" w:eastAsia="仿宋_GB2312" w:cs="Times New Roman"/>
                <w:color w:val="000000" w:themeColor="text1"/>
                <w:kern w:val="0"/>
                <w:sz w:val="24"/>
              </w:rPr>
            </w:pPr>
            <w:r>
              <w:rPr>
                <w:rFonts w:hint="eastAsia" w:ascii="仿宋_GB2312" w:hAnsi="Times New Roman" w:eastAsia="仿宋_GB2312" w:cs="Times New Roman"/>
                <w:b/>
                <w:color w:val="000000" w:themeColor="text1"/>
                <w:kern w:val="0"/>
                <w:sz w:val="24"/>
              </w:rPr>
              <w:t>地铁：</w:t>
            </w:r>
            <w:r>
              <w:rPr>
                <w:rFonts w:hint="eastAsia" w:ascii="仿宋_GB2312" w:hAnsi="Times New Roman" w:eastAsia="仿宋_GB2312" w:cs="Times New Roman"/>
                <w:color w:val="000000" w:themeColor="text1"/>
                <w:kern w:val="0"/>
                <w:sz w:val="24"/>
              </w:rPr>
              <w:t>地铁1号线东延和北延工程、地铁2号线东延工程、地铁4号线延伸工程。</w:t>
            </w:r>
            <w:r>
              <w:rPr>
                <w:rFonts w:hint="eastAsia" w:ascii="仿宋_GB2312" w:hAnsi="Times New Roman" w:eastAsia="仿宋_GB2312" w:cs="Times New Roman"/>
                <w:color w:val="000000" w:themeColor="text1"/>
                <w:spacing w:val="-6"/>
                <w:kern w:val="0"/>
                <w:sz w:val="24"/>
              </w:rPr>
              <w:t>积极谋划九望新城、空港新城、V</w:t>
            </w:r>
            <w:r>
              <w:rPr>
                <w:rFonts w:ascii="仿宋_GB2312" w:hAnsi="Times New Roman" w:eastAsia="仿宋_GB2312" w:cs="Times New Roman"/>
                <w:color w:val="000000" w:themeColor="text1"/>
                <w:spacing w:val="-6"/>
                <w:kern w:val="0"/>
                <w:sz w:val="24"/>
              </w:rPr>
              <w:t>R</w:t>
            </w:r>
            <w:r>
              <w:rPr>
                <w:rFonts w:hint="eastAsia" w:ascii="仿宋_GB2312" w:hAnsi="Times New Roman" w:eastAsia="仿宋_GB2312" w:cs="Times New Roman"/>
                <w:color w:val="000000" w:themeColor="text1"/>
                <w:spacing w:val="-6"/>
                <w:kern w:val="0"/>
                <w:sz w:val="24"/>
              </w:rPr>
              <w:t>科创城、湾里、长堎、象湖新城等区域轨道交通服务。</w:t>
            </w:r>
          </w:p>
          <w:p>
            <w:pPr>
              <w:spacing w:line="324" w:lineRule="exact"/>
              <w:ind w:firstLine="482"/>
              <w:rPr>
                <w:rFonts w:ascii="仿宋_GB2312" w:hAnsi="Times New Roman" w:eastAsia="仿宋_GB2312" w:cs="Times New Roman"/>
                <w:b/>
                <w:color w:val="000000" w:themeColor="text1"/>
                <w:kern w:val="0"/>
                <w:sz w:val="24"/>
              </w:rPr>
            </w:pPr>
            <w:r>
              <w:rPr>
                <w:rFonts w:hint="eastAsia" w:ascii="仿宋_GB2312" w:hAnsi="Times New Roman" w:eastAsia="仿宋_GB2312" w:cs="Times New Roman"/>
                <w:b/>
                <w:color w:val="000000" w:themeColor="text1"/>
                <w:kern w:val="0"/>
                <w:sz w:val="24"/>
              </w:rPr>
              <w:t>（二）公路</w:t>
            </w:r>
          </w:p>
          <w:p>
            <w:pPr>
              <w:spacing w:line="324" w:lineRule="exact"/>
              <w:ind w:firstLine="482"/>
              <w:rPr>
                <w:rFonts w:ascii="仿宋_GB2312" w:hAnsi="Times New Roman" w:eastAsia="仿宋_GB2312" w:cs="Times New Roman"/>
                <w:color w:val="000000" w:themeColor="text1"/>
                <w:kern w:val="0"/>
                <w:sz w:val="24"/>
              </w:rPr>
            </w:pPr>
            <w:r>
              <w:rPr>
                <w:rFonts w:hint="eastAsia" w:ascii="仿宋_GB2312" w:hAnsi="Times New Roman" w:eastAsia="仿宋_GB2312" w:cs="Times New Roman"/>
                <w:b/>
                <w:color w:val="000000" w:themeColor="text1"/>
                <w:kern w:val="0"/>
                <w:sz w:val="24"/>
              </w:rPr>
              <w:t>高速公路：</w:t>
            </w:r>
            <w:r>
              <w:rPr>
                <w:rFonts w:hint="eastAsia" w:ascii="仿宋_GB2312" w:hAnsi="Times New Roman" w:eastAsia="仿宋_GB2312" w:cs="Times New Roman"/>
                <w:color w:val="000000" w:themeColor="text1"/>
                <w:kern w:val="0"/>
                <w:sz w:val="24"/>
              </w:rPr>
              <w:t>南昌绕城西二环高速公路工程、南昌市西外环高速公路英雄互通连接线工程、东外环高速与九洲大道互通连接线工程、南昌</w:t>
            </w:r>
            <w:r>
              <w:rPr>
                <w:rFonts w:ascii="仿宋_GB2312" w:hAnsi="Times New Roman" w:eastAsia="仿宋_GB2312" w:cs="Times New Roman"/>
                <w:color w:val="000000" w:themeColor="text1"/>
                <w:kern w:val="0"/>
                <w:sz w:val="24"/>
              </w:rPr>
              <w:t>-南丰高速公路工程</w:t>
            </w:r>
            <w:r>
              <w:rPr>
                <w:rFonts w:hint="eastAsia" w:ascii="仿宋_GB2312" w:hAnsi="Times New Roman" w:eastAsia="仿宋_GB2312" w:cs="Times New Roman"/>
                <w:color w:val="000000" w:themeColor="text1"/>
                <w:kern w:val="0"/>
                <w:sz w:val="24"/>
              </w:rPr>
              <w:t>、北外环高速公路北移工程、南昌至</w:t>
            </w:r>
            <w:r>
              <w:rPr>
                <w:rFonts w:ascii="仿宋_GB2312" w:hAnsi="Times New Roman" w:eastAsia="仿宋_GB2312" w:cs="Times New Roman"/>
                <w:color w:val="000000" w:themeColor="text1"/>
                <w:kern w:val="0"/>
                <w:sz w:val="24"/>
              </w:rPr>
              <w:t>阳新高速公路</w:t>
            </w:r>
            <w:r>
              <w:rPr>
                <w:rFonts w:hint="eastAsia" w:ascii="仿宋_GB2312" w:hAnsi="Times New Roman" w:eastAsia="仿宋_GB2312" w:cs="Times New Roman"/>
                <w:color w:val="000000" w:themeColor="text1"/>
                <w:kern w:val="0"/>
                <w:sz w:val="24"/>
              </w:rPr>
              <w:t>工程、老沪昆高速扩容改造工程。</w:t>
            </w:r>
          </w:p>
          <w:p>
            <w:pPr>
              <w:spacing w:line="324" w:lineRule="exact"/>
              <w:ind w:firstLine="482"/>
              <w:rPr>
                <w:rFonts w:ascii="仿宋_GB2312" w:hAnsi="Times New Roman" w:eastAsia="仿宋_GB2312" w:cs="Times New Roman"/>
                <w:color w:val="000000" w:themeColor="text1"/>
                <w:kern w:val="0"/>
                <w:sz w:val="24"/>
              </w:rPr>
            </w:pPr>
            <w:r>
              <w:rPr>
                <w:rFonts w:hint="eastAsia" w:ascii="仿宋_GB2312" w:hAnsi="Times New Roman" w:eastAsia="仿宋_GB2312" w:cs="Times New Roman"/>
                <w:b/>
                <w:color w:val="000000" w:themeColor="text1"/>
                <w:kern w:val="0"/>
                <w:sz w:val="24"/>
              </w:rPr>
              <w:t>城际公路：</w:t>
            </w:r>
            <w:r>
              <w:rPr>
                <w:rFonts w:hint="eastAsia" w:ascii="仿宋_GB2312" w:hAnsi="Times New Roman" w:eastAsia="仿宋_GB2312" w:cs="Times New Roman"/>
                <w:bCs/>
                <w:color w:val="000000" w:themeColor="text1"/>
                <w:kern w:val="0"/>
                <w:sz w:val="24"/>
              </w:rPr>
              <w:t>瑶湖云巴、</w:t>
            </w:r>
            <w:r>
              <w:rPr>
                <w:rFonts w:hint="eastAsia" w:ascii="仿宋_GB2312" w:hAnsi="Times New Roman" w:eastAsia="仿宋_GB2312" w:cs="Times New Roman"/>
                <w:color w:val="000000" w:themeColor="text1"/>
                <w:kern w:val="0"/>
                <w:sz w:val="24"/>
              </w:rPr>
              <w:t>赣新大道工程、昌高大道新建工程、昌抚大道新建工程、三清山大道南延对接丰厚一级公路工程、G</w:t>
            </w:r>
            <w:r>
              <w:rPr>
                <w:rFonts w:ascii="仿宋_GB2312" w:hAnsi="Times New Roman" w:eastAsia="仿宋_GB2312" w:cs="Times New Roman"/>
                <w:color w:val="000000" w:themeColor="text1"/>
                <w:kern w:val="0"/>
                <w:sz w:val="24"/>
              </w:rPr>
              <w:t>320</w:t>
            </w:r>
            <w:r>
              <w:rPr>
                <w:rFonts w:hint="eastAsia" w:ascii="仿宋_GB2312" w:hAnsi="Times New Roman" w:eastAsia="仿宋_GB2312" w:cs="Times New Roman"/>
                <w:color w:val="000000" w:themeColor="text1"/>
                <w:kern w:val="0"/>
                <w:sz w:val="24"/>
              </w:rPr>
              <w:t>连接线项目。</w:t>
            </w:r>
          </w:p>
          <w:p>
            <w:pPr>
              <w:spacing w:line="324" w:lineRule="exact"/>
              <w:ind w:firstLine="482"/>
              <w:rPr>
                <w:rFonts w:ascii="仿宋_GB2312" w:hAnsi="仿宋_GB2312" w:eastAsia="仿宋_GB2312" w:cs="仿宋_GB2312"/>
                <w:color w:val="000000" w:themeColor="text1"/>
                <w:sz w:val="24"/>
              </w:rPr>
            </w:pPr>
            <w:r>
              <w:rPr>
                <w:rFonts w:hint="eastAsia" w:ascii="仿宋_GB2312" w:hAnsi="Times New Roman" w:eastAsia="仿宋_GB2312" w:cs="Times New Roman"/>
                <w:b/>
                <w:color w:val="000000" w:themeColor="text1"/>
                <w:kern w:val="0"/>
                <w:sz w:val="24"/>
              </w:rPr>
              <w:t>城市道路：</w:t>
            </w:r>
            <w:r>
              <w:rPr>
                <w:rFonts w:hint="eastAsia" w:ascii="仿宋_GB2312" w:hAnsi="Times New Roman" w:eastAsia="仿宋_GB2312" w:cs="Times New Roman"/>
                <w:color w:val="000000" w:themeColor="text1"/>
                <w:kern w:val="0"/>
                <w:sz w:val="24"/>
              </w:rPr>
              <w:t>瑶湖隧道工程</w:t>
            </w:r>
            <w:r>
              <w:rPr>
                <w:rFonts w:hint="eastAsia" w:ascii="仿宋_GB2312" w:hAnsi="Times New Roman" w:eastAsia="仿宋_GB2312" w:cs="Times New Roman"/>
                <w:b/>
                <w:color w:val="000000" w:themeColor="text1"/>
                <w:kern w:val="0"/>
                <w:sz w:val="24"/>
              </w:rPr>
              <w:t>、</w:t>
            </w:r>
            <w:r>
              <w:rPr>
                <w:rFonts w:hint="eastAsia" w:ascii="仿宋_GB2312" w:hAnsi="Times New Roman" w:eastAsia="仿宋_GB2312" w:cs="Times New Roman"/>
                <w:color w:val="000000" w:themeColor="text1"/>
                <w:kern w:val="0"/>
                <w:sz w:val="24"/>
              </w:rPr>
              <w:t>高新大道快速化改造工程</w:t>
            </w:r>
            <w:r>
              <w:rPr>
                <w:rFonts w:hint="eastAsia" w:ascii="仿宋_GB2312" w:hAnsi="Times New Roman" w:eastAsia="仿宋_GB2312" w:cs="Times New Roman"/>
                <w:b/>
                <w:color w:val="000000" w:themeColor="text1"/>
                <w:kern w:val="0"/>
                <w:sz w:val="24"/>
              </w:rPr>
              <w:t>、</w:t>
            </w:r>
            <w:r>
              <w:rPr>
                <w:rFonts w:hint="eastAsia" w:ascii="仿宋_GB2312" w:hAnsi="Times New Roman" w:eastAsia="仿宋_GB2312" w:cs="Times New Roman"/>
                <w:color w:val="000000" w:themeColor="text1"/>
                <w:kern w:val="0"/>
                <w:sz w:val="24"/>
              </w:rPr>
              <w:t>萍乡大街工程。三清山大道、九龙大道南延对接丰厚一级公路、海昏侯国周边旅游公路、南昌</w:t>
            </w:r>
            <w:r>
              <w:rPr>
                <w:rFonts w:ascii="仿宋_GB2312" w:hAnsi="Times New Roman" w:eastAsia="仿宋_GB2312" w:cs="Times New Roman"/>
                <w:color w:val="000000" w:themeColor="text1"/>
                <w:kern w:val="0"/>
                <w:sz w:val="24"/>
              </w:rPr>
              <w:t>-吴城旅游公路</w:t>
            </w:r>
            <w:r>
              <w:rPr>
                <w:rFonts w:hint="eastAsia" w:ascii="仿宋_GB2312" w:hAnsi="Times New Roman" w:eastAsia="仿宋_GB2312" w:cs="Times New Roman"/>
                <w:color w:val="000000" w:themeColor="text1"/>
                <w:kern w:val="0"/>
                <w:sz w:val="24"/>
              </w:rPr>
              <w:t>。抚州大街、上饶大街、龙兴大街、宜春大街、梦山大道、石埠大道等。</w:t>
            </w:r>
            <w:r>
              <w:rPr>
                <w:rFonts w:hint="eastAsia" w:ascii="仿宋_GB2312" w:hAnsi="仿宋_GB2312" w:eastAsia="仿宋_GB2312" w:cs="仿宋_GB2312"/>
                <w:color w:val="000000" w:themeColor="text1"/>
                <w:sz w:val="24"/>
              </w:rPr>
              <w:t>昌东大道南延至向塘、沿江快速路南延至市汊港（岗上）、天祥大道南延至向塘、前湖快速路延至安义。</w:t>
            </w:r>
          </w:p>
          <w:p>
            <w:pPr>
              <w:spacing w:line="324" w:lineRule="exact"/>
              <w:ind w:firstLine="482"/>
              <w:rPr>
                <w:rFonts w:ascii="仿宋_GB2312" w:hAnsi="Times New Roman" w:eastAsia="仿宋_GB2312" w:cs="Times New Roman"/>
                <w:b/>
                <w:color w:val="000000" w:themeColor="text1"/>
                <w:kern w:val="0"/>
                <w:sz w:val="24"/>
              </w:rPr>
            </w:pPr>
            <w:r>
              <w:rPr>
                <w:rFonts w:hint="eastAsia" w:ascii="仿宋_GB2312" w:hAnsi="Times New Roman" w:eastAsia="仿宋_GB2312" w:cs="Times New Roman"/>
                <w:b/>
                <w:color w:val="000000" w:themeColor="text1"/>
                <w:kern w:val="0"/>
                <w:sz w:val="24"/>
              </w:rPr>
              <w:t>（三）国省道</w:t>
            </w:r>
          </w:p>
          <w:p>
            <w:pPr>
              <w:spacing w:line="324" w:lineRule="exact"/>
              <w:ind w:firstLine="480"/>
              <w:rPr>
                <w:rFonts w:ascii="仿宋_GB2312" w:hAnsi="仿宋_GB2312" w:eastAsia="仿宋_GB2312"/>
                <w:color w:val="000000" w:themeColor="text1"/>
              </w:rPr>
            </w:pPr>
            <w:r>
              <w:rPr>
                <w:rFonts w:hint="eastAsia" w:ascii="仿宋_GB2312" w:hAnsi="Times New Roman" w:eastAsia="仿宋_GB2312" w:cs="Times New Roman"/>
                <w:color w:val="000000" w:themeColor="text1"/>
                <w:kern w:val="0"/>
                <w:sz w:val="24"/>
              </w:rPr>
              <w:t>7</w:t>
            </w:r>
            <w:r>
              <w:rPr>
                <w:rFonts w:ascii="仿宋_GB2312" w:hAnsi="Times New Roman" w:eastAsia="仿宋_GB2312" w:cs="Times New Roman"/>
                <w:color w:val="000000" w:themeColor="text1"/>
                <w:kern w:val="0"/>
                <w:sz w:val="24"/>
              </w:rPr>
              <w:t>条国道改线/改建工程</w:t>
            </w:r>
            <w:r>
              <w:rPr>
                <w:rFonts w:hint="eastAsia" w:ascii="仿宋_GB2312" w:hAnsi="Times New Roman" w:eastAsia="仿宋_GB2312" w:cs="Times New Roman"/>
                <w:color w:val="000000" w:themeColor="text1"/>
                <w:kern w:val="0"/>
                <w:sz w:val="24"/>
              </w:rPr>
              <w:t>（</w:t>
            </w:r>
            <w:r>
              <w:rPr>
                <w:rFonts w:ascii="仿宋_GB2312" w:hAnsi="Times New Roman" w:eastAsia="仿宋_GB2312" w:cs="Times New Roman"/>
                <w:color w:val="000000" w:themeColor="text1"/>
                <w:kern w:val="0"/>
                <w:sz w:val="24"/>
              </w:rPr>
              <w:t>G320 西山至向塘绕城段、</w:t>
            </w:r>
            <w:r>
              <w:rPr>
                <w:rFonts w:hint="eastAsia" w:ascii="仿宋_GB2312" w:hAnsi="Times New Roman" w:eastAsia="仿宋_GB2312" w:cs="Times New Roman"/>
                <w:color w:val="000000" w:themeColor="text1"/>
                <w:kern w:val="0"/>
                <w:sz w:val="24"/>
              </w:rPr>
              <w:t>G353安义绕城至靖安段、G354安义绕城至奉新段、</w:t>
            </w:r>
            <w:r>
              <w:rPr>
                <w:rFonts w:ascii="仿宋_GB2312" w:hAnsi="Times New Roman" w:eastAsia="仿宋_GB2312" w:cs="Times New Roman"/>
                <w:color w:val="000000" w:themeColor="text1"/>
                <w:kern w:val="0"/>
                <w:sz w:val="24"/>
              </w:rPr>
              <w:t>G316 向塘至麻丘绕城段、G316麻丘至樵舍绕城段、G238 南昌县广福至万洲段</w:t>
            </w:r>
            <w:r>
              <w:rPr>
                <w:rFonts w:hint="eastAsia" w:ascii="仿宋_GB2312" w:hAnsi="Times New Roman" w:eastAsia="仿宋_GB2312" w:cs="Times New Roman"/>
                <w:color w:val="000000" w:themeColor="text1"/>
                <w:kern w:val="0"/>
                <w:sz w:val="24"/>
              </w:rPr>
              <w:t>、G105国道</w:t>
            </w:r>
            <w:r>
              <w:rPr>
                <w:rFonts w:ascii="仿宋_GB2312" w:hAnsi="Times New Roman" w:eastAsia="仿宋_GB2312" w:cs="Times New Roman"/>
                <w:color w:val="000000" w:themeColor="text1"/>
                <w:kern w:val="0"/>
                <w:sz w:val="24"/>
              </w:rPr>
              <w:t>改建工程</w:t>
            </w:r>
            <w:r>
              <w:rPr>
                <w:rFonts w:hint="eastAsia" w:ascii="仿宋_GB2312" w:hAnsi="Times New Roman" w:eastAsia="仿宋_GB2312" w:cs="Times New Roman"/>
                <w:color w:val="000000" w:themeColor="text1"/>
                <w:kern w:val="0"/>
                <w:sz w:val="24"/>
              </w:rPr>
              <w:t>）、</w:t>
            </w:r>
            <w:r>
              <w:rPr>
                <w:rFonts w:ascii="仿宋_GB2312" w:hAnsi="Times New Roman" w:eastAsia="仿宋_GB2312" w:cs="Times New Roman"/>
                <w:color w:val="000000" w:themeColor="text1"/>
                <w:kern w:val="0"/>
                <w:sz w:val="24"/>
              </w:rPr>
              <w:t>14条省道改建工程</w:t>
            </w:r>
            <w:r>
              <w:rPr>
                <w:rFonts w:hint="eastAsia" w:ascii="仿宋_GB2312" w:hAnsi="Times New Roman" w:eastAsia="仿宋_GB2312" w:cs="Times New Roman"/>
                <w:color w:val="000000" w:themeColor="text1"/>
                <w:kern w:val="0"/>
                <w:sz w:val="24"/>
              </w:rPr>
              <w:t>（S</w:t>
            </w:r>
            <w:r>
              <w:rPr>
                <w:rFonts w:ascii="仿宋_GB2312" w:hAnsi="Times New Roman" w:eastAsia="仿宋_GB2312" w:cs="Times New Roman"/>
                <w:color w:val="000000" w:themeColor="text1"/>
                <w:kern w:val="0"/>
                <w:sz w:val="24"/>
              </w:rPr>
              <w:t>101</w:t>
            </w:r>
            <w:r>
              <w:rPr>
                <w:rFonts w:hint="eastAsia" w:ascii="仿宋_GB2312" w:hAnsi="Times New Roman" w:eastAsia="仿宋_GB2312" w:cs="Times New Roman"/>
                <w:color w:val="000000" w:themeColor="text1"/>
                <w:kern w:val="0"/>
                <w:sz w:val="24"/>
              </w:rPr>
              <w:t>乐化至饭下屯一级公路、</w:t>
            </w:r>
            <w:r>
              <w:rPr>
                <w:rFonts w:ascii="仿宋_GB2312" w:hAnsi="Times New Roman" w:eastAsia="仿宋_GB2312" w:cs="Times New Roman"/>
                <w:color w:val="000000" w:themeColor="text1"/>
                <w:kern w:val="0"/>
                <w:sz w:val="24"/>
              </w:rPr>
              <w:t>S416新建乔乐至西山段公路、S218 安义互通至石鼻镇公路、S212进贤三阳集至长山晏公路、S208进贤县钟陵至寨上段二级公路、S104南昌县莲塘至余干黄金埠公路、S416新建石岗至筱岭段二级公路、S216南昌市新建区流湖温泉城至厚田象潭段公路、S212进贤县方家至杨显段二级公路、S105南昌市新建区流湖至石岗段二级公路、S524进贤县张公至</w:t>
            </w:r>
            <w:r>
              <w:rPr>
                <w:rFonts w:hint="eastAsia" w:ascii="仿宋_GB2312" w:hAnsi="Times New Roman" w:eastAsia="仿宋_GB2312" w:cs="Times New Roman"/>
                <w:color w:val="000000" w:themeColor="text1"/>
                <w:kern w:val="0"/>
                <w:sz w:val="24"/>
              </w:rPr>
              <w:t>架桥</w:t>
            </w:r>
            <w:r>
              <w:rPr>
                <w:rFonts w:ascii="仿宋_GB2312" w:hAnsi="Times New Roman" w:eastAsia="仿宋_GB2312" w:cs="Times New Roman"/>
                <w:color w:val="000000" w:themeColor="text1"/>
                <w:kern w:val="0"/>
                <w:sz w:val="24"/>
              </w:rPr>
              <w:t>段公路、S103南昌县蒋巷至肖家闸段一级公路、S426南昌袁渡至梁西公路、S517南昌县幽兰马游村至江陂村段二级公路等改建工程</w:t>
            </w:r>
            <w:r>
              <w:rPr>
                <w:rFonts w:hint="eastAsia" w:ascii="仿宋_GB2312" w:hAnsi="Times New Roman" w:eastAsia="仿宋_GB2312" w:cs="Times New Roman"/>
                <w:color w:val="000000" w:themeColor="text1"/>
                <w:kern w:val="0"/>
                <w:sz w:val="24"/>
              </w:rPr>
              <w:t>）。</w:t>
            </w:r>
          </w:p>
          <w:p>
            <w:pPr>
              <w:spacing w:line="324" w:lineRule="exact"/>
              <w:ind w:firstLine="482"/>
              <w:rPr>
                <w:rFonts w:ascii="仿宋_GB2312" w:hAnsi="Times New Roman" w:eastAsia="仿宋_GB2312" w:cs="Times New Roman"/>
                <w:b/>
                <w:color w:val="000000" w:themeColor="text1"/>
                <w:kern w:val="0"/>
                <w:sz w:val="24"/>
              </w:rPr>
            </w:pPr>
            <w:r>
              <w:rPr>
                <w:rFonts w:hint="eastAsia" w:ascii="仿宋_GB2312" w:hAnsi="Times New Roman" w:eastAsia="仿宋_GB2312" w:cs="Times New Roman"/>
                <w:b/>
                <w:color w:val="000000" w:themeColor="text1"/>
                <w:kern w:val="0"/>
                <w:sz w:val="24"/>
              </w:rPr>
              <w:t>（四）水运</w:t>
            </w:r>
          </w:p>
          <w:p>
            <w:pPr>
              <w:spacing w:line="324" w:lineRule="exact"/>
              <w:ind w:firstLine="480"/>
              <w:rPr>
                <w:rFonts w:ascii="仿宋_GB2312" w:hAnsi="Times New Roman" w:eastAsia="仿宋_GB2312" w:cs="Times New Roman"/>
                <w:color w:val="000000" w:themeColor="text1"/>
                <w:kern w:val="0"/>
                <w:sz w:val="24"/>
              </w:rPr>
            </w:pPr>
            <w:r>
              <w:rPr>
                <w:rFonts w:hint="eastAsia" w:ascii="仿宋_GB2312" w:hAnsi="Times New Roman" w:eastAsia="仿宋_GB2312" w:cs="Times New Roman"/>
                <w:color w:val="000000" w:themeColor="text1"/>
                <w:kern w:val="0"/>
                <w:sz w:val="24"/>
              </w:rPr>
              <w:t>姚湾综合码头、航空城码头、南昌龙头岗综合码头二期工程、南昌港官塘作业区码头一期工程、厚田港区张胡作业码头工程、南新港区洲渼</w:t>
            </w:r>
            <w:r>
              <w:rPr>
                <w:rFonts w:hint="eastAsia" w:ascii="仿宋_GB2312" w:hAnsi="仿宋_GB2312" w:eastAsia="仿宋_GB2312" w:cs="仿宋_GB2312"/>
                <w:color w:val="000000" w:themeColor="text1"/>
                <w:kern w:val="0"/>
                <w:sz w:val="24"/>
              </w:rPr>
              <w:t>作业码头工程、樵舍港区上万坊张作业码头工程、樵舍港区油库码头（含油库）工程、昌东港区下尾万家作业码头工程和厚田港区、南新港区、樵舍港区、昌东港区、市汊港区（姚湾码头）疏港公路项目、昌江航道提升工程、新干枢纽-南昌Ⅱ级航道整治工程、南昌向塘国际陆港新城至姚湾、市汊港区疏港铁路专用线建设。</w:t>
            </w:r>
          </w:p>
          <w:p>
            <w:pPr>
              <w:spacing w:line="324" w:lineRule="exact"/>
              <w:ind w:firstLine="482"/>
              <w:rPr>
                <w:rFonts w:ascii="仿宋_GB2312" w:hAnsi="Times New Roman" w:eastAsia="仿宋_GB2312" w:cs="Times New Roman"/>
                <w:b/>
                <w:color w:val="000000" w:themeColor="text1"/>
                <w:kern w:val="0"/>
                <w:sz w:val="24"/>
              </w:rPr>
            </w:pPr>
            <w:r>
              <w:rPr>
                <w:rFonts w:hint="eastAsia" w:ascii="仿宋_GB2312" w:hAnsi="Times New Roman" w:eastAsia="仿宋_GB2312" w:cs="Times New Roman"/>
                <w:b/>
                <w:color w:val="000000" w:themeColor="text1"/>
                <w:kern w:val="0"/>
                <w:sz w:val="24"/>
              </w:rPr>
              <w:t>（五）航空</w:t>
            </w:r>
          </w:p>
          <w:p>
            <w:pPr>
              <w:spacing w:line="324" w:lineRule="exact"/>
              <w:ind w:firstLine="480"/>
              <w:rPr>
                <w:rFonts w:ascii="仿宋_GB2312" w:hAnsi="Times New Roman" w:eastAsia="仿宋_GB2312" w:cs="Times New Roman"/>
                <w:color w:val="000000" w:themeColor="text1"/>
                <w:kern w:val="0"/>
                <w:sz w:val="24"/>
              </w:rPr>
            </w:pPr>
            <w:r>
              <w:rPr>
                <w:rFonts w:hint="eastAsia" w:ascii="仿宋_GB2312" w:hAnsi="Times New Roman" w:eastAsia="仿宋_GB2312" w:cs="Times New Roman"/>
                <w:color w:val="000000" w:themeColor="text1"/>
                <w:kern w:val="0"/>
                <w:sz w:val="24"/>
              </w:rPr>
              <w:t>昌北国际机场三期扩建工程、机场周边道路交通集疏运系统建设工程。实施瑶湖机场试飞保障项目，</w:t>
            </w:r>
            <w:r>
              <w:rPr>
                <w:rFonts w:hint="eastAsia" w:ascii="仿宋_GB2312" w:hAnsi="Times New Roman" w:eastAsia="仿宋_GB2312" w:cs="Times New Roman"/>
                <w:kern w:val="0"/>
                <w:sz w:val="24"/>
              </w:rPr>
              <w:t>用好低空空域，有序推进直升机起降点建设。</w:t>
            </w:r>
            <w:r>
              <w:rPr>
                <w:rFonts w:hint="eastAsia" w:ascii="仿宋_GB2312" w:hAnsi="Times New Roman" w:eastAsia="仿宋_GB2312" w:cs="Times New Roman"/>
                <w:color w:val="000000" w:themeColor="text1"/>
                <w:kern w:val="0"/>
                <w:sz w:val="24"/>
              </w:rPr>
              <w:t>谋划新建安义县、进贤县通用机场，提升商务、救援、应急防控等能力。</w:t>
            </w:r>
          </w:p>
          <w:p>
            <w:pPr>
              <w:spacing w:line="324" w:lineRule="exact"/>
              <w:ind w:firstLine="482"/>
              <w:rPr>
                <w:rFonts w:ascii="仿宋_GB2312" w:hAnsi="Times New Roman" w:eastAsia="仿宋_GB2312" w:cs="Times New Roman"/>
                <w:color w:val="000000" w:themeColor="text1"/>
                <w:kern w:val="0"/>
                <w:sz w:val="24"/>
              </w:rPr>
            </w:pPr>
            <w:r>
              <w:rPr>
                <w:rFonts w:hint="eastAsia" w:ascii="仿宋_GB2312" w:hAnsi="Times New Roman" w:eastAsia="仿宋_GB2312" w:cs="Times New Roman"/>
                <w:b/>
                <w:color w:val="000000" w:themeColor="text1"/>
                <w:kern w:val="0"/>
                <w:sz w:val="24"/>
              </w:rPr>
              <w:t>（六）枢纽</w:t>
            </w:r>
          </w:p>
          <w:p>
            <w:pPr>
              <w:spacing w:line="324" w:lineRule="exact"/>
              <w:ind w:firstLine="480"/>
              <w:rPr>
                <w:rFonts w:ascii="仿宋_GB2312" w:hAnsi="Times New Roman" w:eastAsia="仿宋_GB2312" w:cs="Times New Roman"/>
                <w:color w:val="000000" w:themeColor="text1"/>
                <w:kern w:val="0"/>
                <w:sz w:val="24"/>
              </w:rPr>
            </w:pPr>
            <w:r>
              <w:rPr>
                <w:rFonts w:hint="eastAsia" w:ascii="仿宋_GB2312" w:hAnsi="Times New Roman" w:eastAsia="仿宋_GB2312" w:cs="Times New Roman"/>
                <w:color w:val="000000" w:themeColor="text1"/>
                <w:kern w:val="0"/>
                <w:sz w:val="24"/>
              </w:rPr>
              <w:t>南昌昌北机场综合客运枢纽、南昌东综合客运枢纽、公路客运枢纽综合开发与功能调整、城市公交枢纽场站规划、向塘站综合交通枢纽建设工程、南昌北站综合开发工程、莲塘站综合开发工程。</w:t>
            </w:r>
          </w:p>
          <w:p>
            <w:pPr>
              <w:spacing w:line="324" w:lineRule="exact"/>
              <w:ind w:firstLine="482"/>
              <w:rPr>
                <w:rFonts w:ascii="仿宋_GB2312" w:hAnsi="Times New Roman" w:eastAsia="仿宋_GB2312" w:cs="Times New Roman"/>
                <w:color w:val="000000" w:themeColor="text1"/>
                <w:kern w:val="0"/>
                <w:sz w:val="24"/>
              </w:rPr>
            </w:pPr>
            <w:r>
              <w:rPr>
                <w:rFonts w:hint="eastAsia" w:ascii="仿宋_GB2312" w:hAnsi="Times New Roman" w:eastAsia="仿宋_GB2312" w:cs="Times New Roman"/>
                <w:b/>
                <w:color w:val="000000" w:themeColor="text1"/>
                <w:kern w:val="0"/>
                <w:sz w:val="24"/>
              </w:rPr>
              <w:t>（七）交通服务</w:t>
            </w:r>
          </w:p>
          <w:p>
            <w:pPr>
              <w:spacing w:line="324" w:lineRule="exact"/>
              <w:ind w:firstLine="480"/>
              <w:rPr>
                <w:rFonts w:ascii="Times New Roman" w:hAnsi="Times New Roman" w:cs="Times New Roman"/>
                <w:color w:val="000000" w:themeColor="text1"/>
                <w:kern w:val="0"/>
                <w:sz w:val="24"/>
              </w:rPr>
            </w:pPr>
            <w:r>
              <w:rPr>
                <w:rFonts w:hint="eastAsia" w:ascii="仿宋_GB2312" w:hAnsi="Times New Roman" w:eastAsia="仿宋_GB2312" w:cs="Times New Roman"/>
                <w:color w:val="000000" w:themeColor="text1"/>
                <w:kern w:val="0"/>
                <w:sz w:val="24"/>
              </w:rPr>
              <w:t>城市候机楼建设、城际快捷列车建设工程、智慧公路建设工程、水上服务区。</w:t>
            </w:r>
          </w:p>
        </w:tc>
      </w:tr>
    </w:tbl>
    <w:p>
      <w:pPr>
        <w:widowControl/>
        <w:ind w:firstLine="0" w:firstLineChars="0"/>
        <w:jc w:val="left"/>
        <w:rPr>
          <w:b/>
          <w:color w:val="000000" w:themeColor="text1"/>
        </w:rPr>
      </w:pPr>
      <w:bookmarkStart w:id="593" w:name="_Toc12869"/>
      <w:bookmarkStart w:id="594" w:name="_Toc1049"/>
      <w:r>
        <w:rPr>
          <w:b/>
          <w:color w:val="000000" w:themeColor="text1"/>
        </w:rPr>
        <w:drawing>
          <wp:inline distT="0" distB="0" distL="0" distR="0">
            <wp:extent cx="5611495" cy="6984365"/>
            <wp:effectExtent l="19050" t="0" r="7675" b="0"/>
            <wp:docPr id="3" name="图片 2" descr="高速路网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高速路网示意图.jpg"/>
                    <pic:cNvPicPr>
                      <a:picLocks noChangeAspect="1"/>
                    </pic:cNvPicPr>
                  </pic:nvPicPr>
                  <pic:blipFill>
                    <a:blip r:embed="rId19" cstate="print"/>
                    <a:srcRect l="7427" t="12359" r="7162" b="12359"/>
                    <a:stretch>
                      <a:fillRect/>
                    </a:stretch>
                  </pic:blipFill>
                  <pic:spPr>
                    <a:xfrm>
                      <a:off x="0" y="0"/>
                      <a:ext cx="5612075" cy="6984655"/>
                    </a:xfrm>
                    <a:prstGeom prst="rect">
                      <a:avLst/>
                    </a:prstGeom>
                  </pic:spPr>
                </pic:pic>
              </a:graphicData>
            </a:graphic>
          </wp:inline>
        </w:drawing>
      </w:r>
    </w:p>
    <w:p>
      <w:pPr>
        <w:widowControl/>
        <w:ind w:firstLine="0" w:firstLineChars="0"/>
        <w:jc w:val="center"/>
        <w:rPr>
          <w:rFonts w:ascii="楷体_GB2312" w:eastAsia="楷体_GB2312"/>
          <w:b/>
          <w:color w:val="000000" w:themeColor="text1"/>
          <w:sz w:val="30"/>
          <w:szCs w:val="30"/>
        </w:rPr>
      </w:pPr>
      <w:r>
        <w:rPr>
          <w:rFonts w:hint="eastAsia" w:ascii="楷体_GB2312" w:eastAsia="楷体_GB2312"/>
          <w:b/>
          <w:color w:val="000000" w:themeColor="text1"/>
          <w:sz w:val="30"/>
          <w:szCs w:val="30"/>
        </w:rPr>
        <w:t>图6：高速路网示意图</w:t>
      </w:r>
      <w:r>
        <w:rPr>
          <w:rFonts w:hint="eastAsia" w:ascii="楷体_GB2312" w:eastAsia="楷体_GB2312"/>
          <w:b/>
          <w:color w:val="000000" w:themeColor="text1"/>
          <w:sz w:val="30"/>
          <w:szCs w:val="30"/>
        </w:rPr>
        <w:br w:type="page"/>
      </w:r>
    </w:p>
    <w:p>
      <w:pPr>
        <w:pStyle w:val="23"/>
        <w:adjustRightInd/>
        <w:snapToGrid/>
        <w:spacing w:line="570" w:lineRule="exact"/>
        <w:rPr>
          <w:b w:val="0"/>
          <w:color w:val="000000" w:themeColor="text1"/>
        </w:rPr>
      </w:pPr>
      <w:bookmarkStart w:id="595" w:name="_Toc64542214"/>
    </w:p>
    <w:p>
      <w:pPr>
        <w:pStyle w:val="23"/>
        <w:adjustRightInd/>
        <w:snapToGrid/>
        <w:spacing w:line="570" w:lineRule="exact"/>
        <w:rPr>
          <w:b w:val="0"/>
          <w:color w:val="000000" w:themeColor="text1"/>
        </w:rPr>
      </w:pPr>
      <w:r>
        <w:rPr>
          <w:rFonts w:hint="eastAsia"/>
          <w:b w:val="0"/>
          <w:color w:val="000000" w:themeColor="text1"/>
        </w:rPr>
        <w:t>第三十二章  加快建设现代能源水利设施</w:t>
      </w:r>
      <w:bookmarkEnd w:id="582"/>
      <w:bookmarkEnd w:id="583"/>
      <w:bookmarkEnd w:id="584"/>
      <w:bookmarkEnd w:id="593"/>
      <w:bookmarkEnd w:id="594"/>
      <w:bookmarkEnd w:id="595"/>
    </w:p>
    <w:p>
      <w:pPr>
        <w:spacing w:line="570" w:lineRule="exact"/>
        <w:ind w:firstLine="640"/>
        <w:rPr>
          <w:rFonts w:ascii="仿宋_GB2312" w:hAnsi="仿宋_GB2312" w:eastAsia="仿宋_GB2312" w:cs="仿宋_GB2312"/>
        </w:rPr>
      </w:pPr>
    </w:p>
    <w:p>
      <w:pPr>
        <w:spacing w:line="570" w:lineRule="exact"/>
        <w:ind w:firstLine="640"/>
        <w:rPr>
          <w:rFonts w:ascii="仿宋_GB2312" w:hAnsi="仿宋_GB2312" w:eastAsia="仿宋_GB2312" w:cs="仿宋_GB2312"/>
        </w:rPr>
      </w:pPr>
      <w:r>
        <w:rPr>
          <w:rFonts w:hint="eastAsia" w:ascii="仿宋_GB2312" w:hAnsi="仿宋_GB2312" w:eastAsia="仿宋_GB2312" w:cs="仿宋_GB2312"/>
        </w:rPr>
        <w:t>加快能源结构转型升级，全方位提升能源清洁化水平，建设高标准防洪安全网、高水平水资源配置网和高效能智慧水利网，构建安全高效、智慧共享的现代能源水利体系。</w:t>
      </w:r>
    </w:p>
    <w:p>
      <w:pPr>
        <w:pStyle w:val="31"/>
        <w:autoSpaceDN/>
        <w:spacing w:line="570" w:lineRule="exact"/>
        <w:ind w:firstLine="640"/>
      </w:pPr>
    </w:p>
    <w:p>
      <w:pPr>
        <w:pStyle w:val="74"/>
        <w:adjustRightInd/>
        <w:snapToGrid/>
        <w:spacing w:line="570" w:lineRule="exact"/>
        <w:rPr>
          <w:rFonts w:ascii="楷体_GB2312" w:eastAsia="楷体_GB2312"/>
          <w:color w:val="000000" w:themeColor="text1"/>
        </w:rPr>
      </w:pPr>
      <w:bookmarkStart w:id="596" w:name="_Toc30541"/>
      <w:bookmarkStart w:id="597" w:name="_Toc20393"/>
      <w:bookmarkStart w:id="598" w:name="_Toc64542215"/>
      <w:r>
        <w:rPr>
          <w:rFonts w:hint="eastAsia" w:ascii="楷体_GB2312" w:eastAsia="楷体_GB2312"/>
          <w:color w:val="000000" w:themeColor="text1"/>
        </w:rPr>
        <w:t>第一节  加强能源设施建设</w:t>
      </w:r>
      <w:bookmarkEnd w:id="596"/>
      <w:bookmarkEnd w:id="597"/>
      <w:bookmarkEnd w:id="598"/>
    </w:p>
    <w:p>
      <w:pPr>
        <w:spacing w:line="570" w:lineRule="exact"/>
        <w:ind w:firstLine="640"/>
        <w:rPr>
          <w:rFonts w:ascii="仿宋_GB2312" w:eastAsia="仿宋_GB2312"/>
          <w:color w:val="000000" w:themeColor="text1"/>
          <w:kern w:val="0"/>
        </w:rPr>
      </w:pPr>
    </w:p>
    <w:p>
      <w:pPr>
        <w:spacing w:line="570" w:lineRule="exact"/>
        <w:ind w:firstLine="640"/>
        <w:rPr>
          <w:rFonts w:ascii="仿宋_GB2312" w:eastAsia="仿宋_GB2312"/>
          <w:color w:val="000000" w:themeColor="text1"/>
          <w:kern w:val="0"/>
          <w:sz w:val="28"/>
          <w:szCs w:val="28"/>
        </w:rPr>
      </w:pPr>
      <w:r>
        <w:rPr>
          <w:rFonts w:hint="eastAsia" w:ascii="仿宋_GB2312" w:eastAsia="仿宋_GB2312"/>
          <w:color w:val="000000" w:themeColor="text1"/>
          <w:kern w:val="0"/>
        </w:rPr>
        <w:t>积极推进新昌电厂6</w:t>
      </w:r>
      <w:r>
        <w:rPr>
          <w:rFonts w:ascii="仿宋_GB2312" w:eastAsia="仿宋_GB2312"/>
          <w:color w:val="000000" w:themeColor="text1"/>
          <w:kern w:val="0"/>
        </w:rPr>
        <w:t>00</w:t>
      </w:r>
      <w:r>
        <w:rPr>
          <w:rFonts w:hint="eastAsia" w:ascii="仿宋_GB2312" w:eastAsia="仿宋_GB2312"/>
          <w:color w:val="000000" w:themeColor="text1"/>
          <w:kern w:val="0"/>
        </w:rPr>
        <w:t>万吨煤炭吞吐储运项目。优化用电网架结构，重点完善</w:t>
      </w:r>
      <w:r>
        <w:rPr>
          <w:rFonts w:ascii="仿宋_GB2312" w:eastAsia="仿宋_GB2312"/>
          <w:color w:val="000000" w:themeColor="text1"/>
          <w:kern w:val="0"/>
        </w:rPr>
        <w:t>500千伏双回路环网，扩大220千伏电网覆盖面</w:t>
      </w:r>
      <w:r>
        <w:rPr>
          <w:rFonts w:hint="eastAsia" w:ascii="仿宋_GB2312" w:eastAsia="仿宋_GB2312"/>
          <w:color w:val="000000" w:themeColor="text1"/>
          <w:kern w:val="0"/>
        </w:rPr>
        <w:t>。</w:t>
      </w:r>
      <w:r>
        <w:rPr>
          <w:rFonts w:ascii="仿宋_GB2312" w:eastAsia="仿宋_GB2312"/>
          <w:color w:val="000000" w:themeColor="text1"/>
          <w:kern w:val="0"/>
        </w:rPr>
        <w:t>加快推进雅中至江西、南昌至武汉、南昌至长沙特高压输变电工程，</w:t>
      </w:r>
      <w:r>
        <w:rPr>
          <w:rFonts w:hint="eastAsia" w:ascii="仿宋_GB2312" w:eastAsia="仿宋_GB2312"/>
          <w:color w:val="000000" w:themeColor="text1"/>
          <w:kern w:val="0"/>
        </w:rPr>
        <w:t>协同推进特高压智慧电网建设。稳步开展城乡电网智能化改造，建立数字化建管养运系统，打造智能配电网示范区和电力物联网示范区。规模化部署智能</w:t>
      </w:r>
      <w:r>
        <w:rPr>
          <w:rFonts w:ascii="仿宋_GB2312" w:eastAsia="仿宋_GB2312"/>
          <w:color w:val="000000" w:themeColor="text1"/>
          <w:kern w:val="0"/>
        </w:rPr>
        <w:t>充电设施，</w:t>
      </w:r>
      <w:r>
        <w:rPr>
          <w:rFonts w:hint="eastAsia" w:ascii="仿宋_GB2312" w:eastAsia="仿宋_GB2312"/>
          <w:color w:val="000000" w:themeColor="text1"/>
          <w:kern w:val="0"/>
        </w:rPr>
        <w:t>高速公路服务区实现充电设施全覆盖。</w:t>
      </w: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扩大油气储备设施规模，加快建设天然气和油品储运管网。全面建成高压环城管网，提升南昌市高压管网的储气调峰能力。推动城市燃气管网与全省天然气管网全面衔接。加快</w:t>
      </w:r>
      <w:r>
        <w:rPr>
          <w:rFonts w:ascii="仿宋_GB2312" w:eastAsia="仿宋_GB2312"/>
          <w:color w:val="000000" w:themeColor="text1"/>
          <w:kern w:val="0"/>
        </w:rPr>
        <w:t>LNG接收站等天然气接收设施建设，建设1万立方</w:t>
      </w:r>
      <w:r>
        <w:rPr>
          <w:rFonts w:hint="eastAsia" w:ascii="仿宋_GB2312" w:eastAsia="仿宋_GB2312"/>
          <w:color w:val="000000" w:themeColor="text1"/>
          <w:kern w:val="0"/>
        </w:rPr>
        <w:t>米</w:t>
      </w:r>
      <w:r>
        <w:rPr>
          <w:rFonts w:ascii="仿宋_GB2312" w:eastAsia="仿宋_GB2312"/>
          <w:color w:val="000000" w:themeColor="text1"/>
          <w:kern w:val="0"/>
        </w:rPr>
        <w:t>LNG应急调峰和储气设施。优先发展天然气热电联产及分布式能源。以热电联产企业为供热热源</w:t>
      </w:r>
      <w:r>
        <w:rPr>
          <w:rFonts w:hint="eastAsia" w:ascii="仿宋_GB2312" w:eastAsia="仿宋_GB2312"/>
          <w:color w:val="000000" w:themeColor="text1"/>
          <w:kern w:val="0"/>
        </w:rPr>
        <w:t>，有序推动</w:t>
      </w:r>
      <w:r>
        <w:rPr>
          <w:rFonts w:ascii="仿宋_GB2312" w:eastAsia="仿宋_GB2312"/>
          <w:color w:val="000000" w:themeColor="text1"/>
          <w:kern w:val="0"/>
        </w:rPr>
        <w:t>开发区集中供热</w:t>
      </w:r>
      <w:r>
        <w:rPr>
          <w:rFonts w:hint="eastAsia" w:ascii="仿宋_GB2312" w:eastAsia="仿宋_GB2312"/>
          <w:color w:val="000000" w:themeColor="text1"/>
          <w:kern w:val="0"/>
        </w:rPr>
        <w:t>。</w:t>
      </w: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599" w:name="_Toc64542216"/>
      <w:bookmarkStart w:id="600" w:name="_Toc1569"/>
      <w:bookmarkStart w:id="601" w:name="_Toc28560"/>
      <w:r>
        <w:rPr>
          <w:rFonts w:hint="eastAsia" w:ascii="楷体_GB2312" w:eastAsia="楷体_GB2312"/>
          <w:color w:val="000000" w:themeColor="text1"/>
        </w:rPr>
        <w:t>第二节  大力发展绿色能源</w:t>
      </w:r>
      <w:bookmarkEnd w:id="599"/>
      <w:bookmarkEnd w:id="600"/>
      <w:bookmarkEnd w:id="601"/>
      <w:bookmarkStart w:id="602" w:name="_Toc57194233"/>
      <w:bookmarkStart w:id="603" w:name="_Toc57195694"/>
      <w:bookmarkStart w:id="604" w:name="_Toc57612824"/>
    </w:p>
    <w:p>
      <w:pPr>
        <w:pStyle w:val="14"/>
        <w:spacing w:line="580" w:lineRule="exact"/>
        <w:ind w:left="0" w:leftChars="0" w:firstLine="640"/>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鼓励新建住宅、医院、学校、商场、办公楼和会展中心等建设屋顶光伏发电项目。稳妥发展环鄱阳湖区分散式陆上风电，建设联圩、松湖、前坊等风电项目。鼓励发展生物质综合利用，探索生物质燃煤耦合热电联产，提高可再生能源比重，加快扩建泉岭和麦园垃圾焚烧发电项目。到</w:t>
      </w:r>
      <w:r>
        <w:rPr>
          <w:rFonts w:ascii="仿宋_GB2312" w:eastAsia="仿宋_GB2312"/>
          <w:color w:val="000000" w:themeColor="text1"/>
          <w:kern w:val="0"/>
        </w:rPr>
        <w:t>2025年</w:t>
      </w:r>
      <w:r>
        <w:rPr>
          <w:rFonts w:hint="eastAsia" w:ascii="仿宋_GB2312" w:eastAsia="仿宋_GB2312"/>
          <w:color w:val="000000" w:themeColor="text1"/>
          <w:kern w:val="0"/>
        </w:rPr>
        <w:t>，</w:t>
      </w:r>
      <w:r>
        <w:rPr>
          <w:rFonts w:ascii="仿宋_GB2312" w:eastAsia="仿宋_GB2312"/>
          <w:color w:val="000000" w:themeColor="text1"/>
          <w:kern w:val="0"/>
        </w:rPr>
        <w:t>光伏、风电、生物质装机容量分别达到83万千瓦、45万千瓦、16万千瓦以上</w:t>
      </w:r>
      <w:r>
        <w:rPr>
          <w:rFonts w:hint="eastAsia" w:ascii="仿宋_GB2312" w:eastAsia="仿宋_GB2312"/>
          <w:color w:val="000000" w:themeColor="text1"/>
          <w:kern w:val="0"/>
        </w:rPr>
        <w:t>。</w:t>
      </w:r>
      <w:r>
        <w:rPr>
          <w:rFonts w:ascii="仿宋_GB2312" w:eastAsia="仿宋_GB2312"/>
          <w:color w:val="000000" w:themeColor="text1"/>
          <w:kern w:val="0"/>
        </w:rPr>
        <w:t>创新探索氢能应用，加速推进氢能基础设施建设。</w:t>
      </w:r>
      <w:r>
        <w:rPr>
          <w:rFonts w:hint="eastAsia" w:ascii="仿宋_GB2312" w:eastAsia="仿宋_GB2312"/>
          <w:color w:val="000000" w:themeColor="text1"/>
          <w:kern w:val="0"/>
        </w:rPr>
        <w:t>加强新能源微电网、能源物联网、“互联网+智慧”能源等综合能源示范项目建设。</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vAlign w:val="center"/>
          </w:tcPr>
          <w:p>
            <w:pPr>
              <w:pStyle w:val="52"/>
              <w:numPr>
                <w:ilvl w:val="0"/>
                <w:numId w:val="0"/>
              </w:numPr>
              <w:spacing w:after="0" w:line="360" w:lineRule="exact"/>
              <w:jc w:val="center"/>
              <w:rPr>
                <w:rFonts w:ascii="仿宋_GB2312" w:eastAsia="仿宋_GB2312"/>
                <w:b/>
                <w:color w:val="000000" w:themeColor="text1"/>
                <w:sz w:val="28"/>
                <w:szCs w:val="28"/>
              </w:rPr>
            </w:pPr>
            <w:r>
              <w:rPr>
                <w:rFonts w:hint="eastAsia" w:ascii="黑体" w:hAnsi="黑体" w:eastAsia="黑体" w:cs="黑体"/>
                <w:bCs/>
                <w:color w:val="000000" w:themeColor="text1"/>
                <w:sz w:val="28"/>
                <w:szCs w:val="28"/>
              </w:rPr>
              <w:t>专栏25：能源重大工程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0" w:hRule="atLeast"/>
          <w:jc w:val="center"/>
        </w:trPr>
        <w:tc>
          <w:tcPr>
            <w:tcW w:w="9071" w:type="dxa"/>
            <w:vAlign w:val="center"/>
          </w:tcPr>
          <w:p>
            <w:pPr>
              <w:pStyle w:val="51"/>
              <w:numPr>
                <w:ilvl w:val="0"/>
                <w:numId w:val="10"/>
              </w:numPr>
              <w:spacing w:line="360" w:lineRule="exact"/>
              <w:ind w:left="0" w:firstLineChars="0"/>
              <w:rPr>
                <w:rFonts w:ascii="仿宋_GB2312" w:hAnsi="Times New Roman" w:eastAsia="仿宋_GB2312" w:cs="Times New Roman"/>
                <w:b/>
                <w:bCs/>
                <w:color w:val="000000" w:themeColor="text1"/>
                <w:kern w:val="0"/>
                <w:sz w:val="24"/>
                <w:szCs w:val="21"/>
              </w:rPr>
            </w:pPr>
            <w:r>
              <w:rPr>
                <w:rFonts w:hint="eastAsia" w:ascii="仿宋_GB2312" w:hAnsi="Times New Roman" w:eastAsia="仿宋_GB2312" w:cs="Times New Roman"/>
                <w:b/>
                <w:bCs/>
                <w:color w:val="000000" w:themeColor="text1"/>
                <w:kern w:val="0"/>
                <w:sz w:val="24"/>
                <w:szCs w:val="21"/>
              </w:rPr>
              <w:t xml:space="preserve">    （一）特高压输变电线路工程</w:t>
            </w:r>
          </w:p>
          <w:p>
            <w:pPr>
              <w:spacing w:line="360" w:lineRule="exact"/>
              <w:ind w:firstLine="480"/>
              <w:rPr>
                <w:rFonts w:ascii="Times New Roman" w:hAnsi="Times New Roman" w:eastAsia="仿宋_GB2312" w:cs="Times New Roman"/>
                <w:color w:val="000000" w:themeColor="text1"/>
                <w:sz w:val="21"/>
                <w:szCs w:val="20"/>
              </w:rPr>
            </w:pPr>
            <w:r>
              <w:rPr>
                <w:rFonts w:hint="eastAsia" w:ascii="仿宋_GB2312" w:hAnsi="Times New Roman" w:eastAsia="仿宋_GB2312" w:cs="Times New Roman"/>
                <w:color w:val="000000" w:themeColor="text1"/>
                <w:kern w:val="0"/>
                <w:sz w:val="24"/>
                <w:szCs w:val="21"/>
              </w:rPr>
              <w:t>大力推进雅中至江西南昌800千伏特高压输电通道工程，建设南昌±800千伏换流站-南昌东变500千伏线路工程，线路全长149km。积极启动建设南昌至武汉、南昌至长沙特高压输变电工程。</w:t>
            </w:r>
          </w:p>
          <w:p>
            <w:pPr>
              <w:pStyle w:val="51"/>
              <w:numPr>
                <w:ilvl w:val="0"/>
                <w:numId w:val="10"/>
              </w:numPr>
              <w:spacing w:line="360" w:lineRule="exact"/>
              <w:ind w:left="0" w:firstLineChars="0"/>
              <w:rPr>
                <w:rFonts w:ascii="仿宋_GB2312" w:eastAsia="仿宋_GB2312"/>
                <w:b/>
                <w:bCs/>
                <w:color w:val="000000" w:themeColor="text1"/>
                <w:kern w:val="0"/>
                <w:sz w:val="24"/>
                <w:szCs w:val="21"/>
              </w:rPr>
            </w:pPr>
            <w:r>
              <w:rPr>
                <w:rFonts w:hint="eastAsia" w:ascii="仿宋_GB2312" w:eastAsia="仿宋_GB2312"/>
                <w:b/>
                <w:bCs/>
                <w:color w:val="000000" w:themeColor="text1"/>
                <w:kern w:val="0"/>
                <w:sz w:val="24"/>
                <w:szCs w:val="21"/>
              </w:rPr>
              <w:t xml:space="preserve">    （二）输变电骨干网架构建工程</w:t>
            </w:r>
          </w:p>
          <w:p>
            <w:pPr>
              <w:spacing w:line="360" w:lineRule="exact"/>
              <w:ind w:firstLine="480"/>
              <w:rPr>
                <w:rFonts w:ascii="仿宋_GB2312" w:eastAsia="仿宋_GB2312"/>
                <w:color w:val="000000" w:themeColor="text1"/>
                <w:kern w:val="0"/>
                <w:sz w:val="24"/>
                <w:szCs w:val="21"/>
              </w:rPr>
            </w:pPr>
            <w:r>
              <w:rPr>
                <w:rFonts w:hint="eastAsia" w:ascii="仿宋_GB2312" w:eastAsia="仿宋_GB2312"/>
                <w:color w:val="000000" w:themeColor="text1"/>
                <w:kern w:val="0"/>
                <w:sz w:val="24"/>
                <w:szCs w:val="21"/>
              </w:rPr>
              <w:t>结合南昌东500千伏变电站接入，建设昌西南、南昌东500千伏输变电工程，加强南昌南部220千伏电网互济支援能力、消除主变重过载现象。理清南昌老城片区220千伏网架，优化220千伏双回环网结构，严控安全运行风险。</w:t>
            </w:r>
          </w:p>
          <w:p>
            <w:pPr>
              <w:pStyle w:val="51"/>
              <w:numPr>
                <w:ilvl w:val="0"/>
                <w:numId w:val="10"/>
              </w:numPr>
              <w:spacing w:line="360" w:lineRule="exact"/>
              <w:ind w:left="0" w:firstLineChars="0"/>
              <w:rPr>
                <w:rFonts w:ascii="仿宋_GB2312" w:eastAsia="仿宋_GB2312"/>
                <w:b/>
                <w:bCs/>
                <w:color w:val="000000" w:themeColor="text1"/>
                <w:kern w:val="0"/>
                <w:sz w:val="24"/>
                <w:szCs w:val="21"/>
              </w:rPr>
            </w:pPr>
            <w:r>
              <w:rPr>
                <w:rFonts w:hint="eastAsia" w:ascii="仿宋_GB2312" w:eastAsia="仿宋_GB2312"/>
                <w:b/>
                <w:bCs/>
                <w:color w:val="000000" w:themeColor="text1"/>
                <w:kern w:val="0"/>
                <w:sz w:val="24"/>
                <w:szCs w:val="21"/>
              </w:rPr>
              <w:t xml:space="preserve">    （三）清洁能源供给工程</w:t>
            </w:r>
          </w:p>
          <w:p>
            <w:pPr>
              <w:pStyle w:val="2"/>
              <w:spacing w:after="0" w:line="360" w:lineRule="exact"/>
              <w:ind w:firstLine="480" w:firstLineChars="200"/>
              <w:rPr>
                <w:color w:val="000000" w:themeColor="text1"/>
              </w:rPr>
            </w:pPr>
            <w:r>
              <w:rPr>
                <w:rFonts w:hint="eastAsia" w:ascii="仿宋_GB2312" w:eastAsia="仿宋_GB2312"/>
                <w:color w:val="000000" w:themeColor="text1"/>
                <w:kern w:val="0"/>
                <w:sz w:val="24"/>
                <w:szCs w:val="21"/>
              </w:rPr>
              <w:t>鼓励太阳能、氢能、生物质能开发利用，建设水电储备项目、秸秆和沼气等大中型生物质集中供气发电项目、城市生活垃圾焚烧发电厂，重点</w:t>
            </w:r>
            <w:r>
              <w:rPr>
                <w:rFonts w:hint="eastAsia" w:ascii="仿宋_GB2312" w:eastAsia="仿宋_GB2312"/>
                <w:color w:val="000000" w:themeColor="text1"/>
                <w:sz w:val="24"/>
              </w:rPr>
              <w:t>推进南昌泉岭生活垃圾焚烧发电厂二期项目建设，</w:t>
            </w:r>
            <w:r>
              <w:rPr>
                <w:rFonts w:hint="eastAsia" w:ascii="仿宋_GB2312" w:eastAsia="仿宋_GB2312"/>
                <w:color w:val="000000" w:themeColor="text1"/>
                <w:kern w:val="0"/>
                <w:sz w:val="24"/>
                <w:szCs w:val="21"/>
              </w:rPr>
              <w:t>提高可再生能源消费比例，完善电源结构，增强电网调峰能力。</w:t>
            </w:r>
          </w:p>
        </w:tc>
      </w:tr>
      <w:bookmarkEnd w:id="602"/>
      <w:bookmarkEnd w:id="603"/>
      <w:bookmarkEnd w:id="604"/>
    </w:tbl>
    <w:p>
      <w:pPr>
        <w:pStyle w:val="14"/>
        <w:spacing w:after="0" w:line="580" w:lineRule="exact"/>
        <w:ind w:left="0" w:leftChars="0" w:firstLine="640"/>
      </w:pPr>
      <w:bookmarkStart w:id="605" w:name="_Toc58861212"/>
      <w:bookmarkStart w:id="606" w:name="_Toc31488"/>
    </w:p>
    <w:p>
      <w:pPr>
        <w:pStyle w:val="14"/>
        <w:spacing w:after="0" w:line="580" w:lineRule="exact"/>
        <w:ind w:left="0" w:leftChars="0" w:firstLine="640"/>
      </w:pPr>
    </w:p>
    <w:p>
      <w:pPr>
        <w:pStyle w:val="74"/>
        <w:adjustRightInd/>
        <w:snapToGrid/>
        <w:spacing w:line="580" w:lineRule="exact"/>
        <w:rPr>
          <w:rFonts w:ascii="楷体_GB2312" w:eastAsia="楷体_GB2312"/>
          <w:color w:val="000000" w:themeColor="text1"/>
        </w:rPr>
      </w:pPr>
      <w:bookmarkStart w:id="607" w:name="_Toc64542217"/>
      <w:bookmarkStart w:id="608" w:name="_Toc20164"/>
      <w:r>
        <w:rPr>
          <w:rFonts w:hint="eastAsia" w:ascii="楷体_GB2312" w:eastAsia="楷体_GB2312"/>
          <w:color w:val="000000" w:themeColor="text1"/>
        </w:rPr>
        <w:t>第三节  健全城市水利设施</w:t>
      </w:r>
      <w:bookmarkEnd w:id="605"/>
      <w:bookmarkEnd w:id="606"/>
      <w:bookmarkEnd w:id="607"/>
      <w:bookmarkEnd w:id="608"/>
    </w:p>
    <w:p>
      <w:pPr>
        <w:pStyle w:val="2"/>
        <w:spacing w:after="0" w:line="580" w:lineRule="exact"/>
        <w:ind w:firstLine="640" w:firstLineChars="200"/>
        <w:rPr>
          <w:rFonts w:ascii="仿宋_GB2312" w:eastAsia="仿宋_GB2312"/>
          <w:color w:val="000000" w:themeColor="text1"/>
          <w:kern w:val="0"/>
        </w:rPr>
      </w:pPr>
    </w:p>
    <w:p>
      <w:pPr>
        <w:pStyle w:val="2"/>
        <w:spacing w:after="0" w:line="580" w:lineRule="exact"/>
        <w:ind w:firstLine="640" w:firstLineChars="200"/>
        <w:rPr>
          <w:rFonts w:ascii="仿宋_GB2312" w:eastAsia="仿宋_GB2312"/>
          <w:color w:val="000000" w:themeColor="text1"/>
          <w:kern w:val="0"/>
        </w:rPr>
      </w:pPr>
      <w:r>
        <w:rPr>
          <w:rFonts w:hint="eastAsia" w:ascii="仿宋_GB2312" w:eastAsia="仿宋_GB2312"/>
          <w:color w:val="000000" w:themeColor="text1"/>
          <w:kern w:val="0"/>
        </w:rPr>
        <w:t>加快实施赣江抚河下游尾闾综合整治工程，提升“四纵三横”区域水系综合功能。实施扬子洲等重点地段防洪提标工程、鄱阳湖蓄滞洪区和重点圩堤升级提质工程，推进涝区治理和城市防洪排涝工程建设，城市防洪等级提高到百年一遇标准。实施水利工程标准化管理提升和水利工程运行维护项目，开展一批数字水库、数字堤塘、数字闸站建设试点。依托云计算、大数据、物联网、空间地理等信息技术，基本建成“5+N”的智慧水利综合服务体系，构建“数字水利一张图”系统，推动水利公共数据全面整合与应用共享。</w:t>
      </w:r>
    </w:p>
    <w:p>
      <w:pPr>
        <w:pStyle w:val="2"/>
        <w:spacing w:after="0" w:line="580" w:lineRule="exact"/>
        <w:ind w:firstLine="640" w:firstLineChars="200"/>
        <w:rPr>
          <w:rFonts w:ascii="仿宋_GB2312" w:eastAsia="仿宋_GB2312"/>
          <w:color w:val="000000" w:themeColor="text1"/>
          <w:kern w:val="0"/>
        </w:rPr>
      </w:pPr>
    </w:p>
    <w:p>
      <w:pPr>
        <w:pStyle w:val="74"/>
        <w:adjustRightInd/>
        <w:snapToGrid/>
        <w:spacing w:line="580" w:lineRule="exact"/>
        <w:rPr>
          <w:rFonts w:ascii="楷体_GB2312" w:eastAsia="楷体_GB2312"/>
          <w:color w:val="000000" w:themeColor="text1"/>
        </w:rPr>
      </w:pPr>
      <w:bookmarkStart w:id="609" w:name="_Toc64542218"/>
      <w:bookmarkStart w:id="610" w:name="_Toc2075"/>
      <w:bookmarkStart w:id="611" w:name="_Toc58861213"/>
      <w:bookmarkStart w:id="612" w:name="_Toc18177"/>
      <w:r>
        <w:rPr>
          <w:rFonts w:hint="eastAsia" w:ascii="楷体_GB2312" w:eastAsia="楷体_GB2312"/>
          <w:color w:val="000000" w:themeColor="text1"/>
        </w:rPr>
        <w:t>第四节  构筑供水保障体系</w:t>
      </w:r>
      <w:bookmarkEnd w:id="609"/>
      <w:bookmarkEnd w:id="610"/>
      <w:bookmarkEnd w:id="611"/>
      <w:bookmarkEnd w:id="612"/>
    </w:p>
    <w:p>
      <w:pPr>
        <w:spacing w:line="580" w:lineRule="exact"/>
        <w:ind w:firstLine="640"/>
        <w:rPr>
          <w:rFonts w:ascii="仿宋_GB2312" w:eastAsia="仿宋_GB2312"/>
          <w:color w:val="000000" w:themeColor="text1"/>
          <w:kern w:val="0"/>
        </w:rPr>
      </w:pPr>
    </w:p>
    <w:p>
      <w:pPr>
        <w:spacing w:line="580" w:lineRule="exact"/>
        <w:ind w:firstLine="640"/>
        <w:rPr>
          <w:rFonts w:ascii="黑体" w:hAnsi="黑体" w:eastAsia="黑体" w:cs="黑体"/>
          <w:bCs/>
          <w:color w:val="000000" w:themeColor="text1"/>
          <w:sz w:val="28"/>
          <w:szCs w:val="28"/>
        </w:rPr>
      </w:pPr>
      <w:r>
        <w:rPr>
          <w:rFonts w:hint="eastAsia" w:ascii="仿宋_GB2312" w:eastAsia="仿宋_GB2312"/>
          <w:color w:val="000000" w:themeColor="text1"/>
          <w:kern w:val="0"/>
        </w:rPr>
        <w:t>突出重点水源、备用水源和农村供水保障，增强城乡供水保障能力。加快推进水源工程建设，推进主城区重点水源工程、进贤县和安义县的备用水源工程建设，启动主城区第二水源可行性研究。实施应急备用水源保护工程，推动跨市域县域水厂和供水管网建设。启动建设1座中型水库（吊钟水库）和1座小型水库。实施农村供水保障工程，推进城镇水厂扩容、管网延伸和配套改造。实施灌区现代化改造和建设工程，开展中型灌区现代化改造、续建配套与节水改造，新建抗旱应急水源工程。探索大南昌都市圈水源地联动建设机制，提高多水源互联互调能力，推进城区水源联通、联调，加强城区水库调度。探索开展建设项目占用水域补偿试点，逐步建立项目水域补偿制度。</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vAlign w:val="center"/>
          </w:tcPr>
          <w:p>
            <w:pPr>
              <w:pStyle w:val="52"/>
              <w:numPr>
                <w:ilvl w:val="0"/>
                <w:numId w:val="0"/>
              </w:numPr>
              <w:spacing w:after="0" w:line="360" w:lineRule="exact"/>
              <w:jc w:val="center"/>
              <w:rPr>
                <w:rFonts w:ascii="仿宋_GB2312" w:eastAsia="仿宋_GB2312"/>
                <w:b/>
                <w:color w:val="000000" w:themeColor="text1"/>
                <w:sz w:val="28"/>
                <w:szCs w:val="28"/>
              </w:rPr>
            </w:pPr>
            <w:r>
              <w:rPr>
                <w:rFonts w:hint="eastAsia" w:ascii="黑体" w:hAnsi="黑体" w:eastAsia="黑体" w:cs="黑体"/>
                <w:bCs/>
                <w:color w:val="000000" w:themeColor="text1"/>
                <w:sz w:val="28"/>
                <w:szCs w:val="28"/>
              </w:rPr>
              <w:t>专栏26：水利重大工程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6" w:hRule="atLeast"/>
          <w:jc w:val="center"/>
        </w:trPr>
        <w:tc>
          <w:tcPr>
            <w:tcW w:w="9071" w:type="dxa"/>
            <w:vAlign w:val="center"/>
          </w:tcPr>
          <w:p>
            <w:pPr>
              <w:pStyle w:val="51"/>
              <w:numPr>
                <w:ilvl w:val="0"/>
                <w:numId w:val="11"/>
              </w:numPr>
              <w:spacing w:line="360" w:lineRule="exact"/>
              <w:ind w:left="0" w:firstLineChars="0"/>
              <w:rPr>
                <w:rFonts w:ascii="仿宋_GB2312" w:hAnsi="Times New Roman" w:eastAsia="仿宋_GB2312" w:cs="Times New Roman"/>
                <w:b/>
                <w:bCs/>
                <w:color w:val="000000" w:themeColor="text1"/>
                <w:kern w:val="0"/>
                <w:sz w:val="24"/>
                <w:szCs w:val="21"/>
              </w:rPr>
            </w:pPr>
            <w:r>
              <w:rPr>
                <w:rFonts w:hint="eastAsia" w:ascii="仿宋_GB2312" w:hAnsi="Times New Roman" w:eastAsia="仿宋_GB2312" w:cs="Times New Roman"/>
                <w:b/>
                <w:bCs/>
                <w:color w:val="000000" w:themeColor="text1"/>
                <w:kern w:val="0"/>
                <w:sz w:val="24"/>
                <w:szCs w:val="21"/>
              </w:rPr>
              <w:t xml:space="preserve">    （一）赣江抚河下游尾闾综合整治工程</w:t>
            </w:r>
          </w:p>
          <w:p>
            <w:pPr>
              <w:spacing w:line="360" w:lineRule="exact"/>
              <w:ind w:firstLine="480"/>
              <w:rPr>
                <w:rFonts w:ascii="仿宋_GB2312" w:hAnsi="Times New Roman" w:eastAsia="仿宋_GB2312" w:cs="Times New Roman"/>
                <w:color w:val="000000" w:themeColor="text1"/>
                <w:kern w:val="0"/>
                <w:sz w:val="24"/>
                <w:szCs w:val="21"/>
              </w:rPr>
            </w:pPr>
            <w:r>
              <w:rPr>
                <w:rFonts w:hint="eastAsia" w:ascii="仿宋_GB2312" w:hAnsi="Times New Roman" w:eastAsia="仿宋_GB2312" w:cs="Times New Roman"/>
                <w:color w:val="000000" w:themeColor="text1"/>
                <w:kern w:val="0"/>
                <w:sz w:val="24"/>
                <w:szCs w:val="21"/>
              </w:rPr>
              <w:t>建设赣江下游尾闾综合整治工程、抚河下游尾闾综合整治工程、水系连通工程，构建“四纵三横”骨干水系连通格局。其中：赣江尾闾整治工程主要包括新建赣江南昌水利枢纽，扬子洲头和焦矶头两个洲头生态修复工程；抚河尾闾综合整治工程包括新建塔城闸、温圳闸，开展46 km的抚河干流疏浚整治，新建船闸等；水系连通工程包括新建及改造引水闸20座以及开展47.5 km的河道疏浚整治等。</w:t>
            </w:r>
          </w:p>
          <w:p>
            <w:pPr>
              <w:spacing w:line="360" w:lineRule="exact"/>
              <w:ind w:firstLine="482"/>
              <w:rPr>
                <w:rFonts w:ascii="仿宋_GB2312" w:hAnsi="Times New Roman" w:eastAsia="仿宋_GB2312" w:cs="Times New Roman"/>
                <w:b/>
                <w:bCs/>
                <w:color w:val="000000" w:themeColor="text1"/>
                <w:kern w:val="0"/>
                <w:sz w:val="24"/>
                <w:szCs w:val="21"/>
              </w:rPr>
            </w:pPr>
            <w:r>
              <w:rPr>
                <w:rFonts w:hint="eastAsia" w:ascii="仿宋_GB2312" w:hAnsi="Times New Roman" w:eastAsia="仿宋_GB2312" w:cs="Times New Roman"/>
                <w:b/>
                <w:bCs/>
                <w:color w:val="000000" w:themeColor="text1"/>
                <w:kern w:val="0"/>
                <w:sz w:val="24"/>
                <w:szCs w:val="21"/>
              </w:rPr>
              <w:t>（二）防洪排涝安全保障工程</w:t>
            </w:r>
          </w:p>
          <w:p>
            <w:pPr>
              <w:spacing w:line="360" w:lineRule="exact"/>
              <w:ind w:firstLine="480"/>
              <w:rPr>
                <w:rFonts w:ascii="仿宋_GB2312" w:hAnsi="Times New Roman" w:eastAsia="仿宋_GB2312" w:cs="Times New Roman"/>
                <w:color w:val="000000" w:themeColor="text1"/>
                <w:kern w:val="0"/>
                <w:sz w:val="24"/>
                <w:szCs w:val="21"/>
              </w:rPr>
            </w:pPr>
            <w:r>
              <w:rPr>
                <w:rFonts w:hint="eastAsia" w:ascii="仿宋_GB2312" w:hAnsi="Times New Roman" w:eastAsia="仿宋_GB2312" w:cs="Times New Roman"/>
                <w:color w:val="000000" w:themeColor="text1"/>
                <w:kern w:val="0"/>
                <w:sz w:val="24"/>
                <w:szCs w:val="21"/>
              </w:rPr>
              <w:t>推动南昌、九江、抚州水务一体化建设工程；实施鄱阳湖蓄滞洪区和鄱阳湖区重点圩堤达标建设及除险加固整治建设项目；加快推进扬子洲地区路堤结合工程、乌沙河望城段综合整治工程、红旗联圩提标建设工程等防洪工程重点项目和朝阳 2 号电排站新建工程、乌沙河泵闸枢纽工程、岭口电排站工程、生米南防洪排涝水系整治工程等排涝工程重点项目建设。开展5个洪患村镇洪涝整治，4座小型水库形象达标，3座中型水闸除险加固以及15个重点山洪沟治理。推进幸福水库等中小型水库提质升级。</w:t>
            </w:r>
          </w:p>
          <w:p>
            <w:pPr>
              <w:spacing w:line="360" w:lineRule="exact"/>
              <w:ind w:firstLine="419" w:firstLineChars="174"/>
              <w:rPr>
                <w:rFonts w:ascii="仿宋_GB2312" w:hAnsi="Times New Roman" w:eastAsia="仿宋_GB2312" w:cs="Times New Roman"/>
                <w:color w:val="000000" w:themeColor="text1"/>
                <w:kern w:val="0"/>
                <w:sz w:val="24"/>
                <w:szCs w:val="21"/>
              </w:rPr>
            </w:pPr>
            <w:r>
              <w:rPr>
                <w:rFonts w:hint="eastAsia" w:ascii="仿宋_GB2312" w:hAnsi="Times New Roman" w:eastAsia="仿宋_GB2312" w:cs="Times New Roman"/>
                <w:b/>
                <w:bCs/>
                <w:color w:val="000000" w:themeColor="text1"/>
                <w:kern w:val="0"/>
                <w:sz w:val="24"/>
                <w:szCs w:val="21"/>
              </w:rPr>
              <w:t>（三）供水安全保障工程</w:t>
            </w:r>
          </w:p>
          <w:p>
            <w:pPr>
              <w:spacing w:line="360" w:lineRule="exact"/>
              <w:ind w:firstLine="480"/>
              <w:rPr>
                <w:rFonts w:ascii="仿宋_GB2312" w:hAnsi="Times New Roman" w:eastAsia="仿宋_GB2312" w:cs="Times New Roman"/>
                <w:color w:val="000000" w:themeColor="text1"/>
                <w:kern w:val="0"/>
                <w:sz w:val="24"/>
                <w:szCs w:val="21"/>
              </w:rPr>
            </w:pPr>
            <w:r>
              <w:rPr>
                <w:rFonts w:hint="eastAsia" w:ascii="仿宋_GB2312" w:hAnsi="Times New Roman" w:eastAsia="仿宋_GB2312" w:cs="Times New Roman"/>
                <w:color w:val="000000" w:themeColor="text1"/>
                <w:kern w:val="0"/>
                <w:sz w:val="24"/>
                <w:szCs w:val="21"/>
              </w:rPr>
              <w:t>推进实施一批重点水源工程和应急备用水源工程，推动安义县吊钟水库、五皋垅水库建设。加快推进中型灌区节水改造建设，重点推进进贤县、安义县、新建区等县区灌区建设。加强农村供水保障，推进我市农村集中式饮用水水源地环境整治。</w:t>
            </w:r>
          </w:p>
          <w:p>
            <w:pPr>
              <w:spacing w:line="360" w:lineRule="exact"/>
              <w:ind w:firstLine="482"/>
              <w:rPr>
                <w:rFonts w:ascii="仿宋_GB2312" w:hAnsi="Times New Roman" w:eastAsia="仿宋_GB2312" w:cs="Times New Roman"/>
                <w:b/>
                <w:bCs/>
                <w:color w:val="000000" w:themeColor="text1"/>
                <w:kern w:val="0"/>
                <w:sz w:val="24"/>
                <w:szCs w:val="21"/>
              </w:rPr>
            </w:pPr>
            <w:r>
              <w:rPr>
                <w:rFonts w:hint="eastAsia" w:ascii="仿宋_GB2312" w:hAnsi="Times New Roman" w:eastAsia="仿宋_GB2312" w:cs="Times New Roman"/>
                <w:b/>
                <w:bCs/>
                <w:color w:val="000000" w:themeColor="text1"/>
                <w:kern w:val="0"/>
                <w:sz w:val="24"/>
                <w:szCs w:val="21"/>
              </w:rPr>
              <w:t>（四）智慧水利网络建设工程</w:t>
            </w:r>
          </w:p>
          <w:p>
            <w:pPr>
              <w:spacing w:line="360" w:lineRule="exact"/>
              <w:ind w:firstLine="480"/>
              <w:rPr>
                <w:color w:val="000000" w:themeColor="text1"/>
              </w:rPr>
            </w:pPr>
            <w:r>
              <w:rPr>
                <w:rFonts w:hint="eastAsia" w:ascii="仿宋_GB2312" w:hAnsi="Times New Roman" w:eastAsia="仿宋_GB2312" w:cs="Times New Roman"/>
                <w:color w:val="000000" w:themeColor="text1"/>
                <w:kern w:val="0"/>
                <w:sz w:val="24"/>
                <w:szCs w:val="21"/>
              </w:rPr>
              <w:t>依托“云上江西”的体系框架，通过完善全市已有信息感知与通信网络，增强水利信息的自动化、智能化感知，构建南昌市级智慧水利管理系统，实现软硬件资源的统一调度和管理，形成全市各业务应用整合、大数据分析和智能运维，提供全市水旱灾害防御、水资源、水工程、水监督、水行政核心业务的基本覆盖。</w:t>
            </w:r>
          </w:p>
        </w:tc>
      </w:tr>
    </w:tbl>
    <w:p>
      <w:pPr>
        <w:ind w:firstLine="640"/>
      </w:pPr>
      <w:bookmarkStart w:id="613" w:name="_Toc18644"/>
      <w:r>
        <w:rPr>
          <w:rFonts w:hint="eastAsia"/>
        </w:rPr>
        <w:br w:type="page"/>
      </w:r>
    </w:p>
    <w:p>
      <w:pPr>
        <w:pStyle w:val="2"/>
        <w:ind w:firstLine="320"/>
      </w:pPr>
    </w:p>
    <w:p>
      <w:pPr>
        <w:pStyle w:val="29"/>
        <w:numPr>
          <w:ilvl w:val="0"/>
          <w:numId w:val="12"/>
        </w:numPr>
        <w:adjustRightInd/>
        <w:snapToGrid/>
        <w:spacing w:line="558" w:lineRule="exact"/>
        <w:rPr>
          <w:color w:val="000000" w:themeColor="text1"/>
        </w:rPr>
      </w:pPr>
      <w:r>
        <w:rPr>
          <w:rFonts w:hint="eastAsia"/>
          <w:color w:val="000000" w:themeColor="text1"/>
        </w:rPr>
        <w:t xml:space="preserve"> </w:t>
      </w:r>
      <w:bookmarkStart w:id="614" w:name="_Toc64542219"/>
      <w:bookmarkStart w:id="615" w:name="_Toc2670"/>
      <w:r>
        <w:rPr>
          <w:rFonts w:hint="eastAsia"/>
          <w:color w:val="000000" w:themeColor="text1"/>
        </w:rPr>
        <w:t>引领大南昌都市圈高质量发展</w:t>
      </w:r>
      <w:bookmarkEnd w:id="613"/>
      <w:bookmarkEnd w:id="614"/>
      <w:bookmarkEnd w:id="615"/>
    </w:p>
    <w:p>
      <w:pPr>
        <w:spacing w:line="558" w:lineRule="exact"/>
        <w:ind w:firstLine="640"/>
      </w:pPr>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充分释放区域发展新动能，促进各类要素合理流动和高效集聚，加快做优做强大南昌都市圈，打造全国新发展格局重要战略支点的核心引擎。</w:t>
      </w:r>
    </w:p>
    <w:p>
      <w:pPr>
        <w:spacing w:line="558" w:lineRule="exact"/>
        <w:ind w:firstLine="640"/>
      </w:pPr>
    </w:p>
    <w:p>
      <w:pPr>
        <w:pStyle w:val="23"/>
        <w:adjustRightInd/>
        <w:snapToGrid/>
        <w:spacing w:line="558" w:lineRule="exact"/>
        <w:rPr>
          <w:b w:val="0"/>
          <w:color w:val="000000" w:themeColor="text1"/>
        </w:rPr>
      </w:pPr>
      <w:bookmarkStart w:id="616" w:name="_Toc8389"/>
      <w:bookmarkStart w:id="617" w:name="_Toc7904"/>
      <w:bookmarkStart w:id="618" w:name="_Toc64542220"/>
      <w:bookmarkStart w:id="619" w:name="_Toc58861183"/>
      <w:r>
        <w:rPr>
          <w:rFonts w:hint="eastAsia"/>
          <w:b w:val="0"/>
          <w:color w:val="000000" w:themeColor="text1"/>
        </w:rPr>
        <w:t>第三十三章  构建大南昌都市圈融合发展新格局</w:t>
      </w:r>
      <w:bookmarkEnd w:id="616"/>
      <w:bookmarkEnd w:id="617"/>
      <w:bookmarkEnd w:id="618"/>
      <w:bookmarkEnd w:id="619"/>
    </w:p>
    <w:p>
      <w:pPr>
        <w:spacing w:line="558" w:lineRule="exact"/>
        <w:ind w:firstLine="640"/>
        <w:rPr>
          <w:rFonts w:ascii="仿宋_GB2312" w:eastAsia="仿宋_GB2312"/>
          <w:color w:val="000000" w:themeColor="text1"/>
          <w:kern w:val="0"/>
        </w:rPr>
      </w:pPr>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发挥南昌极核作用，携手赣江新区融合发展，促进圈内城市分工合作并紧密联动，强化发展协同、功能协同、机制协同，加快形成大南昌都市圈共荣共赢新格局。</w:t>
      </w:r>
    </w:p>
    <w:p>
      <w:pPr>
        <w:spacing w:line="558" w:lineRule="exact"/>
        <w:ind w:firstLine="640"/>
      </w:pPr>
    </w:p>
    <w:p>
      <w:pPr>
        <w:pStyle w:val="74"/>
        <w:adjustRightInd/>
        <w:snapToGrid/>
        <w:spacing w:line="558" w:lineRule="exact"/>
        <w:rPr>
          <w:rFonts w:ascii="楷体_GB2312" w:eastAsia="楷体_GB2312"/>
          <w:color w:val="000000" w:themeColor="text1"/>
        </w:rPr>
      </w:pPr>
      <w:bookmarkStart w:id="620" w:name="_Toc5090"/>
      <w:bookmarkStart w:id="621" w:name="_Toc58861184"/>
      <w:bookmarkStart w:id="622" w:name="_Toc64542221"/>
      <w:bookmarkStart w:id="623" w:name="_Toc23544"/>
      <w:r>
        <w:rPr>
          <w:rFonts w:hint="eastAsia" w:ascii="楷体_GB2312" w:eastAsia="楷体_GB2312"/>
          <w:color w:val="000000" w:themeColor="text1"/>
        </w:rPr>
        <w:t>第一节  联动赣江新区共同繁荣</w:t>
      </w:r>
      <w:bookmarkEnd w:id="620"/>
      <w:bookmarkEnd w:id="621"/>
      <w:bookmarkEnd w:id="622"/>
      <w:bookmarkEnd w:id="623"/>
    </w:p>
    <w:p>
      <w:pPr>
        <w:spacing w:line="558" w:lineRule="exact"/>
        <w:ind w:firstLine="640"/>
        <w:rPr>
          <w:rFonts w:ascii="仿宋_GB2312" w:eastAsia="仿宋_GB2312"/>
          <w:bCs/>
          <w:color w:val="000000" w:themeColor="text1"/>
          <w:kern w:val="0"/>
          <w:szCs w:val="32"/>
        </w:rPr>
      </w:pPr>
    </w:p>
    <w:p>
      <w:pPr>
        <w:pStyle w:val="50"/>
        <w:spacing w:line="558" w:lineRule="exact"/>
        <w:ind w:firstLine="640"/>
        <w:rPr>
          <w:rFonts w:ascii="仿宋_GB2312" w:eastAsia="仿宋_GB2312"/>
          <w:bCs/>
          <w:color w:val="000000" w:themeColor="text1"/>
          <w:kern w:val="0"/>
          <w:sz w:val="32"/>
          <w:szCs w:val="32"/>
        </w:rPr>
      </w:pPr>
      <w:r>
        <w:rPr>
          <w:rFonts w:hint="eastAsia" w:ascii="仿宋_GB2312" w:eastAsia="仿宋_GB2312"/>
          <w:bCs/>
          <w:color w:val="000000" w:themeColor="text1"/>
          <w:kern w:val="0"/>
          <w:sz w:val="32"/>
          <w:szCs w:val="32"/>
        </w:rPr>
        <w:t>充分发挥省会中心资源集聚优势与赣江新区政策高地优势，加强与赣江新区空间优化、战略协同、功能耦合，强化在规划衔接、招商引资、产业发展等方面政策统筹。强化与赣江新区直管区联动，持续推动城市设施共建、公共服务共享、城市功能互补、生态环境协同、城市风貌一体，实现各类要素流通“零障碍”。密切与赣江新区统筹区内永修、共青城等组团的通道和经济联系。支持高新区、经开区、小蓝经开区加强与赣江新区宝塔工业园、星火工业园、云山工业园、城南工业园、马口工业园对接，探索设立产业飞地，支持安义县、新建区与赣江新区设立合作示范区，共享新区优惠政策。建立国家级试点示范联动实施机制，推动国家级试点示范成果在双方区域率先推广应用。</w:t>
      </w:r>
    </w:p>
    <w:tbl>
      <w:tblPr>
        <w:tblStyle w:val="7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vAlign w:val="center"/>
          </w:tcPr>
          <w:p>
            <w:pPr>
              <w:pStyle w:val="52"/>
              <w:numPr>
                <w:ilvl w:val="0"/>
                <w:numId w:val="0"/>
              </w:numPr>
              <w:spacing w:after="0" w:line="360" w:lineRule="exact"/>
              <w:jc w:val="center"/>
              <w:rPr>
                <w:rFonts w:ascii="仿宋_GB2312" w:hAnsi="Times New Roman" w:eastAsia="仿宋_GB2312" w:cs="Times New Roman"/>
                <w:b/>
                <w:color w:val="000000" w:themeColor="text1"/>
                <w:sz w:val="28"/>
                <w:szCs w:val="28"/>
              </w:rPr>
            </w:pPr>
            <w:r>
              <w:rPr>
                <w:rFonts w:hint="eastAsia" w:ascii="黑体" w:hAnsi="黑体" w:eastAsia="黑体" w:cs="黑体"/>
                <w:bCs/>
                <w:color w:val="000000" w:themeColor="text1"/>
                <w:sz w:val="28"/>
                <w:szCs w:val="28"/>
              </w:rPr>
              <w:t>专栏27：对接赣江新区合作重点领域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0" w:hRule="atLeast"/>
          <w:jc w:val="center"/>
        </w:trPr>
        <w:tc>
          <w:tcPr>
            <w:tcW w:w="9071" w:type="dxa"/>
          </w:tcPr>
          <w:p>
            <w:pPr>
              <w:pStyle w:val="50"/>
              <w:spacing w:line="400" w:lineRule="exact"/>
              <w:ind w:firstLine="482"/>
              <w:rPr>
                <w:rFonts w:ascii="仿宋_GB2312" w:eastAsia="仿宋_GB2312"/>
                <w:b/>
                <w:color w:val="000000" w:themeColor="text1"/>
                <w:sz w:val="24"/>
                <w:szCs w:val="24"/>
              </w:rPr>
            </w:pPr>
            <w:r>
              <w:rPr>
                <w:rFonts w:hint="eastAsia" w:ascii="仿宋_GB2312" w:eastAsia="仿宋_GB2312"/>
                <w:b/>
                <w:bCs/>
                <w:color w:val="000000" w:themeColor="text1"/>
                <w:kern w:val="0"/>
                <w:sz w:val="24"/>
                <w:szCs w:val="21"/>
              </w:rPr>
              <w:t>（一）</w:t>
            </w:r>
            <w:r>
              <w:rPr>
                <w:rFonts w:hint="eastAsia" w:ascii="仿宋_GB2312" w:eastAsia="仿宋_GB2312"/>
                <w:b/>
                <w:color w:val="000000" w:themeColor="text1"/>
                <w:sz w:val="24"/>
                <w:szCs w:val="24"/>
              </w:rPr>
              <w:t>基础设施互通</w:t>
            </w:r>
          </w:p>
          <w:p>
            <w:pPr>
              <w:pStyle w:val="50"/>
              <w:spacing w:line="400" w:lineRule="exact"/>
              <w:ind w:firstLine="456"/>
              <w:rPr>
                <w:rFonts w:ascii="仿宋_GB2312" w:eastAsia="仿宋_GB2312"/>
                <w:color w:val="000000" w:themeColor="text1"/>
                <w:spacing w:val="-6"/>
                <w:sz w:val="24"/>
                <w:szCs w:val="24"/>
              </w:rPr>
            </w:pPr>
            <w:r>
              <w:rPr>
                <w:rFonts w:hint="eastAsia" w:ascii="仿宋_GB2312" w:eastAsia="仿宋_GB2312"/>
                <w:color w:val="000000" w:themeColor="text1"/>
                <w:spacing w:val="-6"/>
                <w:sz w:val="24"/>
                <w:szCs w:val="24"/>
              </w:rPr>
              <w:t xml:space="preserve">依托昌北国际机场、昌九客专、福银高速、南昌轨道交通等交通干线和枢纽场站，推动枢纽场站与商贸服务中心、物流园区、产业园区融合发展。做好南昌地铁一号线北延工程，加快推进南昌轨道交通向赣江新区尤其是直管区延伸前期工作，纳入南昌市轨道交通线网规划。加快推进赣新大道、国家级技能人才培养综合园区主园区等重大项目建设，打造儒乐湖新城、中医药科创城、空港新城、湖东新区、南湖新城等重要节点。 </w:t>
            </w:r>
          </w:p>
          <w:p>
            <w:pPr>
              <w:pStyle w:val="50"/>
              <w:spacing w:line="400" w:lineRule="exact"/>
              <w:ind w:firstLine="482"/>
              <w:rPr>
                <w:rFonts w:ascii="仿宋_GB2312" w:eastAsia="仿宋_GB2312"/>
                <w:b/>
                <w:color w:val="000000" w:themeColor="text1"/>
                <w:sz w:val="24"/>
                <w:szCs w:val="24"/>
              </w:rPr>
            </w:pPr>
            <w:r>
              <w:rPr>
                <w:rFonts w:hint="eastAsia" w:ascii="仿宋_GB2312" w:eastAsia="仿宋_GB2312"/>
                <w:b/>
                <w:bCs/>
                <w:color w:val="000000" w:themeColor="text1"/>
                <w:kern w:val="0"/>
                <w:sz w:val="24"/>
                <w:szCs w:val="21"/>
              </w:rPr>
              <w:t>（二）</w:t>
            </w:r>
            <w:r>
              <w:rPr>
                <w:rFonts w:hint="eastAsia" w:ascii="仿宋_GB2312" w:eastAsia="仿宋_GB2312"/>
                <w:b/>
                <w:color w:val="000000" w:themeColor="text1"/>
                <w:sz w:val="24"/>
                <w:szCs w:val="24"/>
              </w:rPr>
              <w:t>产业对接合作</w:t>
            </w:r>
          </w:p>
          <w:p>
            <w:pPr>
              <w:pStyle w:val="50"/>
              <w:spacing w:line="400" w:lineRule="exact"/>
              <w:ind w:firstLine="456"/>
              <w:rPr>
                <w:rFonts w:ascii="仿宋_GB2312" w:eastAsia="仿宋_GB2312"/>
                <w:color w:val="000000" w:themeColor="text1"/>
                <w:sz w:val="24"/>
                <w:szCs w:val="24"/>
              </w:rPr>
            </w:pPr>
            <w:r>
              <w:rPr>
                <w:rFonts w:hint="eastAsia" w:ascii="仿宋_GB2312" w:eastAsia="仿宋_GB2312"/>
                <w:color w:val="000000" w:themeColor="text1"/>
                <w:spacing w:val="-6"/>
                <w:sz w:val="24"/>
                <w:szCs w:val="24"/>
              </w:rPr>
              <w:t>加强</w:t>
            </w:r>
            <w:r>
              <w:rPr>
                <w:rFonts w:hint="eastAsia" w:ascii="仿宋_GB2312" w:eastAsia="仿宋_GB2312"/>
                <w:color w:val="000000" w:themeColor="text1"/>
                <w:sz w:val="24"/>
                <w:szCs w:val="24"/>
              </w:rPr>
              <w:t>生物医药产业对接合作，以“生物医药+电子信息”“生物医药+智能装备”模式，推进中医药现代化、产业化。推动赣江新区各组团差异化发展，做大做强各自优势特色产业。</w:t>
            </w:r>
          </w:p>
          <w:p>
            <w:pPr>
              <w:pStyle w:val="50"/>
              <w:spacing w:line="400" w:lineRule="exact"/>
              <w:ind w:firstLine="482"/>
              <w:rPr>
                <w:rFonts w:ascii="仿宋_GB2312" w:eastAsia="仿宋_GB2312"/>
                <w:b/>
                <w:color w:val="000000" w:themeColor="text1"/>
                <w:sz w:val="24"/>
                <w:szCs w:val="24"/>
              </w:rPr>
            </w:pPr>
            <w:r>
              <w:rPr>
                <w:rFonts w:hint="eastAsia" w:ascii="仿宋_GB2312" w:eastAsia="仿宋_GB2312"/>
                <w:b/>
                <w:bCs/>
                <w:color w:val="000000" w:themeColor="text1"/>
                <w:kern w:val="0"/>
                <w:sz w:val="24"/>
                <w:szCs w:val="21"/>
              </w:rPr>
              <w:t>（三）</w:t>
            </w:r>
            <w:r>
              <w:rPr>
                <w:rFonts w:hint="eastAsia" w:ascii="仿宋_GB2312" w:eastAsia="仿宋_GB2312"/>
                <w:b/>
                <w:color w:val="000000" w:themeColor="text1"/>
                <w:sz w:val="24"/>
                <w:szCs w:val="24"/>
              </w:rPr>
              <w:t>创新生态共享</w:t>
            </w:r>
          </w:p>
          <w:p>
            <w:pPr>
              <w:pStyle w:val="50"/>
              <w:spacing w:line="400" w:lineRule="exact"/>
              <w:ind w:firstLine="480"/>
              <w:rPr>
                <w:rFonts w:ascii="仿宋_GB2312" w:eastAsia="仿宋_GB2312"/>
                <w:color w:val="000000" w:themeColor="text1"/>
                <w:sz w:val="24"/>
                <w:szCs w:val="24"/>
              </w:rPr>
            </w:pPr>
            <w:r>
              <w:rPr>
                <w:rFonts w:hint="eastAsia" w:ascii="仿宋_GB2312" w:eastAsia="仿宋_GB2312"/>
                <w:color w:val="000000" w:themeColor="text1"/>
                <w:sz w:val="24"/>
                <w:szCs w:val="24"/>
              </w:rPr>
              <w:t>以</w:t>
            </w:r>
            <w:r>
              <w:rPr>
                <w:rFonts w:hint="eastAsia" w:ascii="仿宋_GB2312" w:eastAsia="仿宋_GB2312"/>
                <w:color w:val="000000" w:themeColor="text1"/>
                <w:spacing w:val="-6"/>
                <w:sz w:val="24"/>
                <w:szCs w:val="24"/>
              </w:rPr>
              <w:t>赣江</w:t>
            </w:r>
            <w:r>
              <w:rPr>
                <w:rFonts w:hint="eastAsia" w:ascii="仿宋_GB2312" w:eastAsia="仿宋_GB2312"/>
                <w:color w:val="000000" w:themeColor="text1"/>
                <w:sz w:val="24"/>
                <w:szCs w:val="24"/>
              </w:rPr>
              <w:t>新区中医药科创城为试点，大胆探索“双飞地”模式，在研发供给、需求两端同时发力。用好国家级新区先行先试政策，学习借鉴长三角一体化示范区等建设模式，探索都市圈片区开发性PPP融资新模式。积极推动绿色金融改革创新试验区。</w:t>
            </w:r>
          </w:p>
        </w:tc>
      </w:tr>
    </w:tbl>
    <w:p>
      <w:pPr>
        <w:pStyle w:val="50"/>
        <w:spacing w:line="580" w:lineRule="exact"/>
      </w:pPr>
      <w:bookmarkStart w:id="624" w:name="_Toc20528"/>
      <w:bookmarkStart w:id="625" w:name="_Toc58861185"/>
    </w:p>
    <w:p>
      <w:pPr>
        <w:pStyle w:val="74"/>
        <w:adjustRightInd/>
        <w:snapToGrid/>
        <w:spacing w:line="580" w:lineRule="exact"/>
        <w:rPr>
          <w:color w:val="000000" w:themeColor="text1"/>
        </w:rPr>
      </w:pPr>
      <w:bookmarkStart w:id="626" w:name="_Toc3927"/>
      <w:bookmarkStart w:id="627" w:name="_Toc64542222"/>
      <w:r>
        <w:rPr>
          <w:rFonts w:hint="eastAsia" w:ascii="楷体_GB2312" w:eastAsia="楷体_GB2312"/>
          <w:color w:val="000000" w:themeColor="text1"/>
        </w:rPr>
        <w:t>第二节  促进圈内城市功能协同</w:t>
      </w:r>
      <w:bookmarkEnd w:id="624"/>
      <w:bookmarkEnd w:id="625"/>
      <w:bookmarkEnd w:id="626"/>
      <w:bookmarkEnd w:id="627"/>
    </w:p>
    <w:p>
      <w:pPr>
        <w:pStyle w:val="50"/>
        <w:spacing w:line="580" w:lineRule="exact"/>
        <w:ind w:firstLine="640"/>
        <w:rPr>
          <w:rFonts w:ascii="仿宋_GB2312" w:eastAsia="仿宋_GB2312"/>
          <w:color w:val="000000" w:themeColor="text1"/>
          <w:sz w:val="32"/>
          <w:szCs w:val="32"/>
        </w:rPr>
      </w:pPr>
    </w:p>
    <w:p>
      <w:pPr>
        <w:pStyle w:val="50"/>
        <w:spacing w:line="580" w:lineRule="exact"/>
        <w:ind w:firstLine="640"/>
        <w:rPr>
          <w:rFonts w:ascii="仿宋_GB2312" w:eastAsia="仿宋_GB2312"/>
          <w:color w:val="000000" w:themeColor="text1"/>
          <w:sz w:val="32"/>
          <w:szCs w:val="32"/>
        </w:rPr>
      </w:pPr>
      <w:r>
        <w:rPr>
          <w:rFonts w:hint="eastAsia" w:ascii="仿宋_GB2312" w:eastAsia="仿宋_GB2312"/>
          <w:color w:val="000000" w:themeColor="text1"/>
          <w:sz w:val="32"/>
          <w:szCs w:val="32"/>
        </w:rPr>
        <w:t>深入实施强省会战略，强化南昌对都市圈高质量发展的引领带动力，推进南昌与丰樟高地区同城化发展，与鄱余万、奉靖地区、九江、抚州等相关区域协同化发展，强化制度创新和规划统筹，打破行政壁垒，推动各类要素在都市圈内畅通流动，提升南昌制造与服务发展等资源外溢效应，形成更高水平区域协作模式。</w:t>
      </w:r>
      <w:r>
        <w:rPr>
          <w:rFonts w:ascii="仿宋_GB2312" w:eastAsia="仿宋_GB2312"/>
          <w:color w:val="000000" w:themeColor="text1"/>
          <w:sz w:val="32"/>
          <w:szCs w:val="32"/>
        </w:rPr>
        <w:t xml:space="preserve"> </w:t>
      </w:r>
    </w:p>
    <w:p>
      <w:pPr>
        <w:pStyle w:val="50"/>
        <w:spacing w:line="580" w:lineRule="exact"/>
        <w:ind w:firstLine="640"/>
        <w:rPr>
          <w:rFonts w:ascii="仿宋_GB2312" w:eastAsia="仿宋_GB2312"/>
          <w:color w:val="000000" w:themeColor="text1"/>
          <w:sz w:val="32"/>
          <w:szCs w:val="32"/>
        </w:rPr>
      </w:pPr>
      <w:r>
        <w:rPr>
          <w:rFonts w:hint="eastAsia" w:ascii="仿宋_GB2312" w:eastAsia="仿宋_GB2312"/>
          <w:color w:val="000000" w:themeColor="text1"/>
          <w:sz w:val="32"/>
          <w:szCs w:val="32"/>
        </w:rPr>
        <w:t>推进与丰樟高地区城际铁路、客运专线、城市快速路等通道建设，率先实现公共服务、政务管理、产业发展一体化，释放跨区域同城化发展效应，打造联通长株潭城市群重要节点和引领带动赣西转型升级发展区。推进昌九融合发展，集成大都市与大港口综合优势，共同构筑联动长珠闽和长江中游地区区域性综合交通枢纽，打通联动武汉都市圈通道，打造赣鄂皖省际区域经济中心和服务消费中心。推进昌抚合作，共建昌抚合作示范区，加快集聚高新技术产业和先进制造业，打造面向海峡西岸经济区、台湾地区的产业新高地。推进奉靖地区加快融入南昌核心增长极，厚植都市区绿水青山底色，打造大都市圈“绿心”。推进鄱余万地区提升综合承载力，强化交通连接，加快打造成为面向长三角地区的综合物流交通枢纽与劳动密集型产业转移承接基地。</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vAlign w:val="center"/>
          </w:tcPr>
          <w:p>
            <w:pPr>
              <w:pStyle w:val="52"/>
              <w:numPr>
                <w:ilvl w:val="0"/>
                <w:numId w:val="0"/>
              </w:numPr>
              <w:spacing w:after="0" w:line="360" w:lineRule="exact"/>
              <w:jc w:val="center"/>
              <w:rPr>
                <w:rFonts w:ascii="仿宋_GB2312" w:eastAsia="仿宋_GB2312"/>
                <w:color w:val="000000" w:themeColor="text1"/>
                <w:szCs w:val="32"/>
              </w:rPr>
            </w:pPr>
            <w:r>
              <w:rPr>
                <w:rFonts w:hint="eastAsia" w:ascii="黑体" w:hAnsi="黑体" w:eastAsia="黑体" w:cs="黑体"/>
                <w:bCs/>
                <w:color w:val="000000" w:themeColor="text1"/>
                <w:sz w:val="28"/>
                <w:szCs w:val="28"/>
              </w:rPr>
              <w:t>专栏28：对接大南昌都市圈重点组团合作事项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pStyle w:val="2"/>
              <w:spacing w:after="0" w:line="400" w:lineRule="exact"/>
              <w:ind w:firstLine="482" w:firstLineChars="200"/>
              <w:rPr>
                <w:rFonts w:ascii="仿宋_GB2312" w:hAnsi="宋体" w:eastAsia="仿宋_GB2312" w:cs="Times New Roman"/>
                <w:b/>
                <w:bCs/>
                <w:color w:val="000000" w:themeColor="text1"/>
                <w:kern w:val="0"/>
                <w:sz w:val="24"/>
              </w:rPr>
            </w:pPr>
            <w:r>
              <w:rPr>
                <w:rFonts w:hint="eastAsia" w:ascii="仿宋_GB2312" w:hAnsi="Times New Roman" w:eastAsia="仿宋_GB2312" w:cs="Times New Roman"/>
                <w:b/>
                <w:bCs/>
                <w:color w:val="000000" w:themeColor="text1"/>
                <w:kern w:val="0"/>
                <w:sz w:val="24"/>
              </w:rPr>
              <w:t>（一）丰樟高组团</w:t>
            </w:r>
          </w:p>
          <w:p>
            <w:pPr>
              <w:pStyle w:val="2"/>
              <w:spacing w:after="0" w:line="400" w:lineRule="exact"/>
              <w:ind w:firstLine="480" w:firstLineChars="200"/>
              <w:rPr>
                <w:rFonts w:ascii="仿宋_GB2312" w:hAnsi="Times New Roman" w:eastAsia="仿宋_GB2312" w:cs="Times New Roman"/>
                <w:color w:val="000000" w:themeColor="text1"/>
                <w:kern w:val="0"/>
                <w:sz w:val="24"/>
              </w:rPr>
            </w:pPr>
            <w:r>
              <w:rPr>
                <w:rFonts w:hint="eastAsia" w:ascii="仿宋_GB2312" w:hAnsi="Times New Roman" w:eastAsia="仿宋_GB2312" w:cs="Times New Roman"/>
                <w:color w:val="000000" w:themeColor="text1"/>
                <w:kern w:val="0"/>
                <w:sz w:val="24"/>
              </w:rPr>
              <w:t>率先加强与丰城市、樟树市、高安市同城化发展，主动延伸城际交通等基础设施建设，培育现代物流节点功能。严格限制高污染产业发展，强化生态环境综合协同治理和产业绿色发展，提升对南昌产业配套协作水平，推动生产性服务企业主动为丰樟高产业集群提供高质量服务。</w:t>
            </w:r>
            <w:r>
              <w:rPr>
                <w:rFonts w:ascii="仿宋_GB2312" w:hAnsi="宋体" w:eastAsia="仿宋_GB2312" w:cs="Times New Roman"/>
                <w:b/>
                <w:color w:val="000000" w:themeColor="text1"/>
                <w:kern w:val="0"/>
                <w:sz w:val="24"/>
              </w:rPr>
              <w:t xml:space="preserve"> </w:t>
            </w:r>
          </w:p>
          <w:p>
            <w:pPr>
              <w:pStyle w:val="2"/>
              <w:spacing w:after="0" w:line="400" w:lineRule="exact"/>
              <w:ind w:firstLine="482" w:firstLineChars="200"/>
              <w:rPr>
                <w:rFonts w:ascii="仿宋_GB2312" w:hAnsi="Times New Roman" w:eastAsia="仿宋_GB2312" w:cs="Times New Roman"/>
                <w:b/>
                <w:bCs/>
                <w:color w:val="000000" w:themeColor="text1"/>
                <w:kern w:val="0"/>
                <w:sz w:val="24"/>
              </w:rPr>
            </w:pPr>
            <w:r>
              <w:rPr>
                <w:rFonts w:hint="eastAsia" w:ascii="仿宋_GB2312" w:hAnsi="Times New Roman" w:eastAsia="仿宋_GB2312" w:cs="Times New Roman"/>
                <w:b/>
                <w:bCs/>
                <w:color w:val="000000" w:themeColor="text1"/>
                <w:kern w:val="0"/>
                <w:sz w:val="24"/>
              </w:rPr>
              <w:t>（二）奉靖组团</w:t>
            </w:r>
          </w:p>
          <w:p>
            <w:pPr>
              <w:pStyle w:val="2"/>
              <w:spacing w:after="0" w:line="400" w:lineRule="exact"/>
              <w:ind w:firstLine="456" w:firstLineChars="200"/>
              <w:rPr>
                <w:rFonts w:ascii="仿宋_GB2312" w:hAnsi="Times New Roman" w:eastAsia="仿宋_GB2312" w:cs="Times New Roman"/>
                <w:color w:val="000000" w:themeColor="text1"/>
                <w:spacing w:val="-6"/>
                <w:kern w:val="0"/>
                <w:sz w:val="24"/>
              </w:rPr>
            </w:pPr>
            <w:r>
              <w:rPr>
                <w:rFonts w:hint="eastAsia" w:ascii="仿宋_GB2312" w:hAnsi="Times New Roman" w:eastAsia="仿宋_GB2312" w:cs="Times New Roman"/>
                <w:color w:val="000000" w:themeColor="text1"/>
                <w:spacing w:val="-6"/>
                <w:kern w:val="0"/>
                <w:sz w:val="24"/>
              </w:rPr>
              <w:t>紧密对接奉新县、靖安县特色生态旅游资源，鼓励企业参与两县生态旅游资源开发，共同打造都市圈生态休闲旅游度假区、康养产业发展优势区。联合推进特色农业、生态型都市农业品牌化发展，培育都市圈重要生态屏障，形成生态宜居引领型乡村振兴模式。</w:t>
            </w:r>
          </w:p>
          <w:p>
            <w:pPr>
              <w:pStyle w:val="2"/>
              <w:spacing w:after="0" w:line="400" w:lineRule="exact"/>
              <w:ind w:firstLine="482" w:firstLineChars="200"/>
              <w:rPr>
                <w:rFonts w:ascii="仿宋_GB2312" w:hAnsi="Times New Roman" w:eastAsia="仿宋_GB2312" w:cs="Times New Roman"/>
                <w:b/>
                <w:bCs/>
                <w:color w:val="000000" w:themeColor="text1"/>
                <w:kern w:val="0"/>
                <w:sz w:val="24"/>
              </w:rPr>
            </w:pPr>
            <w:r>
              <w:rPr>
                <w:rFonts w:hint="eastAsia" w:ascii="仿宋_GB2312" w:hAnsi="Times New Roman" w:eastAsia="仿宋_GB2312" w:cs="Times New Roman"/>
                <w:b/>
                <w:bCs/>
                <w:color w:val="000000" w:themeColor="text1"/>
                <w:kern w:val="0"/>
                <w:sz w:val="24"/>
              </w:rPr>
              <w:t>（三）鄱余万组团</w:t>
            </w:r>
          </w:p>
          <w:p>
            <w:pPr>
              <w:pStyle w:val="2"/>
              <w:spacing w:after="0" w:line="400" w:lineRule="exact"/>
              <w:ind w:firstLine="480" w:firstLineChars="200"/>
              <w:rPr>
                <w:rFonts w:ascii="仿宋_GB2312" w:eastAsia="仿宋_GB2312"/>
                <w:color w:val="000000" w:themeColor="text1"/>
                <w:szCs w:val="32"/>
              </w:rPr>
            </w:pPr>
            <w:r>
              <w:rPr>
                <w:rFonts w:hint="eastAsia" w:ascii="仿宋_GB2312" w:hAnsi="Times New Roman" w:eastAsia="仿宋_GB2312" w:cs="Times New Roman"/>
                <w:color w:val="000000" w:themeColor="text1"/>
                <w:kern w:val="0"/>
                <w:sz w:val="24"/>
              </w:rPr>
              <w:t>加强与鄱阳县、余干县、万年县交通基础设施对接。强化鄱阳湖生态环境治理与保护，协同推进产业绿色转型，共同发展滨湖都市型生态农业、特色和休闲农业、农产品加工业产业集群。</w:t>
            </w:r>
          </w:p>
        </w:tc>
      </w:tr>
    </w:tbl>
    <w:p>
      <w:pPr>
        <w:pStyle w:val="59"/>
        <w:spacing w:line="558" w:lineRule="exact"/>
        <w:ind w:firstLine="640"/>
      </w:pPr>
      <w:bookmarkStart w:id="628" w:name="_Toc1803"/>
      <w:bookmarkStart w:id="629" w:name="_Toc58861186"/>
    </w:p>
    <w:p>
      <w:pPr>
        <w:pStyle w:val="59"/>
        <w:spacing w:line="558" w:lineRule="exact"/>
        <w:ind w:firstLine="640"/>
      </w:pPr>
    </w:p>
    <w:p>
      <w:pPr>
        <w:pStyle w:val="74"/>
        <w:adjustRightInd/>
        <w:snapToGrid/>
        <w:spacing w:line="558" w:lineRule="exact"/>
        <w:rPr>
          <w:rFonts w:ascii="楷体_GB2312" w:eastAsia="楷体_GB2312"/>
          <w:color w:val="000000" w:themeColor="text1"/>
        </w:rPr>
      </w:pPr>
      <w:bookmarkStart w:id="630" w:name="_Toc64542223"/>
      <w:bookmarkStart w:id="631" w:name="_Toc26486"/>
      <w:r>
        <w:rPr>
          <w:rFonts w:hint="eastAsia" w:ascii="楷体_GB2312" w:eastAsia="楷体_GB2312"/>
          <w:color w:val="000000" w:themeColor="text1"/>
        </w:rPr>
        <w:t>第三节  完善都市圈融合发展机制</w:t>
      </w:r>
      <w:bookmarkEnd w:id="628"/>
      <w:bookmarkEnd w:id="629"/>
      <w:bookmarkEnd w:id="630"/>
      <w:bookmarkEnd w:id="631"/>
    </w:p>
    <w:p>
      <w:pPr>
        <w:spacing w:line="558" w:lineRule="exact"/>
        <w:ind w:firstLine="640"/>
        <w:rPr>
          <w:rFonts w:ascii="仿宋_GB2312" w:hAnsi="仿宋_GB2312" w:eastAsia="仿宋_GB2312" w:cs="仿宋_GB2312"/>
          <w:color w:val="000000" w:themeColor="text1"/>
        </w:rPr>
      </w:pPr>
    </w:p>
    <w:p>
      <w:pPr>
        <w:spacing w:line="558" w:lineRule="exact"/>
        <w:ind w:firstLine="640"/>
      </w:pPr>
      <w:r>
        <w:rPr>
          <w:rFonts w:hint="eastAsia" w:ascii="仿宋_GB2312" w:hAnsi="仿宋_GB2312" w:eastAsia="仿宋_GB2312" w:cs="仿宋_GB2312"/>
          <w:color w:val="000000" w:themeColor="text1"/>
        </w:rPr>
        <w:t>科学构建都市圈协商合作、规划协调、政策协同、一体化发展等机制。创新区际利益补偿机制，完善区域合作互助机制。健全市场融合发展机制，推动资本、土地、人口更加自由流动与高效配置。推进金融基础设施、信息网络、服务平台、服务标准一体化建设，逐步形成区域内统一规范的土地政策、税收政策及招商引资服务标准，加强招商引资政策协同。完善环境保护协同机制，重点建设圈内水、大气环境联防联控共治体系。牵头建立区域城市会商制度，主动扛起都市圈融合发展引领责任。</w:t>
      </w:r>
    </w:p>
    <w:p>
      <w:pPr>
        <w:pStyle w:val="31"/>
        <w:spacing w:line="558" w:lineRule="exact"/>
        <w:ind w:firstLine="640"/>
      </w:pPr>
    </w:p>
    <w:p>
      <w:pPr>
        <w:pStyle w:val="74"/>
        <w:adjustRightInd/>
        <w:snapToGrid/>
        <w:spacing w:line="558" w:lineRule="exact"/>
        <w:rPr>
          <w:rFonts w:ascii="楷体_GB2312" w:eastAsia="楷体_GB2312"/>
          <w:color w:val="000000" w:themeColor="text1"/>
        </w:rPr>
      </w:pPr>
      <w:bookmarkStart w:id="632" w:name="_Toc64542224"/>
      <w:bookmarkStart w:id="633" w:name="_Toc22809"/>
      <w:bookmarkStart w:id="634" w:name="_Toc58861187"/>
      <w:bookmarkStart w:id="635" w:name="_Toc12757"/>
      <w:r>
        <w:rPr>
          <w:rFonts w:hint="eastAsia" w:ascii="楷体_GB2312" w:eastAsia="楷体_GB2312"/>
          <w:color w:val="000000" w:themeColor="text1"/>
        </w:rPr>
        <w:t>第四节  促进人口集聚</w:t>
      </w:r>
      <w:bookmarkEnd w:id="632"/>
      <w:bookmarkEnd w:id="633"/>
      <w:bookmarkEnd w:id="634"/>
      <w:bookmarkEnd w:id="635"/>
    </w:p>
    <w:p>
      <w:pPr>
        <w:spacing w:line="558" w:lineRule="exact"/>
        <w:ind w:firstLine="640"/>
        <w:rPr>
          <w:rFonts w:ascii="仿宋_GB2312" w:eastAsia="仿宋_GB2312"/>
          <w:bCs/>
          <w:color w:val="000000" w:themeColor="text1"/>
          <w:kern w:val="0"/>
        </w:rPr>
      </w:pPr>
    </w:p>
    <w:p>
      <w:pPr>
        <w:spacing w:line="558" w:lineRule="exact"/>
        <w:ind w:firstLine="640"/>
        <w:rPr>
          <w:rFonts w:ascii="仿宋_GB2312" w:eastAsia="仿宋_GB2312"/>
          <w:bCs/>
          <w:color w:val="000000" w:themeColor="text1"/>
          <w:kern w:val="0"/>
        </w:rPr>
      </w:pPr>
      <w:r>
        <w:rPr>
          <w:rFonts w:hint="eastAsia" w:ascii="仿宋_GB2312" w:eastAsia="仿宋_GB2312"/>
          <w:bCs/>
          <w:color w:val="000000" w:themeColor="text1"/>
          <w:kern w:val="0"/>
        </w:rPr>
        <w:t>巩固全面取消落户限制成果，积极探索户籍制度与居住证制度并轨路径，加快外来人口集聚步伐。完善以居住证为载体的基本公共服务供给机制，提高居住证持有人基本教育、住房、医疗、养老、救助保障等服务实际享有水平，逐步实现与本地户籍人口同等的基本公共服务权利。全面开展农业转移人口就业技能培训，完善就业创业服务体系。完善购房政策，吸引外来就业创业人员常住、落户。营造开放大气、温情包容、成就梦想的宜居宜业氛围，完善新市民社会参与机制，增强城市凝聚力和向心力，满足外来人口对城市美好生活的向往。</w:t>
      </w:r>
    </w:p>
    <w:p>
      <w:pPr>
        <w:pStyle w:val="2"/>
        <w:ind w:firstLine="320"/>
      </w:pPr>
    </w:p>
    <w:tbl>
      <w:tblPr>
        <w:tblStyle w:val="7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vAlign w:val="center"/>
          </w:tcPr>
          <w:p>
            <w:pPr>
              <w:pStyle w:val="52"/>
              <w:numPr>
                <w:ilvl w:val="0"/>
                <w:numId w:val="0"/>
              </w:numPr>
              <w:spacing w:after="0" w:line="360" w:lineRule="exact"/>
              <w:jc w:val="center"/>
              <w:rPr>
                <w:rFonts w:ascii="仿宋_GB2312" w:hAnsi="Times New Roman" w:eastAsia="仿宋_GB2312" w:cs="Times New Roman"/>
                <w:b/>
                <w:color w:val="000000" w:themeColor="text1"/>
                <w:sz w:val="28"/>
                <w:szCs w:val="28"/>
              </w:rPr>
            </w:pPr>
            <w:r>
              <w:rPr>
                <w:rFonts w:hint="eastAsia" w:ascii="黑体" w:hAnsi="黑体" w:eastAsia="黑体" w:cs="黑体"/>
                <w:bCs/>
                <w:color w:val="000000" w:themeColor="text1"/>
                <w:sz w:val="28"/>
                <w:szCs w:val="28"/>
              </w:rPr>
              <w:t>专栏29：大南昌都市圈重点合作事项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pStyle w:val="50"/>
              <w:spacing w:line="370" w:lineRule="exact"/>
              <w:ind w:firstLineChars="0"/>
              <w:rPr>
                <w:rFonts w:ascii="仿宋_GB2312" w:eastAsia="仿宋_GB2312"/>
                <w:b/>
                <w:bCs/>
                <w:color w:val="000000" w:themeColor="text1"/>
                <w:kern w:val="0"/>
                <w:sz w:val="24"/>
                <w:szCs w:val="24"/>
              </w:rPr>
            </w:pPr>
            <w:r>
              <w:rPr>
                <w:rFonts w:hint="eastAsia" w:ascii="仿宋_GB2312" w:eastAsia="仿宋_GB2312"/>
                <w:b/>
                <w:bCs/>
                <w:color w:val="000000" w:themeColor="text1"/>
                <w:kern w:val="0"/>
                <w:sz w:val="24"/>
                <w:szCs w:val="24"/>
              </w:rPr>
              <w:t>（一）交通互联互通</w:t>
            </w:r>
          </w:p>
          <w:p>
            <w:pPr>
              <w:pStyle w:val="50"/>
              <w:spacing w:line="370" w:lineRule="exact"/>
              <w:ind w:firstLineChars="0"/>
              <w:rPr>
                <w:rFonts w:ascii="仿宋_GB2312" w:eastAsia="仿宋_GB2312"/>
                <w:color w:val="000000" w:themeColor="text1"/>
                <w:kern w:val="0"/>
                <w:sz w:val="24"/>
                <w:szCs w:val="24"/>
              </w:rPr>
            </w:pPr>
            <w:r>
              <w:rPr>
                <w:rFonts w:hint="eastAsia" w:ascii="仿宋_GB2312" w:eastAsia="仿宋_GB2312"/>
                <w:color w:val="000000" w:themeColor="text1"/>
                <w:kern w:val="0"/>
                <w:sz w:val="24"/>
                <w:szCs w:val="24"/>
              </w:rPr>
              <w:t>构筑便捷高效的都市圈交通体系，打造以南昌市为核心，周边县市区为节点的区域性综合交通枢纽。实施“断头路”畅通工程和“瓶颈路”拓宽工程；修编都市圈轨道交通规划，增开南昌至樟树、丰城、高安、抚州等城际列车。</w:t>
            </w:r>
          </w:p>
          <w:p>
            <w:pPr>
              <w:pStyle w:val="50"/>
              <w:spacing w:line="370" w:lineRule="exact"/>
              <w:ind w:firstLineChars="0"/>
              <w:rPr>
                <w:rFonts w:ascii="仿宋_GB2312" w:eastAsia="仿宋_GB2312"/>
                <w:b/>
                <w:bCs/>
                <w:color w:val="000000" w:themeColor="text1"/>
                <w:kern w:val="0"/>
                <w:sz w:val="24"/>
                <w:szCs w:val="24"/>
              </w:rPr>
            </w:pPr>
            <w:r>
              <w:rPr>
                <w:rFonts w:hint="eastAsia" w:ascii="仿宋_GB2312" w:eastAsia="仿宋_GB2312"/>
                <w:b/>
                <w:bCs/>
                <w:color w:val="000000" w:themeColor="text1"/>
                <w:kern w:val="0"/>
                <w:sz w:val="24"/>
                <w:szCs w:val="24"/>
              </w:rPr>
              <w:t>（二）产业协同发展</w:t>
            </w:r>
          </w:p>
          <w:p>
            <w:pPr>
              <w:pStyle w:val="50"/>
              <w:spacing w:line="370" w:lineRule="exact"/>
              <w:ind w:firstLineChars="0"/>
              <w:rPr>
                <w:rFonts w:ascii="仿宋_GB2312" w:eastAsia="仿宋_GB2312"/>
                <w:color w:val="000000" w:themeColor="text1"/>
                <w:kern w:val="0"/>
                <w:sz w:val="24"/>
                <w:szCs w:val="24"/>
              </w:rPr>
            </w:pPr>
            <w:r>
              <w:rPr>
                <w:rFonts w:hint="eastAsia" w:ascii="仿宋_GB2312" w:eastAsia="仿宋_GB2312"/>
                <w:color w:val="000000" w:themeColor="text1"/>
                <w:kern w:val="0"/>
                <w:sz w:val="24"/>
                <w:szCs w:val="24"/>
              </w:rPr>
              <w:t>推动编制都市圈产业协同发展规划，鼓励通过“飞地经济”模式，共建产业协同合作示范园区，有序推进都市圈产业园区（功能区）布局和发展方向优化。以产业园改造升级为抓手，推动产业有序转移和功能互补，实现圈层产业错位布局和特色化发展。探索建立联合招商、共同开发、利税共享的产业合作发展机制，建设一体化发展和承接产业转移示范区，承接中心城市产业转移。共同争取省级层面设立都市圈产业发展基金，扶持都市圈优势产业发展。</w:t>
            </w:r>
          </w:p>
          <w:p>
            <w:pPr>
              <w:pStyle w:val="50"/>
              <w:spacing w:line="370" w:lineRule="exact"/>
              <w:ind w:firstLineChars="0"/>
              <w:rPr>
                <w:rFonts w:ascii="仿宋_GB2312" w:eastAsia="仿宋_GB2312"/>
                <w:b/>
                <w:bCs/>
                <w:color w:val="000000" w:themeColor="text1"/>
                <w:kern w:val="0"/>
                <w:sz w:val="24"/>
                <w:szCs w:val="24"/>
              </w:rPr>
            </w:pPr>
            <w:r>
              <w:rPr>
                <w:rFonts w:hint="eastAsia" w:ascii="仿宋_GB2312" w:eastAsia="仿宋_GB2312"/>
                <w:b/>
                <w:bCs/>
                <w:color w:val="000000" w:themeColor="text1"/>
                <w:kern w:val="0"/>
                <w:sz w:val="24"/>
                <w:szCs w:val="24"/>
              </w:rPr>
              <w:t>（三）公共服务共享</w:t>
            </w:r>
          </w:p>
          <w:p>
            <w:pPr>
              <w:pStyle w:val="50"/>
              <w:spacing w:line="370" w:lineRule="exact"/>
              <w:ind w:firstLineChars="0"/>
              <w:rPr>
                <w:rFonts w:ascii="仿宋_GB2312" w:eastAsia="仿宋_GB2312"/>
                <w:color w:val="000000" w:themeColor="text1"/>
                <w:kern w:val="0"/>
                <w:sz w:val="24"/>
                <w:szCs w:val="24"/>
              </w:rPr>
            </w:pPr>
            <w:r>
              <w:rPr>
                <w:rFonts w:hint="eastAsia" w:ascii="仿宋_GB2312" w:eastAsia="仿宋_GB2312"/>
                <w:color w:val="000000" w:themeColor="text1"/>
                <w:kern w:val="0"/>
                <w:sz w:val="24"/>
                <w:szCs w:val="24"/>
              </w:rPr>
              <w:t>加大都市圈内医疗教育资源共享，鼓励我市有条件的中小学和三级医院推进集团化异地办学办医。加强公共卫生防控经验交流，健全都市圈预警响应机制，推动疫情防控健康码实现互认共享，全面提升防控和救治能力，联合开展文化旅游宣传推介，推行都市圈内A级旅游景区实行“旅游年票制”。推进社保关系转移接续流程优化和参保信息共通共享，实现社保业务同城化。建立都市圈内住房公积金异地信息交换和核查机制，推行都市圈内住房公积金转移接续和异地贷款。推进大南昌都市圈城际公交化运营，开通南昌市至都市圈范围内城市城际公交线路。推进都市圈城市户籍居民享受同城购房待遇。</w:t>
            </w:r>
          </w:p>
          <w:p>
            <w:pPr>
              <w:pStyle w:val="50"/>
              <w:spacing w:line="370" w:lineRule="exact"/>
              <w:ind w:firstLineChars="0"/>
              <w:rPr>
                <w:rFonts w:ascii="仿宋_GB2312" w:eastAsia="仿宋_GB2312"/>
                <w:b/>
                <w:bCs/>
                <w:color w:val="000000" w:themeColor="text1"/>
                <w:kern w:val="0"/>
                <w:sz w:val="24"/>
                <w:szCs w:val="24"/>
              </w:rPr>
            </w:pPr>
            <w:r>
              <w:rPr>
                <w:rFonts w:hint="eastAsia" w:ascii="仿宋_GB2312" w:eastAsia="仿宋_GB2312"/>
                <w:b/>
                <w:bCs/>
                <w:color w:val="000000" w:themeColor="text1"/>
                <w:kern w:val="0"/>
                <w:sz w:val="24"/>
                <w:szCs w:val="24"/>
              </w:rPr>
              <w:t>（四）市场体系建设</w:t>
            </w:r>
          </w:p>
          <w:p>
            <w:pPr>
              <w:pStyle w:val="50"/>
              <w:spacing w:line="370" w:lineRule="exact"/>
              <w:ind w:firstLineChars="0"/>
              <w:rPr>
                <w:rFonts w:ascii="仿宋_GB2312" w:eastAsia="仿宋_GB2312"/>
                <w:color w:val="000000" w:themeColor="text1"/>
                <w:kern w:val="0"/>
                <w:sz w:val="24"/>
                <w:szCs w:val="24"/>
              </w:rPr>
            </w:pPr>
            <w:r>
              <w:rPr>
                <w:rFonts w:hint="eastAsia" w:ascii="仿宋_GB2312" w:eastAsia="仿宋_GB2312"/>
                <w:color w:val="000000" w:themeColor="text1"/>
                <w:kern w:val="0"/>
                <w:sz w:val="24"/>
                <w:szCs w:val="24"/>
              </w:rPr>
              <w:t>推动建立大南昌都市圈警用信息资源共享平台，开展联查联控，预防和打击跨区域犯罪。加强大南昌都市圈城市社会信用体系建设，依托省、市两级公共信用平台，推动信用信息共享共用，加强信用监管，优化区域营商环境。推动政务服务联通互认，实现各类审批流程标准化和审批信息互联共享。联合组建都市圈技术交易市场联盟，鼓励在昌金融机构在都市圈内推进金融服务同城化。</w:t>
            </w:r>
          </w:p>
          <w:p>
            <w:pPr>
              <w:pStyle w:val="50"/>
              <w:spacing w:line="370" w:lineRule="exact"/>
              <w:ind w:firstLineChars="0"/>
              <w:rPr>
                <w:rFonts w:ascii="仿宋_GB2312" w:eastAsia="仿宋_GB2312"/>
                <w:b/>
                <w:bCs/>
                <w:color w:val="000000" w:themeColor="text1"/>
                <w:kern w:val="0"/>
                <w:sz w:val="24"/>
                <w:szCs w:val="24"/>
              </w:rPr>
            </w:pPr>
            <w:r>
              <w:rPr>
                <w:rFonts w:hint="eastAsia" w:ascii="仿宋_GB2312" w:eastAsia="仿宋_GB2312"/>
                <w:b/>
                <w:bCs/>
                <w:color w:val="000000" w:themeColor="text1"/>
                <w:kern w:val="0"/>
                <w:sz w:val="24"/>
                <w:szCs w:val="24"/>
              </w:rPr>
              <w:t>（五）环境联防联控</w:t>
            </w:r>
          </w:p>
          <w:p>
            <w:pPr>
              <w:pStyle w:val="50"/>
              <w:spacing w:line="370" w:lineRule="exact"/>
              <w:ind w:firstLineChars="0"/>
              <w:rPr>
                <w:rFonts w:ascii="仿宋_GB2312" w:eastAsia="仿宋_GB2312" w:hAnsiTheme="minorHAnsi" w:cstheme="minorBidi"/>
                <w:color w:val="000000" w:themeColor="text1"/>
                <w:kern w:val="0"/>
                <w:sz w:val="24"/>
                <w:szCs w:val="24"/>
              </w:rPr>
            </w:pPr>
            <w:r>
              <w:rPr>
                <w:rFonts w:hint="eastAsia" w:ascii="仿宋_GB2312" w:eastAsia="仿宋_GB2312"/>
                <w:color w:val="000000" w:themeColor="text1"/>
                <w:kern w:val="0"/>
                <w:sz w:val="24"/>
                <w:szCs w:val="24"/>
              </w:rPr>
              <w:t>以加强生态环境协同共治、源头防治为重点，统筹推进区域生态保护和山水林田湖草系统修复，强化都市圈生态网络共建、环境联防联治，建立大南昌都市圈区域大气污染联防联控机制，健全行业联席会议、环境信息共享、环境应急联动、气象环保应急会商等制度。建立垃圾处置能力共建共享机制，联合打击跨区域转运偷倒垃圾等环境违法行为。</w:t>
            </w:r>
          </w:p>
        </w:tc>
      </w:tr>
    </w:tbl>
    <w:p>
      <w:pPr>
        <w:pStyle w:val="59"/>
        <w:widowControl w:val="0"/>
        <w:adjustRightInd/>
        <w:snapToGrid/>
        <w:spacing w:line="240" w:lineRule="auto"/>
        <w:ind w:firstLine="0" w:firstLineChars="0"/>
        <w:jc w:val="center"/>
        <w:rPr>
          <w:b/>
          <w:color w:val="000000" w:themeColor="text1"/>
          <w:sz w:val="30"/>
          <w:szCs w:val="30"/>
        </w:rPr>
      </w:pPr>
      <w:bookmarkStart w:id="636" w:name="_Toc58861188"/>
      <w:r>
        <w:rPr>
          <w:b/>
          <w:color w:val="000000" w:themeColor="text1"/>
          <w:sz w:val="30"/>
          <w:szCs w:val="30"/>
        </w:rPr>
        <w:drawing>
          <wp:inline distT="0" distB="0" distL="0" distR="0">
            <wp:extent cx="5758180" cy="6406515"/>
            <wp:effectExtent l="19050" t="0" r="0" b="0"/>
            <wp:docPr id="8" name="图片 7" descr="大南昌都市圈区域协同图（无水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大南昌都市圈区域协同图（无水印）.jpg"/>
                    <pic:cNvPicPr>
                      <a:picLocks noChangeAspect="1"/>
                    </pic:cNvPicPr>
                  </pic:nvPicPr>
                  <pic:blipFill>
                    <a:blip r:embed="rId20" cstate="print"/>
                    <a:srcRect t="11207" b="14847"/>
                    <a:stretch>
                      <a:fillRect/>
                    </a:stretch>
                  </pic:blipFill>
                  <pic:spPr>
                    <a:xfrm>
                      <a:off x="0" y="0"/>
                      <a:ext cx="5758295" cy="6406738"/>
                    </a:xfrm>
                    <a:prstGeom prst="rect">
                      <a:avLst/>
                    </a:prstGeom>
                  </pic:spPr>
                </pic:pic>
              </a:graphicData>
            </a:graphic>
          </wp:inline>
        </w:drawing>
      </w:r>
    </w:p>
    <w:p>
      <w:pPr>
        <w:pStyle w:val="59"/>
        <w:widowControl w:val="0"/>
        <w:adjustRightInd/>
        <w:snapToGrid/>
        <w:spacing w:before="87" w:beforeLines="20" w:line="320" w:lineRule="exact"/>
        <w:ind w:firstLine="0" w:firstLineChars="0"/>
        <w:jc w:val="center"/>
        <w:rPr>
          <w:rFonts w:ascii="楷体_GB2312" w:hAnsi="楷体_GB2312" w:eastAsia="楷体_GB2312" w:cs="楷体_GB2312"/>
        </w:rPr>
      </w:pPr>
      <w:r>
        <w:rPr>
          <w:rFonts w:hint="eastAsia" w:ascii="楷体_GB2312" w:hAnsi="楷体_GB2312" w:eastAsia="楷体_GB2312" w:cs="楷体_GB2312"/>
          <w:b/>
          <w:color w:val="000000" w:themeColor="text1"/>
          <w:sz w:val="30"/>
          <w:szCs w:val="30"/>
        </w:rPr>
        <w:t>图7：大南昌都市圈融合发展</w:t>
      </w:r>
    </w:p>
    <w:p>
      <w:pPr>
        <w:pStyle w:val="59"/>
        <w:widowControl w:val="0"/>
        <w:adjustRightInd/>
        <w:snapToGrid/>
        <w:spacing w:line="558" w:lineRule="exact"/>
        <w:ind w:firstLine="640"/>
      </w:pPr>
      <w:bookmarkStart w:id="637" w:name="_Toc4416"/>
    </w:p>
    <w:p>
      <w:pPr>
        <w:widowControl/>
        <w:ind w:firstLine="0" w:firstLineChars="0"/>
        <w:jc w:val="left"/>
        <w:rPr>
          <w:rFonts w:ascii="仿宋_GB2312" w:hAnsi="仿宋_GB2312" w:eastAsia="黑体" w:cs="仿宋_GB2312"/>
          <w:color w:val="000000" w:themeColor="text1"/>
          <w:kern w:val="28"/>
          <w:szCs w:val="32"/>
        </w:rPr>
      </w:pPr>
      <w:bookmarkStart w:id="638" w:name="_Toc7728"/>
      <w:r>
        <w:rPr>
          <w:b/>
          <w:color w:val="000000" w:themeColor="text1"/>
        </w:rPr>
        <w:br w:type="page"/>
      </w:r>
    </w:p>
    <w:p>
      <w:pPr>
        <w:pStyle w:val="23"/>
        <w:adjustRightInd/>
        <w:snapToGrid/>
        <w:spacing w:line="558" w:lineRule="exact"/>
        <w:rPr>
          <w:b w:val="0"/>
          <w:color w:val="000000" w:themeColor="text1"/>
        </w:rPr>
      </w:pPr>
      <w:bookmarkStart w:id="639" w:name="_Toc64542225"/>
    </w:p>
    <w:p>
      <w:pPr>
        <w:pStyle w:val="23"/>
        <w:adjustRightInd/>
        <w:snapToGrid/>
        <w:spacing w:line="558" w:lineRule="exact"/>
        <w:rPr>
          <w:b w:val="0"/>
          <w:color w:val="000000" w:themeColor="text1"/>
        </w:rPr>
      </w:pPr>
      <w:r>
        <w:rPr>
          <w:rFonts w:hint="eastAsia"/>
          <w:b w:val="0"/>
          <w:color w:val="000000" w:themeColor="text1"/>
        </w:rPr>
        <w:t>第三十四章  携手共建长江中游城市群</w:t>
      </w:r>
      <w:bookmarkEnd w:id="636"/>
      <w:bookmarkEnd w:id="637"/>
      <w:bookmarkEnd w:id="638"/>
      <w:bookmarkEnd w:id="639"/>
    </w:p>
    <w:p>
      <w:pPr>
        <w:pStyle w:val="59"/>
        <w:widowControl w:val="0"/>
        <w:adjustRightInd/>
        <w:snapToGrid/>
        <w:spacing w:line="558" w:lineRule="exact"/>
        <w:ind w:firstLine="640"/>
        <w:rPr>
          <w:color w:val="000000" w:themeColor="text1"/>
        </w:rPr>
      </w:pPr>
    </w:p>
    <w:p>
      <w:pPr>
        <w:pStyle w:val="59"/>
        <w:widowControl w:val="0"/>
        <w:adjustRightInd/>
        <w:snapToGrid/>
        <w:spacing w:line="558" w:lineRule="exact"/>
        <w:ind w:firstLine="640"/>
        <w:rPr>
          <w:rFonts w:ascii="Times New Roman" w:hAnsi="Times New Roman" w:cs="Times New Roman"/>
          <w:color w:val="000000" w:themeColor="text1"/>
        </w:rPr>
      </w:pPr>
      <w:r>
        <w:rPr>
          <w:rFonts w:hint="eastAsia"/>
          <w:color w:val="000000" w:themeColor="text1"/>
        </w:rPr>
        <w:t>深入参与长江中游城市群建设，加快形成多中心发展格局，</w:t>
      </w:r>
      <w:r>
        <w:rPr>
          <w:rFonts w:hint="eastAsia" w:ascii="Times New Roman" w:hAnsi="Times New Roman" w:cs="Times New Roman"/>
          <w:color w:val="000000" w:themeColor="text1"/>
        </w:rPr>
        <w:t>在推动中部崛起中发展南昌，在参与区域竞合中增强城市影响力和话语权。</w:t>
      </w:r>
    </w:p>
    <w:p>
      <w:pPr>
        <w:pStyle w:val="59"/>
        <w:widowControl w:val="0"/>
        <w:adjustRightInd/>
        <w:snapToGrid/>
        <w:spacing w:line="558" w:lineRule="exact"/>
        <w:ind w:firstLine="640"/>
        <w:rPr>
          <w:rFonts w:ascii="Times New Roman" w:hAnsi="Times New Roman" w:cs="Times New Roman"/>
          <w:color w:val="000000" w:themeColor="text1"/>
        </w:rPr>
      </w:pPr>
    </w:p>
    <w:p>
      <w:pPr>
        <w:pStyle w:val="74"/>
        <w:adjustRightInd/>
        <w:snapToGrid/>
        <w:spacing w:line="558" w:lineRule="exact"/>
        <w:rPr>
          <w:rFonts w:ascii="楷体_GB2312" w:eastAsia="楷体_GB2312"/>
          <w:color w:val="000000" w:themeColor="text1"/>
        </w:rPr>
      </w:pPr>
      <w:bookmarkStart w:id="640" w:name="_Toc58861189"/>
      <w:bookmarkStart w:id="641" w:name="_Toc27558"/>
      <w:bookmarkStart w:id="642" w:name="_Toc64542226"/>
      <w:bookmarkStart w:id="643" w:name="_Toc26433"/>
      <w:r>
        <w:rPr>
          <w:rFonts w:hint="eastAsia" w:ascii="楷体_GB2312" w:eastAsia="楷体_GB2312"/>
          <w:color w:val="000000" w:themeColor="text1"/>
        </w:rPr>
        <w:t>第一节  合力提升城市群综合能级</w:t>
      </w:r>
      <w:bookmarkEnd w:id="640"/>
      <w:bookmarkEnd w:id="641"/>
      <w:bookmarkEnd w:id="642"/>
      <w:bookmarkEnd w:id="643"/>
    </w:p>
    <w:p>
      <w:pPr>
        <w:pStyle w:val="59"/>
        <w:widowControl w:val="0"/>
        <w:adjustRightInd/>
        <w:snapToGrid/>
        <w:spacing w:line="558" w:lineRule="exact"/>
        <w:ind w:firstLine="640"/>
        <w:rPr>
          <w:color w:val="000000" w:themeColor="text1"/>
        </w:rPr>
      </w:pPr>
    </w:p>
    <w:p>
      <w:pPr>
        <w:pStyle w:val="59"/>
        <w:widowControl w:val="0"/>
        <w:adjustRightInd/>
        <w:snapToGrid/>
        <w:spacing w:line="558" w:lineRule="exact"/>
        <w:ind w:firstLine="640"/>
        <w:rPr>
          <w:rFonts w:ascii="Times New Roman" w:hAnsi="Times New Roman" w:cs="Times New Roman"/>
          <w:color w:val="000000" w:themeColor="text1"/>
        </w:rPr>
      </w:pPr>
      <w:r>
        <w:rPr>
          <w:rFonts w:hint="eastAsia"/>
          <w:color w:val="000000" w:themeColor="text1"/>
        </w:rPr>
        <w:t>携手武汉城市圈、长株潭城市群、合肥都市圈，</w:t>
      </w:r>
      <w:r>
        <w:rPr>
          <w:rFonts w:ascii="Times New Roman" w:hAnsi="Times New Roman" w:cs="Times New Roman"/>
          <w:color w:val="000000" w:themeColor="text1"/>
        </w:rPr>
        <w:t>将长江中游城市群一体化发展</w:t>
      </w:r>
      <w:r>
        <w:rPr>
          <w:rFonts w:hint="eastAsia" w:ascii="Times New Roman" w:hAnsi="Times New Roman" w:cs="Times New Roman"/>
          <w:color w:val="000000" w:themeColor="text1"/>
        </w:rPr>
        <w:t>提升到</w:t>
      </w:r>
      <w:r>
        <w:rPr>
          <w:rFonts w:ascii="Times New Roman" w:hAnsi="Times New Roman" w:cs="Times New Roman"/>
          <w:color w:val="000000" w:themeColor="text1"/>
        </w:rPr>
        <w:t>国家区域发展总体战略全局中进行统筹谋划</w:t>
      </w:r>
      <w:r>
        <w:rPr>
          <w:rFonts w:hint="eastAsia" w:ascii="Times New Roman" w:hAnsi="Times New Roman" w:cs="Times New Roman"/>
          <w:color w:val="000000" w:themeColor="text1"/>
        </w:rPr>
        <w:t>。</w:t>
      </w:r>
      <w:r>
        <w:rPr>
          <w:rFonts w:ascii="Times New Roman" w:hAnsi="Times New Roman" w:cs="Times New Roman"/>
          <w:color w:val="000000" w:themeColor="text1"/>
        </w:rPr>
        <w:t>科学对标长三角，</w:t>
      </w:r>
      <w:r>
        <w:rPr>
          <w:rFonts w:hint="eastAsia"/>
          <w:color w:val="000000" w:themeColor="text1"/>
        </w:rPr>
        <w:t>以优势互补、轴向融合为发展导向，全面深化与武汉、</w:t>
      </w:r>
      <w:r>
        <w:rPr>
          <w:color w:val="000000" w:themeColor="text1"/>
        </w:rPr>
        <w:t>长沙、合肥</w:t>
      </w:r>
      <w:r>
        <w:rPr>
          <w:rFonts w:hint="eastAsia"/>
          <w:color w:val="000000" w:themeColor="text1"/>
        </w:rPr>
        <w:t>之间的战略合作与发展联动，共同推动长江中游城市群建设，打造中部地区加快崛起核心增长极，有力支撑中部地区综合实力和竞争力跃上新台阶</w:t>
      </w:r>
      <w:r>
        <w:rPr>
          <w:rFonts w:hint="eastAsia" w:ascii="Times New Roman" w:hAnsi="Times New Roman" w:cs="Times New Roman"/>
          <w:color w:val="000000" w:themeColor="text1"/>
        </w:rPr>
        <w:t>。</w:t>
      </w:r>
    </w:p>
    <w:p>
      <w:pPr>
        <w:pStyle w:val="59"/>
        <w:widowControl w:val="0"/>
        <w:adjustRightInd/>
        <w:snapToGrid/>
        <w:spacing w:line="580" w:lineRule="exact"/>
        <w:ind w:firstLine="640"/>
        <w:rPr>
          <w:rFonts w:ascii="Times New Roman" w:hAnsi="Times New Roman" w:cs="Times New Roman"/>
          <w:color w:val="000000" w:themeColor="text1"/>
        </w:rPr>
      </w:pPr>
    </w:p>
    <w:p>
      <w:pPr>
        <w:pStyle w:val="74"/>
        <w:adjustRightInd/>
        <w:snapToGrid/>
        <w:spacing w:line="580" w:lineRule="exact"/>
        <w:rPr>
          <w:rFonts w:ascii="楷体_GB2312" w:eastAsia="楷体_GB2312"/>
          <w:color w:val="000000" w:themeColor="text1"/>
        </w:rPr>
      </w:pPr>
      <w:bookmarkStart w:id="644" w:name="_Toc11489"/>
      <w:bookmarkStart w:id="645" w:name="_Toc3472"/>
      <w:bookmarkStart w:id="646" w:name="_Toc58861190"/>
      <w:bookmarkStart w:id="647" w:name="_Toc64542227"/>
      <w:r>
        <w:rPr>
          <w:rFonts w:hint="eastAsia" w:ascii="楷体_GB2312" w:eastAsia="楷体_GB2312"/>
          <w:color w:val="000000" w:themeColor="text1"/>
        </w:rPr>
        <w:t>第二节  全面深化城市群合作关系</w:t>
      </w:r>
      <w:bookmarkEnd w:id="644"/>
      <w:bookmarkEnd w:id="645"/>
      <w:bookmarkEnd w:id="646"/>
      <w:bookmarkEnd w:id="647"/>
    </w:p>
    <w:p>
      <w:pPr>
        <w:spacing w:line="580" w:lineRule="exact"/>
        <w:ind w:firstLine="640"/>
        <w:rPr>
          <w:rFonts w:ascii="仿宋_GB2312" w:eastAsia="仿宋_GB2312"/>
          <w:bCs/>
          <w:color w:val="000000" w:themeColor="text1"/>
          <w:kern w:val="0"/>
        </w:rPr>
      </w:pPr>
    </w:p>
    <w:p>
      <w:pPr>
        <w:spacing w:line="580" w:lineRule="exact"/>
        <w:ind w:firstLine="640"/>
        <w:rPr>
          <w:rFonts w:ascii="仿宋_GB2312" w:eastAsia="仿宋_GB2312"/>
          <w:color w:val="000000" w:themeColor="text1"/>
          <w:spacing w:val="-6"/>
          <w:kern w:val="0"/>
        </w:rPr>
      </w:pPr>
      <w:r>
        <w:rPr>
          <w:rFonts w:ascii="仿宋_GB2312" w:eastAsia="仿宋_GB2312"/>
          <w:bCs/>
          <w:color w:val="000000" w:themeColor="text1"/>
          <w:kern w:val="0"/>
        </w:rPr>
        <w:t>推动城市群产业</w:t>
      </w:r>
      <w:r>
        <w:rPr>
          <w:rFonts w:hint="eastAsia" w:ascii="仿宋_GB2312" w:eastAsia="仿宋_GB2312"/>
          <w:bCs/>
          <w:color w:val="000000" w:themeColor="text1"/>
          <w:kern w:val="0"/>
        </w:rPr>
        <w:t>科技</w:t>
      </w:r>
      <w:r>
        <w:rPr>
          <w:rFonts w:ascii="仿宋_GB2312" w:eastAsia="仿宋_GB2312"/>
          <w:bCs/>
          <w:color w:val="000000" w:themeColor="text1"/>
          <w:kern w:val="0"/>
        </w:rPr>
        <w:t>协同衔接，</w:t>
      </w:r>
      <w:r>
        <w:rPr>
          <w:rFonts w:hint="eastAsia" w:ascii="仿宋_GB2312" w:eastAsia="仿宋_GB2312"/>
          <w:color w:val="000000" w:themeColor="text1"/>
          <w:kern w:val="0"/>
        </w:rPr>
        <w:t>建设长江中游城市群科创成果转化交易中心、知识产权线上协同创新平台、工业互联网平台，</w:t>
      </w:r>
      <w:r>
        <w:rPr>
          <w:rFonts w:ascii="仿宋_GB2312" w:eastAsia="仿宋_GB2312"/>
          <w:bCs/>
          <w:color w:val="000000" w:themeColor="text1"/>
          <w:kern w:val="0"/>
        </w:rPr>
        <w:t>共同打造全国重要原始创新、科技转化高地</w:t>
      </w:r>
      <w:r>
        <w:rPr>
          <w:rFonts w:hint="eastAsia" w:ascii="仿宋_GB2312" w:eastAsia="仿宋_GB2312"/>
          <w:bCs/>
          <w:color w:val="000000" w:themeColor="text1"/>
          <w:kern w:val="0"/>
        </w:rPr>
        <w:t>。</w:t>
      </w:r>
      <w:r>
        <w:rPr>
          <w:rFonts w:ascii="仿宋_GB2312" w:eastAsia="仿宋_GB2312"/>
          <w:bCs/>
          <w:color w:val="000000" w:themeColor="text1"/>
          <w:kern w:val="0"/>
        </w:rPr>
        <w:t>共同构建要素自由流动的统一开放市场体系，</w:t>
      </w:r>
      <w:r>
        <w:rPr>
          <w:rFonts w:hint="eastAsia" w:ascii="仿宋_GB2312" w:eastAsia="仿宋_GB2312"/>
          <w:color w:val="000000" w:themeColor="text1"/>
          <w:kern w:val="0"/>
        </w:rPr>
        <w:t>探索成立长江中游城市群共同优势产业发展基金联盟，</w:t>
      </w:r>
      <w:r>
        <w:rPr>
          <w:rFonts w:ascii="仿宋_GB2312" w:eastAsia="仿宋_GB2312"/>
          <w:bCs/>
          <w:color w:val="000000" w:themeColor="text1"/>
          <w:kern w:val="0"/>
        </w:rPr>
        <w:t>共同打造世界级产业集群，建设具有全球影响力的现代产业基地。推进重大基础设施统筹，</w:t>
      </w:r>
      <w:r>
        <w:rPr>
          <w:rFonts w:hint="eastAsia" w:ascii="仿宋_GB2312" w:eastAsia="仿宋_GB2312"/>
          <w:color w:val="000000" w:themeColor="text1"/>
          <w:kern w:val="0"/>
        </w:rPr>
        <w:t>构建以高速铁路、城际铁路、高速公路、通用航空和长江黄金水道为主通道的城际快速交通网络，</w:t>
      </w:r>
      <w:r>
        <w:rPr>
          <w:rFonts w:ascii="仿宋_GB2312" w:eastAsia="仿宋_GB2312"/>
          <w:bCs/>
          <w:color w:val="000000" w:themeColor="text1"/>
          <w:kern w:val="0"/>
        </w:rPr>
        <w:t>提升互联互通和现代化水平，共建对外开放通道。</w:t>
      </w:r>
      <w:r>
        <w:rPr>
          <w:rFonts w:hint="eastAsia" w:ascii="仿宋_GB2312" w:eastAsia="仿宋_GB2312"/>
          <w:color w:val="000000" w:themeColor="text1"/>
          <w:kern w:val="0"/>
        </w:rPr>
        <w:t>加强生态文明建设合作，共推岸线保护，共保蓝天碧水，共建城市群“绿心”。</w:t>
      </w:r>
      <w:r>
        <w:rPr>
          <w:rFonts w:ascii="仿宋_GB2312" w:eastAsia="仿宋_GB2312"/>
          <w:color w:val="000000" w:themeColor="text1"/>
          <w:kern w:val="0"/>
        </w:rPr>
        <w:t>协同建立健全规划统筹协调机制，积极推进国家编制新一轮《长江中游城市群发展规划》，共同</w:t>
      </w:r>
      <w:r>
        <w:rPr>
          <w:rFonts w:hint="eastAsia" w:ascii="仿宋_GB2312" w:eastAsia="仿宋_GB2312"/>
          <w:color w:val="000000" w:themeColor="text1"/>
          <w:kern w:val="0"/>
        </w:rPr>
        <w:t>制定</w:t>
      </w:r>
      <w:r>
        <w:rPr>
          <w:rFonts w:ascii="仿宋_GB2312" w:eastAsia="仿宋_GB2312"/>
          <w:color w:val="000000" w:themeColor="text1"/>
          <w:kern w:val="0"/>
        </w:rPr>
        <w:t>《长江中游</w:t>
      </w:r>
      <w:r>
        <w:rPr>
          <w:rFonts w:ascii="仿宋_GB2312" w:eastAsia="仿宋_GB2312"/>
          <w:color w:val="000000" w:themeColor="text1"/>
          <w:spacing w:val="-6"/>
          <w:kern w:val="0"/>
        </w:rPr>
        <w:t>城市群省会城市合作行动计划》</w:t>
      </w:r>
      <w:r>
        <w:rPr>
          <w:rFonts w:hint="eastAsia" w:ascii="仿宋_GB2312" w:eastAsia="仿宋_GB2312"/>
          <w:color w:val="000000" w:themeColor="text1"/>
          <w:spacing w:val="-6"/>
          <w:kern w:val="0"/>
        </w:rPr>
        <w:t>，促进</w:t>
      </w:r>
      <w:r>
        <w:rPr>
          <w:rFonts w:ascii="仿宋_GB2312" w:eastAsia="仿宋_GB2312"/>
          <w:color w:val="000000" w:themeColor="text1"/>
          <w:spacing w:val="-6"/>
          <w:kern w:val="0"/>
        </w:rPr>
        <w:t>长江中游城市群一体化发展。</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1" w:type="dxa"/>
            <w:tcBorders>
              <w:top w:val="single" w:color="auto" w:sz="4" w:space="0"/>
              <w:left w:val="single" w:color="auto" w:sz="4" w:space="0"/>
              <w:bottom w:val="single" w:color="auto" w:sz="4" w:space="0"/>
              <w:right w:val="single" w:color="auto" w:sz="4" w:space="0"/>
            </w:tcBorders>
            <w:vAlign w:val="center"/>
          </w:tcPr>
          <w:p>
            <w:pPr>
              <w:pStyle w:val="52"/>
              <w:spacing w:after="0" w:line="360" w:lineRule="exact"/>
              <w:jc w:val="center"/>
              <w:rPr>
                <w:rFonts w:ascii="仿宋_GB2312" w:eastAsia="仿宋_GB2312"/>
                <w:b/>
                <w:color w:val="000000" w:themeColor="text1"/>
                <w:kern w:val="0"/>
                <w:sz w:val="28"/>
                <w:szCs w:val="28"/>
              </w:rPr>
            </w:pPr>
            <w:r>
              <w:rPr>
                <w:rFonts w:hint="eastAsia" w:ascii="黑体" w:hAnsi="黑体" w:eastAsia="黑体" w:cs="黑体"/>
                <w:bCs/>
                <w:color w:val="000000" w:themeColor="text1"/>
                <w:sz w:val="28"/>
                <w:szCs w:val="28"/>
              </w:rPr>
              <w:br w:type="page"/>
            </w:r>
            <w:r>
              <w:rPr>
                <w:rFonts w:hint="eastAsia" w:ascii="黑体" w:hAnsi="黑体" w:eastAsia="黑体" w:cs="黑体"/>
                <w:bCs/>
                <w:color w:val="000000" w:themeColor="text1"/>
                <w:sz w:val="28"/>
                <w:szCs w:val="28"/>
              </w:rPr>
              <w:t>专栏30：推进长江中游城市群合作重点事项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Borders>
              <w:top w:val="single" w:color="auto" w:sz="4" w:space="0"/>
              <w:left w:val="single" w:color="auto" w:sz="4" w:space="0"/>
              <w:bottom w:val="single" w:color="auto" w:sz="4" w:space="0"/>
              <w:right w:val="single" w:color="auto" w:sz="4" w:space="0"/>
            </w:tcBorders>
          </w:tcPr>
          <w:p>
            <w:pPr>
              <w:pStyle w:val="50"/>
              <w:spacing w:line="330" w:lineRule="exact"/>
              <w:ind w:firstLine="482"/>
              <w:rPr>
                <w:rFonts w:ascii="仿宋_GB2312" w:eastAsia="仿宋_GB2312"/>
                <w:b/>
                <w:bCs/>
                <w:color w:val="000000" w:themeColor="text1"/>
                <w:kern w:val="0"/>
                <w:sz w:val="24"/>
                <w:szCs w:val="24"/>
              </w:rPr>
            </w:pPr>
            <w:r>
              <w:rPr>
                <w:rFonts w:hint="eastAsia" w:ascii="仿宋_GB2312" w:eastAsia="仿宋_GB2312"/>
                <w:b/>
                <w:bCs/>
                <w:color w:val="000000" w:themeColor="text1"/>
                <w:kern w:val="0"/>
                <w:sz w:val="24"/>
                <w:szCs w:val="21"/>
              </w:rPr>
              <w:t>（一）</w:t>
            </w:r>
            <w:r>
              <w:rPr>
                <w:rFonts w:ascii="仿宋_GB2312" w:eastAsia="仿宋_GB2312"/>
                <w:b/>
                <w:bCs/>
                <w:color w:val="000000" w:themeColor="text1"/>
                <w:kern w:val="0"/>
                <w:sz w:val="24"/>
                <w:szCs w:val="24"/>
              </w:rPr>
              <w:t>长江中游城市群省会城市合作行动计划（2021—2024年）编制</w:t>
            </w:r>
          </w:p>
          <w:p>
            <w:pPr>
              <w:pStyle w:val="50"/>
              <w:spacing w:line="330" w:lineRule="exact"/>
              <w:ind w:firstLine="480"/>
              <w:rPr>
                <w:rFonts w:ascii="仿宋_GB2312" w:eastAsia="仿宋_GB2312"/>
                <w:color w:val="000000" w:themeColor="text1"/>
                <w:kern w:val="0"/>
                <w:sz w:val="24"/>
                <w:szCs w:val="24"/>
              </w:rPr>
            </w:pPr>
            <w:r>
              <w:rPr>
                <w:rFonts w:ascii="仿宋_GB2312" w:eastAsia="仿宋_GB2312"/>
                <w:color w:val="000000" w:themeColor="text1"/>
                <w:kern w:val="0"/>
                <w:sz w:val="24"/>
                <w:szCs w:val="24"/>
              </w:rPr>
              <w:t>参考世界城市群发展模式，</w:t>
            </w:r>
            <w:r>
              <w:rPr>
                <w:rFonts w:hint="eastAsia" w:ascii="仿宋_GB2312" w:eastAsia="仿宋_GB2312"/>
                <w:color w:val="000000" w:themeColor="text1"/>
                <w:kern w:val="0"/>
                <w:sz w:val="24"/>
                <w:szCs w:val="24"/>
              </w:rPr>
              <w:t>借鉴</w:t>
            </w:r>
            <w:r>
              <w:rPr>
                <w:rFonts w:ascii="仿宋_GB2312" w:eastAsia="仿宋_GB2312"/>
                <w:color w:val="000000" w:themeColor="text1"/>
                <w:kern w:val="0"/>
                <w:sz w:val="24"/>
                <w:szCs w:val="24"/>
              </w:rPr>
              <w:t>粤港澳大湾区和长三角发展模式，研究分析长江中游城市群省会城市发展规律，制定长江中游城市群省会城市合作行动计划（2021—2024年），</w:t>
            </w:r>
            <w:r>
              <w:rPr>
                <w:rFonts w:hint="eastAsia" w:ascii="仿宋_GB2312" w:eastAsia="仿宋_GB2312"/>
                <w:color w:val="000000" w:themeColor="text1"/>
                <w:kern w:val="0"/>
                <w:sz w:val="24"/>
                <w:szCs w:val="24"/>
              </w:rPr>
              <w:t>推动南昌与三</w:t>
            </w:r>
            <w:r>
              <w:rPr>
                <w:rFonts w:ascii="仿宋_GB2312" w:eastAsia="仿宋_GB2312"/>
                <w:color w:val="000000" w:themeColor="text1"/>
                <w:kern w:val="0"/>
                <w:sz w:val="24"/>
                <w:szCs w:val="24"/>
              </w:rPr>
              <w:t>省</w:t>
            </w:r>
            <w:r>
              <w:rPr>
                <w:rFonts w:hint="eastAsia" w:ascii="仿宋_GB2312" w:eastAsia="仿宋_GB2312"/>
                <w:color w:val="000000" w:themeColor="text1"/>
                <w:kern w:val="0"/>
                <w:sz w:val="24"/>
                <w:szCs w:val="24"/>
              </w:rPr>
              <w:t>省</w:t>
            </w:r>
            <w:r>
              <w:rPr>
                <w:rFonts w:ascii="仿宋_GB2312" w:eastAsia="仿宋_GB2312"/>
                <w:color w:val="000000" w:themeColor="text1"/>
                <w:kern w:val="0"/>
                <w:sz w:val="24"/>
                <w:szCs w:val="24"/>
              </w:rPr>
              <w:t>会城市开启新一轮城市合作，进一步夯实长江中游城市群一体化发展基础。</w:t>
            </w:r>
          </w:p>
          <w:p>
            <w:pPr>
              <w:pStyle w:val="50"/>
              <w:spacing w:line="330" w:lineRule="exact"/>
              <w:ind w:firstLine="482"/>
              <w:rPr>
                <w:rFonts w:ascii="仿宋_GB2312" w:eastAsia="仿宋_GB2312"/>
                <w:b/>
                <w:bCs/>
                <w:color w:val="000000" w:themeColor="text1"/>
                <w:kern w:val="0"/>
                <w:sz w:val="24"/>
                <w:szCs w:val="24"/>
              </w:rPr>
            </w:pPr>
            <w:r>
              <w:rPr>
                <w:rFonts w:hint="eastAsia" w:ascii="仿宋_GB2312" w:eastAsia="仿宋_GB2312"/>
                <w:b/>
                <w:bCs/>
                <w:color w:val="000000" w:themeColor="text1"/>
                <w:kern w:val="0"/>
                <w:sz w:val="24"/>
                <w:szCs w:val="24"/>
              </w:rPr>
              <w:t>（二）</w:t>
            </w:r>
            <w:r>
              <w:rPr>
                <w:rFonts w:ascii="仿宋_GB2312" w:eastAsia="仿宋_GB2312"/>
                <w:b/>
                <w:bCs/>
                <w:color w:val="000000" w:themeColor="text1"/>
                <w:kern w:val="0"/>
                <w:sz w:val="24"/>
                <w:szCs w:val="24"/>
              </w:rPr>
              <w:t>金融科创要素对接</w:t>
            </w:r>
          </w:p>
          <w:p>
            <w:pPr>
              <w:pStyle w:val="50"/>
              <w:spacing w:line="330" w:lineRule="exact"/>
              <w:ind w:firstLine="480"/>
              <w:rPr>
                <w:rFonts w:ascii="仿宋_GB2312" w:eastAsia="仿宋_GB2312"/>
                <w:color w:val="000000" w:themeColor="text1"/>
                <w:kern w:val="0"/>
                <w:sz w:val="24"/>
                <w:szCs w:val="24"/>
              </w:rPr>
            </w:pPr>
            <w:r>
              <w:rPr>
                <w:rFonts w:ascii="仿宋_GB2312" w:eastAsia="仿宋_GB2312"/>
                <w:color w:val="000000" w:themeColor="text1"/>
                <w:kern w:val="0"/>
                <w:sz w:val="24"/>
                <w:szCs w:val="24"/>
              </w:rPr>
              <w:t>建立长江中游城市群省会城市资本市场高质量发展信息共享机制，共同研究推进企业上市</w:t>
            </w:r>
            <w:r>
              <w:rPr>
                <w:rFonts w:hint="eastAsia" w:ascii="仿宋_GB2312" w:eastAsia="仿宋_GB2312"/>
                <w:color w:val="000000" w:themeColor="text1"/>
                <w:kern w:val="0"/>
                <w:sz w:val="24"/>
                <w:szCs w:val="24"/>
              </w:rPr>
              <w:t>，</w:t>
            </w:r>
            <w:r>
              <w:rPr>
                <w:rFonts w:ascii="仿宋_GB2312" w:eastAsia="仿宋_GB2312"/>
                <w:color w:val="000000" w:themeColor="text1"/>
                <w:kern w:val="0"/>
                <w:sz w:val="24"/>
                <w:szCs w:val="24"/>
              </w:rPr>
              <w:t>促进上市公司高质量发展</w:t>
            </w:r>
            <w:r>
              <w:rPr>
                <w:rFonts w:hint="eastAsia" w:ascii="仿宋_GB2312" w:eastAsia="仿宋_GB2312"/>
                <w:color w:val="000000" w:themeColor="text1"/>
                <w:kern w:val="0"/>
                <w:sz w:val="24"/>
                <w:szCs w:val="24"/>
              </w:rPr>
              <w:t>，</w:t>
            </w:r>
            <w:r>
              <w:rPr>
                <w:rFonts w:ascii="仿宋_GB2312" w:eastAsia="仿宋_GB2312"/>
                <w:color w:val="000000" w:themeColor="text1"/>
                <w:kern w:val="0"/>
                <w:sz w:val="24"/>
                <w:szCs w:val="24"/>
              </w:rPr>
              <w:t>建立长江中游城市群省会城市资本市场会议交流机制，</w:t>
            </w:r>
            <w:r>
              <w:rPr>
                <w:rFonts w:hint="eastAsia" w:ascii="仿宋_GB2312" w:eastAsia="仿宋_GB2312"/>
                <w:color w:val="000000" w:themeColor="text1"/>
                <w:kern w:val="0"/>
                <w:sz w:val="24"/>
                <w:szCs w:val="24"/>
              </w:rPr>
              <w:t>互</w:t>
            </w:r>
            <w:r>
              <w:rPr>
                <w:rFonts w:ascii="仿宋_GB2312" w:eastAsia="仿宋_GB2312"/>
                <w:color w:val="000000" w:themeColor="text1"/>
                <w:kern w:val="0"/>
                <w:sz w:val="24"/>
                <w:szCs w:val="24"/>
              </w:rPr>
              <w:t>邀参加资本市场会议、论坛、峰会等活动</w:t>
            </w:r>
            <w:r>
              <w:rPr>
                <w:rFonts w:hint="eastAsia" w:ascii="仿宋_GB2312" w:eastAsia="仿宋_GB2312"/>
                <w:color w:val="000000" w:themeColor="text1"/>
                <w:kern w:val="0"/>
                <w:sz w:val="24"/>
                <w:szCs w:val="24"/>
              </w:rPr>
              <w:t>，</w:t>
            </w:r>
            <w:r>
              <w:rPr>
                <w:rFonts w:ascii="仿宋_GB2312" w:eastAsia="仿宋_GB2312"/>
                <w:color w:val="000000" w:themeColor="text1"/>
                <w:kern w:val="0"/>
                <w:sz w:val="24"/>
                <w:szCs w:val="24"/>
              </w:rPr>
              <w:t>建立长江中游城市群省会城市企业上市对接机制</w:t>
            </w:r>
            <w:r>
              <w:rPr>
                <w:rFonts w:hint="eastAsia" w:ascii="仿宋_GB2312" w:eastAsia="仿宋_GB2312"/>
                <w:color w:val="000000" w:themeColor="text1"/>
                <w:kern w:val="0"/>
                <w:sz w:val="24"/>
                <w:szCs w:val="24"/>
              </w:rPr>
              <w:t>。</w:t>
            </w:r>
          </w:p>
          <w:p>
            <w:pPr>
              <w:pStyle w:val="50"/>
              <w:spacing w:line="330" w:lineRule="exact"/>
              <w:ind w:firstLine="482"/>
              <w:rPr>
                <w:rFonts w:ascii="仿宋_GB2312" w:eastAsia="仿宋_GB2312"/>
                <w:b/>
                <w:bCs/>
                <w:color w:val="000000" w:themeColor="text1"/>
                <w:kern w:val="0"/>
                <w:sz w:val="24"/>
                <w:szCs w:val="24"/>
              </w:rPr>
            </w:pPr>
            <w:r>
              <w:rPr>
                <w:rFonts w:hint="eastAsia" w:ascii="仿宋_GB2312" w:eastAsia="仿宋_GB2312"/>
                <w:b/>
                <w:bCs/>
                <w:color w:val="000000" w:themeColor="text1"/>
                <w:kern w:val="0"/>
                <w:sz w:val="24"/>
                <w:szCs w:val="24"/>
              </w:rPr>
              <w:t>（三）</w:t>
            </w:r>
            <w:r>
              <w:rPr>
                <w:rFonts w:ascii="仿宋_GB2312" w:eastAsia="仿宋_GB2312"/>
                <w:b/>
                <w:bCs/>
                <w:color w:val="000000" w:themeColor="text1"/>
                <w:kern w:val="0"/>
                <w:sz w:val="24"/>
                <w:szCs w:val="24"/>
              </w:rPr>
              <w:t>工业互联网互联互通</w:t>
            </w:r>
          </w:p>
          <w:p>
            <w:pPr>
              <w:pStyle w:val="50"/>
              <w:spacing w:line="330" w:lineRule="exact"/>
              <w:ind w:firstLine="480"/>
              <w:rPr>
                <w:rFonts w:ascii="仿宋_GB2312" w:eastAsia="仿宋_GB2312"/>
                <w:color w:val="000000" w:themeColor="text1"/>
                <w:kern w:val="0"/>
                <w:sz w:val="24"/>
                <w:szCs w:val="24"/>
              </w:rPr>
            </w:pPr>
            <w:r>
              <w:rPr>
                <w:rFonts w:ascii="仿宋_GB2312" w:eastAsia="仿宋_GB2312"/>
                <w:color w:val="000000" w:themeColor="text1"/>
                <w:kern w:val="0"/>
                <w:sz w:val="24"/>
                <w:szCs w:val="24"/>
              </w:rPr>
              <w:t>加快工业互联网应用，推进工业互联网标识解析体系建设，促进工业互联网平台信息互联互通，打破区域行政区划和市场壁垒，实现区域内科技、人才、资本、土地等要素资源集聚和共享。</w:t>
            </w:r>
          </w:p>
          <w:p>
            <w:pPr>
              <w:pStyle w:val="50"/>
              <w:spacing w:line="330" w:lineRule="exact"/>
              <w:ind w:firstLine="482"/>
              <w:rPr>
                <w:rFonts w:ascii="仿宋_GB2312" w:eastAsia="仿宋_GB2312"/>
                <w:b/>
                <w:bCs/>
                <w:color w:val="000000" w:themeColor="text1"/>
                <w:kern w:val="0"/>
                <w:sz w:val="24"/>
                <w:szCs w:val="24"/>
              </w:rPr>
            </w:pPr>
            <w:r>
              <w:rPr>
                <w:rFonts w:hint="eastAsia" w:ascii="仿宋_GB2312" w:eastAsia="仿宋_GB2312"/>
                <w:b/>
                <w:bCs/>
                <w:color w:val="000000" w:themeColor="text1"/>
                <w:kern w:val="0"/>
                <w:sz w:val="24"/>
                <w:szCs w:val="24"/>
              </w:rPr>
              <w:t>（四）</w:t>
            </w:r>
            <w:r>
              <w:rPr>
                <w:rFonts w:ascii="仿宋_GB2312" w:eastAsia="仿宋_GB2312"/>
                <w:b/>
                <w:bCs/>
                <w:color w:val="000000" w:themeColor="text1"/>
                <w:kern w:val="0"/>
                <w:sz w:val="24"/>
                <w:szCs w:val="24"/>
              </w:rPr>
              <w:t>政务服务优化</w:t>
            </w:r>
          </w:p>
          <w:p>
            <w:pPr>
              <w:pStyle w:val="50"/>
              <w:spacing w:line="330" w:lineRule="exact"/>
              <w:ind w:firstLine="480"/>
              <w:rPr>
                <w:rFonts w:ascii="仿宋_GB2312" w:eastAsia="仿宋_GB2312"/>
                <w:color w:val="000000" w:themeColor="text1"/>
                <w:kern w:val="0"/>
                <w:sz w:val="24"/>
                <w:szCs w:val="24"/>
              </w:rPr>
            </w:pPr>
            <w:r>
              <w:rPr>
                <w:rFonts w:ascii="仿宋_GB2312" w:eastAsia="仿宋_GB2312"/>
                <w:color w:val="000000" w:themeColor="text1"/>
                <w:kern w:val="0"/>
                <w:sz w:val="24"/>
                <w:szCs w:val="24"/>
              </w:rPr>
              <w:t xml:space="preserve">推进“一网通办”平台建设，加快跨区域政务服务网互联互通、电子证照信息共享，探索营商环境重点领域、民生领域等“一地受理、一次办理”。 </w:t>
            </w:r>
          </w:p>
          <w:p>
            <w:pPr>
              <w:pStyle w:val="50"/>
              <w:spacing w:line="330" w:lineRule="exact"/>
              <w:ind w:firstLine="482"/>
              <w:rPr>
                <w:rFonts w:ascii="仿宋_GB2312" w:eastAsia="仿宋_GB2312"/>
                <w:b/>
                <w:bCs/>
                <w:color w:val="000000" w:themeColor="text1"/>
                <w:kern w:val="0"/>
                <w:sz w:val="24"/>
                <w:szCs w:val="24"/>
              </w:rPr>
            </w:pPr>
            <w:r>
              <w:rPr>
                <w:rFonts w:hint="eastAsia" w:ascii="仿宋_GB2312" w:eastAsia="仿宋_GB2312"/>
                <w:b/>
                <w:bCs/>
                <w:color w:val="000000" w:themeColor="text1"/>
                <w:kern w:val="0"/>
                <w:sz w:val="24"/>
                <w:szCs w:val="24"/>
              </w:rPr>
              <w:t>（五）</w:t>
            </w:r>
            <w:r>
              <w:rPr>
                <w:rFonts w:ascii="仿宋_GB2312" w:eastAsia="仿宋_GB2312"/>
                <w:b/>
                <w:bCs/>
                <w:color w:val="000000" w:themeColor="text1"/>
                <w:kern w:val="0"/>
                <w:sz w:val="24"/>
                <w:szCs w:val="24"/>
              </w:rPr>
              <w:t>教育科研协作</w:t>
            </w:r>
          </w:p>
          <w:p>
            <w:pPr>
              <w:pStyle w:val="50"/>
              <w:spacing w:line="330" w:lineRule="exact"/>
              <w:ind w:firstLine="480"/>
              <w:rPr>
                <w:rFonts w:ascii="仿宋_GB2312" w:eastAsia="仿宋_GB2312"/>
                <w:color w:val="000000" w:themeColor="text1"/>
                <w:kern w:val="0"/>
                <w:sz w:val="24"/>
                <w:szCs w:val="24"/>
              </w:rPr>
            </w:pPr>
            <w:r>
              <w:rPr>
                <w:rFonts w:ascii="仿宋_GB2312" w:eastAsia="仿宋_GB2312"/>
                <w:color w:val="000000" w:themeColor="text1"/>
                <w:kern w:val="0"/>
                <w:sz w:val="24"/>
                <w:szCs w:val="24"/>
              </w:rPr>
              <w:t>加强长江中游城市群省会城市教研协作体建设，完善教育科研联动机制，在专家资源、教育经验、专项调研、学科教研、项目研究等方面实现资源共享。</w:t>
            </w:r>
          </w:p>
          <w:p>
            <w:pPr>
              <w:pStyle w:val="50"/>
              <w:spacing w:line="330" w:lineRule="exact"/>
              <w:ind w:firstLine="482"/>
              <w:rPr>
                <w:rFonts w:ascii="仿宋_GB2312" w:eastAsia="仿宋_GB2312"/>
                <w:b/>
                <w:bCs/>
                <w:color w:val="000000" w:themeColor="text1"/>
                <w:kern w:val="0"/>
                <w:sz w:val="24"/>
                <w:szCs w:val="24"/>
              </w:rPr>
            </w:pPr>
            <w:r>
              <w:rPr>
                <w:rFonts w:hint="eastAsia" w:ascii="仿宋_GB2312" w:eastAsia="仿宋_GB2312"/>
                <w:b/>
                <w:bCs/>
                <w:color w:val="000000" w:themeColor="text1"/>
                <w:kern w:val="0"/>
                <w:sz w:val="24"/>
                <w:szCs w:val="24"/>
              </w:rPr>
              <w:t>（六）</w:t>
            </w:r>
            <w:r>
              <w:rPr>
                <w:rFonts w:ascii="仿宋_GB2312" w:eastAsia="仿宋_GB2312"/>
                <w:b/>
                <w:bCs/>
                <w:color w:val="000000" w:themeColor="text1"/>
                <w:kern w:val="0"/>
                <w:sz w:val="24"/>
                <w:szCs w:val="24"/>
              </w:rPr>
              <w:t>科技资源共享</w:t>
            </w:r>
          </w:p>
          <w:p>
            <w:pPr>
              <w:pStyle w:val="50"/>
              <w:spacing w:line="330" w:lineRule="exact"/>
              <w:ind w:firstLine="480"/>
              <w:rPr>
                <w:rFonts w:ascii="仿宋_GB2312" w:eastAsia="仿宋_GB2312"/>
                <w:color w:val="000000" w:themeColor="text1"/>
                <w:kern w:val="0"/>
                <w:sz w:val="24"/>
                <w:szCs w:val="24"/>
              </w:rPr>
            </w:pPr>
            <w:r>
              <w:rPr>
                <w:rFonts w:ascii="仿宋_GB2312" w:eastAsia="仿宋_GB2312"/>
                <w:color w:val="000000" w:themeColor="text1"/>
                <w:kern w:val="0"/>
                <w:sz w:val="24"/>
                <w:szCs w:val="24"/>
              </w:rPr>
              <w:t>完善长江中游城市群科技服务资源共享平台，推进长江中游城市群大型仪器与长三角科技资源服务平台数据共享，满足企业和科研单位等用户的创新需求。</w:t>
            </w:r>
          </w:p>
          <w:p>
            <w:pPr>
              <w:pStyle w:val="50"/>
              <w:spacing w:line="330" w:lineRule="exact"/>
              <w:ind w:firstLine="482"/>
              <w:rPr>
                <w:rFonts w:ascii="仿宋_GB2312" w:eastAsia="仿宋_GB2312"/>
                <w:b/>
                <w:bCs/>
                <w:color w:val="000000" w:themeColor="text1"/>
                <w:kern w:val="0"/>
                <w:sz w:val="24"/>
                <w:szCs w:val="24"/>
              </w:rPr>
            </w:pPr>
            <w:r>
              <w:rPr>
                <w:rFonts w:hint="eastAsia" w:ascii="仿宋_GB2312" w:eastAsia="仿宋_GB2312"/>
                <w:b/>
                <w:bCs/>
                <w:color w:val="000000" w:themeColor="text1"/>
                <w:kern w:val="0"/>
                <w:sz w:val="24"/>
                <w:szCs w:val="24"/>
              </w:rPr>
              <w:t>（七）</w:t>
            </w:r>
            <w:r>
              <w:rPr>
                <w:rFonts w:ascii="仿宋_GB2312" w:eastAsia="仿宋_GB2312"/>
                <w:b/>
                <w:bCs/>
                <w:color w:val="000000" w:themeColor="text1"/>
                <w:kern w:val="0"/>
                <w:sz w:val="24"/>
                <w:szCs w:val="24"/>
              </w:rPr>
              <w:t>公共资源交易合作</w:t>
            </w:r>
          </w:p>
          <w:p>
            <w:pPr>
              <w:pStyle w:val="50"/>
              <w:spacing w:line="330" w:lineRule="exact"/>
              <w:ind w:firstLine="480"/>
              <w:rPr>
                <w:rFonts w:ascii="仿宋_GB2312" w:eastAsia="仿宋_GB2312"/>
                <w:b/>
                <w:bCs/>
                <w:color w:val="000000" w:themeColor="text1"/>
                <w:kern w:val="0"/>
                <w:sz w:val="24"/>
                <w:szCs w:val="24"/>
              </w:rPr>
            </w:pPr>
            <w:r>
              <w:rPr>
                <w:rFonts w:ascii="仿宋_GB2312" w:eastAsia="仿宋_GB2312"/>
                <w:color w:val="000000" w:themeColor="text1"/>
                <w:kern w:val="0"/>
                <w:sz w:val="24"/>
                <w:szCs w:val="24"/>
              </w:rPr>
              <w:t>持续优化5G通信技术和区块链技术在远程异地评标中的场景应用功能，提升远程异地评标会议体验，推动长江中游城市群四省会城市交易中心共享优质专家资源，合作开展“5G+区块链”远程异地评标。</w:t>
            </w:r>
          </w:p>
          <w:p>
            <w:pPr>
              <w:pStyle w:val="50"/>
              <w:spacing w:line="330" w:lineRule="exact"/>
              <w:ind w:firstLine="482"/>
              <w:rPr>
                <w:rFonts w:ascii="仿宋_GB2312" w:eastAsia="仿宋_GB2312"/>
                <w:b/>
                <w:bCs/>
                <w:color w:val="000000" w:themeColor="text1"/>
                <w:kern w:val="0"/>
                <w:sz w:val="24"/>
                <w:szCs w:val="24"/>
              </w:rPr>
            </w:pPr>
            <w:r>
              <w:rPr>
                <w:rFonts w:hint="eastAsia" w:ascii="仿宋_GB2312" w:eastAsia="仿宋_GB2312"/>
                <w:b/>
                <w:bCs/>
                <w:color w:val="000000" w:themeColor="text1"/>
                <w:kern w:val="0"/>
                <w:sz w:val="24"/>
                <w:szCs w:val="24"/>
              </w:rPr>
              <w:t>（</w:t>
            </w:r>
            <w:r>
              <w:rPr>
                <w:rFonts w:hint="eastAsia" w:ascii="仿宋_GB2312" w:eastAsia="仿宋_GB2312"/>
                <w:b/>
                <w:bCs/>
                <w:color w:val="000000" w:themeColor="text1"/>
                <w:kern w:val="0"/>
                <w:sz w:val="24"/>
                <w:szCs w:val="21"/>
              </w:rPr>
              <w:t>八）</w:t>
            </w:r>
            <w:r>
              <w:rPr>
                <w:rFonts w:ascii="仿宋_GB2312" w:eastAsia="仿宋_GB2312"/>
                <w:b/>
                <w:bCs/>
                <w:color w:val="000000" w:themeColor="text1"/>
                <w:kern w:val="0"/>
                <w:sz w:val="24"/>
                <w:szCs w:val="24"/>
              </w:rPr>
              <w:t>法律服务协作</w:t>
            </w:r>
          </w:p>
          <w:p>
            <w:pPr>
              <w:pStyle w:val="50"/>
              <w:spacing w:line="330" w:lineRule="exact"/>
              <w:ind w:firstLine="480"/>
              <w:rPr>
                <w:rFonts w:ascii="仿宋_GB2312" w:eastAsia="仿宋_GB2312"/>
                <w:b/>
                <w:bCs/>
                <w:color w:val="000000" w:themeColor="text1"/>
                <w:kern w:val="0"/>
                <w:sz w:val="24"/>
                <w:szCs w:val="24"/>
              </w:rPr>
            </w:pPr>
            <w:r>
              <w:rPr>
                <w:rFonts w:ascii="仿宋_GB2312" w:eastAsia="仿宋_GB2312"/>
                <w:color w:val="000000" w:themeColor="text1"/>
                <w:kern w:val="0"/>
                <w:sz w:val="24"/>
                <w:szCs w:val="24"/>
              </w:rPr>
              <w:t>开展公证服务核查协作，建立法律援助机构在转交申请、核实情况、调查取证、送达法律文书等环节的异地协作机制，建立异地办理重大群体性敏感案件的信息通报和联动机制，举办律师协会会长论坛，加强律师培训交流。</w:t>
            </w:r>
          </w:p>
          <w:p>
            <w:pPr>
              <w:pStyle w:val="50"/>
              <w:spacing w:line="330" w:lineRule="exact"/>
              <w:ind w:firstLine="482"/>
              <w:rPr>
                <w:rFonts w:ascii="仿宋_GB2312" w:eastAsia="仿宋_GB2312"/>
                <w:b/>
                <w:bCs/>
                <w:color w:val="000000" w:themeColor="text1"/>
                <w:kern w:val="0"/>
                <w:sz w:val="24"/>
                <w:szCs w:val="24"/>
              </w:rPr>
            </w:pPr>
            <w:r>
              <w:rPr>
                <w:rFonts w:hint="eastAsia" w:ascii="仿宋_GB2312" w:eastAsia="仿宋_GB2312"/>
                <w:b/>
                <w:bCs/>
                <w:color w:val="000000" w:themeColor="text1"/>
                <w:kern w:val="0"/>
                <w:sz w:val="24"/>
                <w:szCs w:val="24"/>
              </w:rPr>
              <w:t>（</w:t>
            </w:r>
            <w:r>
              <w:rPr>
                <w:rFonts w:hint="eastAsia" w:ascii="仿宋_GB2312" w:eastAsia="仿宋_GB2312"/>
                <w:b/>
                <w:bCs/>
                <w:color w:val="000000" w:themeColor="text1"/>
                <w:kern w:val="0"/>
                <w:sz w:val="24"/>
                <w:szCs w:val="21"/>
              </w:rPr>
              <w:t>九）</w:t>
            </w:r>
            <w:r>
              <w:rPr>
                <w:rFonts w:ascii="仿宋_GB2312" w:eastAsia="仿宋_GB2312"/>
                <w:b/>
                <w:bCs/>
                <w:color w:val="000000" w:themeColor="text1"/>
                <w:kern w:val="0"/>
                <w:sz w:val="24"/>
                <w:szCs w:val="24"/>
              </w:rPr>
              <w:t>科技成果转化模式创新</w:t>
            </w:r>
          </w:p>
          <w:p>
            <w:pPr>
              <w:pStyle w:val="50"/>
              <w:spacing w:line="330" w:lineRule="exact"/>
              <w:ind w:firstLine="456"/>
              <w:rPr>
                <w:rFonts w:ascii="仿宋_GB2312" w:eastAsia="仿宋_GB2312"/>
                <w:color w:val="000000" w:themeColor="text1"/>
                <w:spacing w:val="-6"/>
                <w:kern w:val="0"/>
                <w:sz w:val="24"/>
                <w:szCs w:val="24"/>
              </w:rPr>
            </w:pPr>
            <w:r>
              <w:rPr>
                <w:rFonts w:ascii="仿宋_GB2312" w:eastAsia="仿宋_GB2312"/>
                <w:color w:val="000000" w:themeColor="text1"/>
                <w:spacing w:val="-6"/>
                <w:kern w:val="0"/>
                <w:sz w:val="24"/>
                <w:szCs w:val="24"/>
              </w:rPr>
              <w:t>推进长江中游城市群科技大市场联动，促进科技创新成果转移转化，深化大院大所大企合作，探索新型技术供需对接模式，构建“机制灵活、专业运转”的产研融合新模式。</w:t>
            </w:r>
          </w:p>
          <w:p>
            <w:pPr>
              <w:pStyle w:val="50"/>
              <w:spacing w:line="330" w:lineRule="exact"/>
              <w:ind w:firstLine="482"/>
              <w:rPr>
                <w:rFonts w:ascii="仿宋_GB2312" w:eastAsia="仿宋_GB2312"/>
                <w:b/>
                <w:bCs/>
                <w:color w:val="000000" w:themeColor="text1"/>
                <w:kern w:val="0"/>
                <w:sz w:val="24"/>
                <w:szCs w:val="24"/>
              </w:rPr>
            </w:pPr>
            <w:r>
              <w:rPr>
                <w:rFonts w:hint="eastAsia" w:ascii="仿宋_GB2312" w:eastAsia="仿宋_GB2312"/>
                <w:b/>
                <w:bCs/>
                <w:color w:val="000000" w:themeColor="text1"/>
                <w:kern w:val="0"/>
                <w:sz w:val="24"/>
                <w:szCs w:val="21"/>
              </w:rPr>
              <w:t>（十）</w:t>
            </w:r>
            <w:r>
              <w:rPr>
                <w:rFonts w:ascii="仿宋_GB2312" w:eastAsia="仿宋_GB2312"/>
                <w:b/>
                <w:bCs/>
                <w:color w:val="000000" w:themeColor="text1"/>
                <w:kern w:val="0"/>
                <w:sz w:val="24"/>
                <w:szCs w:val="24"/>
              </w:rPr>
              <w:t>金融+科技协同创新平台建设</w:t>
            </w:r>
          </w:p>
          <w:p>
            <w:pPr>
              <w:pStyle w:val="50"/>
              <w:spacing w:line="330" w:lineRule="exact"/>
              <w:ind w:firstLineChars="0"/>
              <w:rPr>
                <w:rFonts w:ascii="仿宋_GB2312" w:eastAsia="仿宋_GB2312"/>
                <w:color w:val="000000" w:themeColor="text1"/>
                <w:kern w:val="0"/>
                <w:sz w:val="24"/>
                <w:szCs w:val="24"/>
              </w:rPr>
            </w:pPr>
            <w:r>
              <w:rPr>
                <w:rFonts w:ascii="仿宋_GB2312" w:eastAsia="仿宋_GB2312"/>
                <w:color w:val="000000" w:themeColor="text1"/>
                <w:kern w:val="0"/>
                <w:sz w:val="24"/>
                <w:szCs w:val="24"/>
              </w:rPr>
              <w:t>强化区域风险联防联控，建立长江中游城市群地方金融监管协作机制</w:t>
            </w:r>
            <w:r>
              <w:rPr>
                <w:rFonts w:hint="eastAsia" w:ascii="仿宋_GB2312" w:eastAsia="仿宋_GB2312"/>
                <w:color w:val="000000" w:themeColor="text1"/>
                <w:kern w:val="0"/>
                <w:sz w:val="24"/>
                <w:szCs w:val="24"/>
              </w:rPr>
              <w:t>，</w:t>
            </w:r>
            <w:r>
              <w:rPr>
                <w:rFonts w:ascii="仿宋_GB2312" w:eastAsia="仿宋_GB2312"/>
                <w:color w:val="000000" w:themeColor="text1"/>
                <w:kern w:val="0"/>
                <w:sz w:val="24"/>
                <w:szCs w:val="24"/>
              </w:rPr>
              <w:t>探索建立“长江中游城市群金融科技产业联盟”</w:t>
            </w:r>
            <w:r>
              <w:rPr>
                <w:rFonts w:hint="eastAsia" w:ascii="仿宋_GB2312" w:eastAsia="仿宋_GB2312"/>
                <w:color w:val="000000" w:themeColor="text1"/>
                <w:kern w:val="0"/>
                <w:sz w:val="24"/>
                <w:szCs w:val="24"/>
              </w:rPr>
              <w:t>。</w:t>
            </w:r>
            <w:r>
              <w:rPr>
                <w:rFonts w:ascii="仿宋_GB2312" w:eastAsia="仿宋_GB2312"/>
                <w:color w:val="000000" w:themeColor="text1"/>
                <w:kern w:val="0"/>
                <w:sz w:val="24"/>
                <w:szCs w:val="24"/>
              </w:rPr>
              <w:t>搭建合作交流平台，促进信息流、资金流等要素流动，推动科技成果转移转化，推进与长三角金融资本机构合作对接，打造“政产学研资用”一体化平台。</w:t>
            </w:r>
          </w:p>
          <w:p>
            <w:pPr>
              <w:pStyle w:val="50"/>
              <w:spacing w:line="330" w:lineRule="exact"/>
              <w:ind w:firstLine="482"/>
              <w:rPr>
                <w:rFonts w:ascii="仿宋_GB2312" w:eastAsia="仿宋_GB2312"/>
                <w:b/>
                <w:bCs/>
                <w:color w:val="000000" w:themeColor="text1"/>
                <w:kern w:val="0"/>
                <w:sz w:val="24"/>
                <w:szCs w:val="24"/>
              </w:rPr>
            </w:pPr>
            <w:r>
              <w:rPr>
                <w:rFonts w:hint="eastAsia" w:ascii="仿宋_GB2312" w:eastAsia="仿宋_GB2312"/>
                <w:b/>
                <w:bCs/>
                <w:color w:val="000000" w:themeColor="text1"/>
                <w:kern w:val="0"/>
                <w:sz w:val="24"/>
                <w:szCs w:val="24"/>
              </w:rPr>
              <w:t>（十一）</w:t>
            </w:r>
            <w:r>
              <w:rPr>
                <w:rFonts w:ascii="仿宋_GB2312" w:eastAsia="仿宋_GB2312"/>
                <w:b/>
                <w:bCs/>
                <w:color w:val="000000" w:themeColor="text1"/>
                <w:kern w:val="0"/>
                <w:sz w:val="24"/>
                <w:szCs w:val="24"/>
              </w:rPr>
              <w:t>数字身份认证标准对接</w:t>
            </w:r>
          </w:p>
          <w:p>
            <w:pPr>
              <w:pStyle w:val="50"/>
              <w:spacing w:line="330" w:lineRule="exact"/>
              <w:ind w:firstLine="480"/>
              <w:rPr>
                <w:rFonts w:ascii="仿宋_GB2312" w:eastAsia="仿宋_GB2312"/>
                <w:color w:val="000000" w:themeColor="text1"/>
                <w:kern w:val="0"/>
                <w:sz w:val="24"/>
                <w:szCs w:val="24"/>
              </w:rPr>
            </w:pPr>
            <w:r>
              <w:rPr>
                <w:rFonts w:ascii="仿宋_GB2312" w:eastAsia="仿宋_GB2312"/>
                <w:color w:val="000000" w:themeColor="text1"/>
                <w:kern w:val="0"/>
                <w:sz w:val="24"/>
                <w:szCs w:val="24"/>
              </w:rPr>
              <w:t>推动长江中游城市群“一码通域”，规范长江中游城市群公共服务二维码标准体系建设，推动多码互认，为市民提供数字身份认证、交通出行、公共服务、互动服务等多元化的服务内容，提高市民生活便利度。</w:t>
            </w:r>
          </w:p>
          <w:p>
            <w:pPr>
              <w:pStyle w:val="50"/>
              <w:spacing w:line="330" w:lineRule="exact"/>
              <w:ind w:firstLine="482"/>
              <w:rPr>
                <w:rFonts w:ascii="仿宋_GB2312" w:eastAsia="仿宋_GB2312"/>
                <w:b/>
                <w:bCs/>
                <w:color w:val="000000" w:themeColor="text1"/>
                <w:kern w:val="0"/>
                <w:sz w:val="24"/>
                <w:szCs w:val="24"/>
              </w:rPr>
            </w:pPr>
            <w:r>
              <w:rPr>
                <w:rFonts w:hint="eastAsia" w:ascii="仿宋_GB2312" w:eastAsia="仿宋_GB2312"/>
                <w:b/>
                <w:bCs/>
                <w:color w:val="000000" w:themeColor="text1"/>
                <w:kern w:val="0"/>
                <w:sz w:val="24"/>
                <w:szCs w:val="24"/>
              </w:rPr>
              <w:t>（十二）</w:t>
            </w:r>
            <w:r>
              <w:rPr>
                <w:rFonts w:ascii="仿宋_GB2312" w:eastAsia="仿宋_GB2312"/>
                <w:b/>
                <w:bCs/>
                <w:color w:val="000000" w:themeColor="text1"/>
                <w:kern w:val="0"/>
                <w:sz w:val="24"/>
                <w:szCs w:val="24"/>
              </w:rPr>
              <w:t>文化</w:t>
            </w:r>
            <w:r>
              <w:rPr>
                <w:rFonts w:hint="eastAsia" w:ascii="仿宋_GB2312" w:eastAsia="仿宋_GB2312"/>
                <w:b/>
                <w:bCs/>
                <w:color w:val="000000" w:themeColor="text1"/>
                <w:kern w:val="0"/>
                <w:sz w:val="24"/>
                <w:szCs w:val="24"/>
              </w:rPr>
              <w:t>旅游</w:t>
            </w:r>
            <w:r>
              <w:rPr>
                <w:rFonts w:ascii="仿宋_GB2312" w:eastAsia="仿宋_GB2312"/>
                <w:b/>
                <w:bCs/>
                <w:color w:val="000000" w:themeColor="text1"/>
                <w:kern w:val="0"/>
                <w:sz w:val="24"/>
                <w:szCs w:val="24"/>
              </w:rPr>
              <w:t>互动</w:t>
            </w:r>
          </w:p>
          <w:p>
            <w:pPr>
              <w:pStyle w:val="50"/>
              <w:spacing w:line="330" w:lineRule="exact"/>
              <w:ind w:firstLine="480"/>
              <w:rPr>
                <w:rFonts w:ascii="仿宋_GB2312" w:eastAsia="仿宋_GB2312"/>
                <w:color w:val="000000" w:themeColor="text1"/>
                <w:kern w:val="0"/>
                <w:sz w:val="24"/>
                <w:szCs w:val="24"/>
              </w:rPr>
            </w:pPr>
            <w:r>
              <w:rPr>
                <w:rFonts w:ascii="仿宋_GB2312" w:eastAsia="仿宋_GB2312"/>
                <w:color w:val="000000" w:themeColor="text1"/>
                <w:kern w:val="0"/>
                <w:sz w:val="24"/>
                <w:szCs w:val="24"/>
              </w:rPr>
              <w:t>深化公共文化和旅游资源交流互动，坚持请进来和走出去并举，展示文化和旅游发展新成果、整合优质文化和旅游资源、促进文化和旅游交流。</w:t>
            </w:r>
            <w:r>
              <w:rPr>
                <w:rFonts w:hint="eastAsia" w:ascii="仿宋_GB2312" w:eastAsia="仿宋_GB2312"/>
                <w:color w:val="000000" w:themeColor="text1"/>
                <w:kern w:val="0"/>
                <w:sz w:val="24"/>
                <w:szCs w:val="24"/>
              </w:rPr>
              <w:t>推动景区互认互通，整合旅游资源，推动旅游产业由“门票经济”向“产业经济”的转型升级。</w:t>
            </w:r>
          </w:p>
          <w:p>
            <w:pPr>
              <w:pStyle w:val="50"/>
              <w:spacing w:line="330" w:lineRule="exact"/>
              <w:ind w:firstLine="482"/>
              <w:rPr>
                <w:rFonts w:ascii="仿宋_GB2312" w:eastAsia="仿宋_GB2312"/>
                <w:b/>
                <w:bCs/>
                <w:color w:val="000000" w:themeColor="text1"/>
                <w:kern w:val="0"/>
                <w:sz w:val="24"/>
                <w:szCs w:val="24"/>
              </w:rPr>
            </w:pPr>
            <w:r>
              <w:rPr>
                <w:rFonts w:hint="eastAsia" w:ascii="仿宋_GB2312" w:eastAsia="仿宋_GB2312"/>
                <w:b/>
                <w:bCs/>
                <w:color w:val="000000" w:themeColor="text1"/>
                <w:kern w:val="0"/>
                <w:sz w:val="24"/>
                <w:szCs w:val="24"/>
              </w:rPr>
              <w:t>（十三）</w:t>
            </w:r>
            <w:r>
              <w:rPr>
                <w:rFonts w:ascii="仿宋_GB2312" w:eastAsia="仿宋_GB2312"/>
                <w:b/>
                <w:bCs/>
                <w:color w:val="000000" w:themeColor="text1"/>
                <w:kern w:val="0"/>
                <w:sz w:val="24"/>
                <w:szCs w:val="24"/>
              </w:rPr>
              <w:t>医保合作深化</w:t>
            </w:r>
          </w:p>
          <w:p>
            <w:pPr>
              <w:pStyle w:val="50"/>
              <w:spacing w:line="330" w:lineRule="exact"/>
              <w:ind w:firstLine="480"/>
              <w:rPr>
                <w:rFonts w:ascii="仿宋_GB2312" w:eastAsia="仿宋_GB2312"/>
                <w:color w:val="000000" w:themeColor="text1"/>
                <w:kern w:val="0"/>
                <w:sz w:val="24"/>
                <w:szCs w:val="24"/>
              </w:rPr>
            </w:pPr>
            <w:r>
              <w:rPr>
                <w:rFonts w:ascii="仿宋_GB2312" w:eastAsia="仿宋_GB2312"/>
                <w:color w:val="000000" w:themeColor="text1"/>
                <w:kern w:val="0"/>
                <w:sz w:val="24"/>
                <w:szCs w:val="24"/>
              </w:rPr>
              <w:t>扩大异地就医医保直接结算范围，围绕扩展定点医院和医疗机构名单、费用结算便利化等方向，提升区域医疗一体化水平。建立医保监管协同机制，加强异地就医监管协作。畅通跨区域医保关系转移接续渠道，优化跨区域医保关系转移接续流程。</w:t>
            </w:r>
          </w:p>
          <w:p>
            <w:pPr>
              <w:pStyle w:val="50"/>
              <w:spacing w:line="330" w:lineRule="exact"/>
              <w:ind w:firstLine="482"/>
              <w:rPr>
                <w:rFonts w:ascii="仿宋_GB2312" w:eastAsia="仿宋_GB2312"/>
                <w:b/>
                <w:bCs/>
                <w:color w:val="000000" w:themeColor="text1"/>
                <w:kern w:val="0"/>
                <w:sz w:val="24"/>
                <w:szCs w:val="24"/>
              </w:rPr>
            </w:pPr>
            <w:r>
              <w:rPr>
                <w:rFonts w:hint="eastAsia" w:ascii="仿宋_GB2312" w:eastAsia="仿宋_GB2312"/>
                <w:b/>
                <w:bCs/>
                <w:color w:val="000000" w:themeColor="text1"/>
                <w:kern w:val="0"/>
                <w:sz w:val="24"/>
                <w:szCs w:val="24"/>
              </w:rPr>
              <w:t>（十四）</w:t>
            </w:r>
            <w:r>
              <w:rPr>
                <w:rFonts w:ascii="仿宋_GB2312" w:eastAsia="仿宋_GB2312"/>
                <w:b/>
                <w:bCs/>
                <w:color w:val="000000" w:themeColor="text1"/>
                <w:kern w:val="0"/>
                <w:sz w:val="24"/>
                <w:szCs w:val="24"/>
              </w:rPr>
              <w:t>市场监管一体化</w:t>
            </w:r>
          </w:p>
          <w:p>
            <w:pPr>
              <w:pStyle w:val="50"/>
              <w:spacing w:line="330" w:lineRule="exact"/>
              <w:ind w:firstLine="480"/>
              <w:rPr>
                <w:rFonts w:ascii="仿宋_GB2312" w:eastAsia="仿宋_GB2312"/>
                <w:color w:val="000000" w:themeColor="text1"/>
                <w:kern w:val="0"/>
                <w:sz w:val="24"/>
                <w:szCs w:val="24"/>
              </w:rPr>
            </w:pPr>
            <w:r>
              <w:rPr>
                <w:rFonts w:ascii="仿宋_GB2312" w:eastAsia="仿宋_GB2312"/>
                <w:color w:val="000000" w:themeColor="text1"/>
                <w:kern w:val="0"/>
                <w:sz w:val="24"/>
                <w:szCs w:val="24"/>
              </w:rPr>
              <w:t>共同制定行政处罚自由裁量权适用规则一体化标准，规范市场监督管理行政处罚行为，保障市场监管部门依法行使行政处罚裁量权，保护自然人、法人和其他组织的合法权益。</w:t>
            </w:r>
          </w:p>
          <w:p>
            <w:pPr>
              <w:pStyle w:val="50"/>
              <w:spacing w:line="330" w:lineRule="exact"/>
              <w:ind w:firstLine="482"/>
              <w:rPr>
                <w:rFonts w:ascii="仿宋_GB2312" w:eastAsia="仿宋_GB2312"/>
                <w:b/>
                <w:bCs/>
                <w:color w:val="000000" w:themeColor="text1"/>
                <w:kern w:val="0"/>
                <w:sz w:val="24"/>
                <w:szCs w:val="24"/>
              </w:rPr>
            </w:pPr>
            <w:r>
              <w:rPr>
                <w:rFonts w:hint="eastAsia" w:ascii="仿宋_GB2312" w:eastAsia="仿宋_GB2312"/>
                <w:b/>
                <w:bCs/>
                <w:color w:val="000000" w:themeColor="text1"/>
                <w:kern w:val="0"/>
                <w:sz w:val="24"/>
                <w:szCs w:val="24"/>
              </w:rPr>
              <w:t>（十五）</w:t>
            </w:r>
            <w:r>
              <w:rPr>
                <w:rFonts w:ascii="仿宋_GB2312" w:eastAsia="仿宋_GB2312"/>
                <w:b/>
                <w:bCs/>
                <w:color w:val="000000" w:themeColor="text1"/>
                <w:kern w:val="0"/>
                <w:sz w:val="24"/>
                <w:szCs w:val="24"/>
              </w:rPr>
              <w:t>跨区域警情调度指挥协作</w:t>
            </w:r>
          </w:p>
          <w:p>
            <w:pPr>
              <w:pStyle w:val="50"/>
              <w:spacing w:line="330" w:lineRule="exact"/>
              <w:ind w:firstLine="480"/>
              <w:rPr>
                <w:rFonts w:ascii="仿宋_GB2312" w:eastAsia="仿宋_GB2312" w:hAnsiTheme="minorHAnsi"/>
                <w:color w:val="000000" w:themeColor="text1"/>
                <w:szCs w:val="32"/>
              </w:rPr>
            </w:pPr>
            <w:r>
              <w:rPr>
                <w:rFonts w:ascii="仿宋_GB2312" w:eastAsia="仿宋_GB2312"/>
                <w:color w:val="000000" w:themeColor="text1"/>
                <w:kern w:val="0"/>
                <w:sz w:val="24"/>
                <w:szCs w:val="24"/>
              </w:rPr>
              <w:t>加强跨区域警情调度指挥协作，建立就近就快接处警机制，及时解决各类紧急警情，不断强化重大警情快速响应和重大突发事件协作处置</w:t>
            </w:r>
            <w:r>
              <w:rPr>
                <w:rFonts w:hint="eastAsia" w:ascii="仿宋_GB2312" w:eastAsia="仿宋_GB2312"/>
                <w:color w:val="000000" w:themeColor="text1"/>
                <w:kern w:val="0"/>
                <w:sz w:val="24"/>
                <w:szCs w:val="24"/>
              </w:rPr>
              <w:t>，</w:t>
            </w:r>
            <w:r>
              <w:rPr>
                <w:rFonts w:ascii="仿宋_GB2312" w:eastAsia="仿宋_GB2312"/>
                <w:color w:val="000000" w:themeColor="text1"/>
                <w:kern w:val="0"/>
                <w:sz w:val="24"/>
                <w:szCs w:val="24"/>
              </w:rPr>
              <w:t>实</w:t>
            </w:r>
            <w:r>
              <w:rPr>
                <w:rFonts w:hint="eastAsia" w:ascii="仿宋_GB2312" w:eastAsia="仿宋_GB2312"/>
                <w:color w:val="000000" w:themeColor="text1"/>
                <w:kern w:val="0"/>
                <w:sz w:val="24"/>
                <w:szCs w:val="24"/>
              </w:rPr>
              <w:t>现</w:t>
            </w:r>
            <w:r>
              <w:rPr>
                <w:rFonts w:ascii="仿宋_GB2312" w:eastAsia="仿宋_GB2312"/>
                <w:color w:val="000000" w:themeColor="text1"/>
                <w:kern w:val="0"/>
                <w:sz w:val="24"/>
                <w:szCs w:val="24"/>
              </w:rPr>
              <w:t>线索互查</w:t>
            </w:r>
            <w:r>
              <w:rPr>
                <w:rFonts w:hint="eastAsia" w:ascii="仿宋_GB2312" w:eastAsia="仿宋_GB2312"/>
                <w:color w:val="000000" w:themeColor="text1"/>
                <w:kern w:val="0"/>
                <w:sz w:val="24"/>
                <w:szCs w:val="24"/>
              </w:rPr>
              <w:t>、</w:t>
            </w:r>
            <w:r>
              <w:rPr>
                <w:rFonts w:ascii="仿宋_GB2312" w:eastAsia="仿宋_GB2312"/>
                <w:color w:val="000000" w:themeColor="text1"/>
                <w:kern w:val="0"/>
                <w:sz w:val="24"/>
                <w:szCs w:val="24"/>
              </w:rPr>
              <w:t>人员互控、群体互监、信息互享。</w:t>
            </w:r>
          </w:p>
        </w:tc>
      </w:tr>
      <w:bookmarkEnd w:id="263"/>
      <w:bookmarkEnd w:id="264"/>
    </w:tbl>
    <w:p>
      <w:pPr>
        <w:ind w:firstLine="640"/>
      </w:pPr>
      <w:bookmarkStart w:id="648" w:name="_Toc57201760"/>
      <w:bookmarkStart w:id="649" w:name="_Toc57194298"/>
      <w:bookmarkStart w:id="650" w:name="_Toc30369"/>
      <w:bookmarkStart w:id="651" w:name="_Toc57195759"/>
      <w:bookmarkStart w:id="652" w:name="_Toc57195796"/>
      <w:bookmarkStart w:id="653" w:name="_Toc57195779"/>
      <w:bookmarkStart w:id="654" w:name="_Toc57279565"/>
      <w:bookmarkStart w:id="655" w:name="_Toc57194335"/>
      <w:bookmarkStart w:id="656" w:name="_Toc57194318"/>
      <w:r>
        <w:rPr>
          <w:rFonts w:hint="eastAsia"/>
        </w:rPr>
        <w:br w:type="page"/>
      </w:r>
    </w:p>
    <w:p>
      <w:pPr>
        <w:pStyle w:val="29"/>
        <w:adjustRightInd/>
        <w:snapToGrid/>
        <w:spacing w:line="580" w:lineRule="exact"/>
        <w:rPr>
          <w:color w:val="000000" w:themeColor="text1"/>
        </w:rPr>
      </w:pPr>
      <w:bookmarkStart w:id="657" w:name="_Toc64542228"/>
      <w:bookmarkStart w:id="658" w:name="_Toc2250"/>
    </w:p>
    <w:p>
      <w:pPr>
        <w:pStyle w:val="29"/>
        <w:adjustRightInd/>
        <w:snapToGrid/>
        <w:spacing w:line="580" w:lineRule="exact"/>
        <w:rPr>
          <w:color w:val="000000" w:themeColor="text1"/>
        </w:rPr>
      </w:pPr>
      <w:r>
        <w:rPr>
          <w:rFonts w:hint="eastAsia"/>
          <w:color w:val="000000" w:themeColor="text1"/>
        </w:rPr>
        <w:t>第十一篇  打造美丽中国南昌样板</w:t>
      </w:r>
      <w:bookmarkEnd w:id="648"/>
      <w:bookmarkEnd w:id="649"/>
      <w:bookmarkEnd w:id="650"/>
      <w:bookmarkEnd w:id="651"/>
      <w:bookmarkEnd w:id="657"/>
      <w:bookmarkEnd w:id="658"/>
    </w:p>
    <w:bookmarkEnd w:id="652"/>
    <w:bookmarkEnd w:id="653"/>
    <w:bookmarkEnd w:id="654"/>
    <w:bookmarkEnd w:id="655"/>
    <w:bookmarkEnd w:id="656"/>
    <w:p>
      <w:pPr>
        <w:spacing w:line="580" w:lineRule="exact"/>
        <w:ind w:firstLine="640"/>
        <w:rPr>
          <w:rFonts w:eastAsia="仿宋_GB2312"/>
          <w:color w:val="000000" w:themeColor="text1"/>
          <w:szCs w:val="34"/>
        </w:rPr>
      </w:pPr>
      <w:bookmarkStart w:id="659" w:name="_Toc57201797"/>
      <w:bookmarkStart w:id="660" w:name="_Toc57195832"/>
      <w:bookmarkStart w:id="661" w:name="_Toc57194371"/>
    </w:p>
    <w:p>
      <w:pPr>
        <w:spacing w:line="580" w:lineRule="exact"/>
        <w:ind w:firstLine="640"/>
        <w:rPr>
          <w:rFonts w:eastAsia="仿宋_GB2312"/>
          <w:color w:val="000000" w:themeColor="text1"/>
          <w:szCs w:val="34"/>
        </w:rPr>
      </w:pPr>
      <w:r>
        <w:rPr>
          <w:rFonts w:hint="eastAsia" w:eastAsia="仿宋_GB2312"/>
          <w:color w:val="000000" w:themeColor="text1"/>
          <w:szCs w:val="34"/>
        </w:rPr>
        <w:t>坚持绿水青山就是金山银山理念，坚定走生态优先、绿色发展之路，以共抓长江经济带大保护为统领，守住自然生态安全边界，构建生态文明体系，推行绿色生产生活方式，建设新时代美丽南昌。</w:t>
      </w:r>
    </w:p>
    <w:p>
      <w:pPr>
        <w:pStyle w:val="2"/>
        <w:spacing w:after="0" w:line="580" w:lineRule="exact"/>
        <w:ind w:firstLine="320"/>
      </w:pPr>
    </w:p>
    <w:p>
      <w:pPr>
        <w:pStyle w:val="23"/>
        <w:adjustRightInd/>
        <w:snapToGrid/>
        <w:spacing w:line="580" w:lineRule="exact"/>
        <w:rPr>
          <w:b w:val="0"/>
          <w:color w:val="000000" w:themeColor="text1"/>
        </w:rPr>
      </w:pPr>
      <w:bookmarkStart w:id="662" w:name="_Toc64542229"/>
      <w:bookmarkStart w:id="663" w:name="_Toc57194299"/>
      <w:bookmarkStart w:id="664" w:name="_Toc57195760"/>
      <w:bookmarkStart w:id="665" w:name="_Toc58676593"/>
      <w:bookmarkStart w:id="666" w:name="_Toc26785"/>
      <w:bookmarkStart w:id="667" w:name="_Toc239"/>
      <w:bookmarkStart w:id="668" w:name="_Toc57201761"/>
      <w:r>
        <w:rPr>
          <w:rFonts w:hint="eastAsia"/>
          <w:b w:val="0"/>
          <w:color w:val="000000" w:themeColor="text1"/>
        </w:rPr>
        <w:t>第三十五章  持续改善环境质量</w:t>
      </w:r>
      <w:bookmarkEnd w:id="662"/>
      <w:bookmarkEnd w:id="663"/>
      <w:bookmarkEnd w:id="664"/>
      <w:bookmarkEnd w:id="665"/>
      <w:bookmarkEnd w:id="666"/>
      <w:bookmarkEnd w:id="667"/>
      <w:bookmarkEnd w:id="668"/>
    </w:p>
    <w:p>
      <w:pPr>
        <w:spacing w:line="580" w:lineRule="exact"/>
        <w:ind w:firstLine="640"/>
        <w:rPr>
          <w:rFonts w:eastAsia="仿宋_GB2312"/>
          <w:color w:val="000000" w:themeColor="text1"/>
          <w:szCs w:val="34"/>
        </w:rPr>
      </w:pPr>
    </w:p>
    <w:p>
      <w:pPr>
        <w:spacing w:line="580" w:lineRule="exact"/>
        <w:ind w:firstLine="640"/>
        <w:rPr>
          <w:rFonts w:eastAsia="仿宋_GB2312"/>
          <w:color w:val="000000" w:themeColor="text1"/>
          <w:szCs w:val="34"/>
        </w:rPr>
      </w:pPr>
      <w:r>
        <w:rPr>
          <w:rFonts w:hint="eastAsia" w:eastAsia="仿宋_GB2312"/>
          <w:color w:val="000000" w:themeColor="text1"/>
          <w:szCs w:val="34"/>
        </w:rPr>
        <w:t>深入打好污染防治攻坚战，坚持推进精准、科学、依法治污，推动生态环境源头治理、系统治理、整体治理，不断改善空气、水、土壤等环境质量。</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669" w:name="_Toc1910"/>
      <w:bookmarkStart w:id="670" w:name="_Toc64542230"/>
      <w:bookmarkStart w:id="671" w:name="_Toc58676594"/>
      <w:bookmarkStart w:id="672" w:name="_Toc57201762"/>
      <w:bookmarkStart w:id="673" w:name="_Toc29905"/>
      <w:bookmarkStart w:id="674" w:name="_Toc57194300"/>
      <w:bookmarkStart w:id="675" w:name="_Toc57195761"/>
      <w:r>
        <w:rPr>
          <w:rFonts w:hint="eastAsia" w:ascii="楷体_GB2312" w:eastAsia="楷体_GB2312"/>
          <w:color w:val="000000" w:themeColor="text1"/>
        </w:rPr>
        <w:t>第一节  打好蓝天保卫战</w:t>
      </w:r>
      <w:bookmarkEnd w:id="669"/>
      <w:bookmarkEnd w:id="670"/>
      <w:bookmarkEnd w:id="671"/>
      <w:bookmarkEnd w:id="672"/>
      <w:bookmarkEnd w:id="673"/>
      <w:bookmarkEnd w:id="674"/>
      <w:bookmarkEnd w:id="675"/>
    </w:p>
    <w:p>
      <w:pPr>
        <w:spacing w:line="580" w:lineRule="exact"/>
        <w:ind w:firstLine="640"/>
        <w:rPr>
          <w:rFonts w:eastAsia="仿宋_GB2312"/>
          <w:color w:val="000000" w:themeColor="text1"/>
          <w:szCs w:val="34"/>
        </w:rPr>
      </w:pPr>
    </w:p>
    <w:p>
      <w:pPr>
        <w:spacing w:line="580" w:lineRule="exact"/>
        <w:ind w:firstLine="640"/>
        <w:rPr>
          <w:rFonts w:eastAsia="仿宋_GB2312"/>
          <w:color w:val="000000" w:themeColor="text1"/>
          <w:szCs w:val="34"/>
        </w:rPr>
      </w:pPr>
      <w:r>
        <w:rPr>
          <w:rFonts w:hint="eastAsia" w:eastAsia="仿宋_GB2312"/>
          <w:color w:val="000000" w:themeColor="text1"/>
          <w:szCs w:val="34"/>
        </w:rPr>
        <w:t>统筹推进大气污染防治，加强细颗粒物与臭氧污染协同治理，推动多污染物协同控制和区域协同治理，巩固国家空气质量二级标准成效，确保大气环境质量继续保持中部省会城市第一。加强工业和燃煤污染防治，全面推进方大特钢烧结、球团等工序超低排放改造，持续开展挥发性有机物和氮氧化物协同减排。构建低碳交通运输体系，大力推进充电基础设施建设和新能源汽车推广应用，加强机动车、非道路移动机械和船舶污染防治。全面推行城市扬尘网格化精细管理。持续开展秸秆禁烧和餐厨油烟污染治理专项行动，巩固禁燃禁放成果。强化空气质量预报和灰霾监测预警工作，推动建立常态化人影作业，进一步健全大气重污染预警应急响应机制。</w:t>
      </w:r>
    </w:p>
    <w:p>
      <w:pPr>
        <w:pStyle w:val="2"/>
        <w:spacing w:after="0" w:line="580" w:lineRule="exact"/>
        <w:ind w:firstLine="320"/>
      </w:pPr>
    </w:p>
    <w:p>
      <w:pPr>
        <w:pStyle w:val="74"/>
        <w:adjustRightInd/>
        <w:snapToGrid/>
        <w:spacing w:line="580" w:lineRule="exact"/>
        <w:rPr>
          <w:rFonts w:ascii="楷体_GB2312" w:eastAsia="楷体_GB2312"/>
          <w:color w:val="000000" w:themeColor="text1"/>
        </w:rPr>
      </w:pPr>
      <w:bookmarkStart w:id="676" w:name="_Toc5934"/>
      <w:bookmarkStart w:id="677" w:name="_Toc58676595"/>
      <w:bookmarkStart w:id="678" w:name="_Toc17509"/>
      <w:bookmarkStart w:id="679" w:name="_Toc57201763"/>
      <w:bookmarkStart w:id="680" w:name="_Toc64542231"/>
      <w:bookmarkStart w:id="681" w:name="_Toc57195762"/>
      <w:bookmarkStart w:id="682" w:name="_Toc57194301"/>
      <w:r>
        <w:rPr>
          <w:rFonts w:hint="eastAsia" w:ascii="楷体_GB2312" w:eastAsia="楷体_GB2312"/>
          <w:color w:val="000000" w:themeColor="text1"/>
        </w:rPr>
        <w:t>第二节  打好碧水保卫战</w:t>
      </w:r>
      <w:bookmarkEnd w:id="676"/>
      <w:bookmarkEnd w:id="677"/>
      <w:bookmarkEnd w:id="678"/>
      <w:bookmarkEnd w:id="679"/>
      <w:bookmarkEnd w:id="680"/>
      <w:bookmarkEnd w:id="681"/>
      <w:bookmarkEnd w:id="682"/>
    </w:p>
    <w:p>
      <w:pPr>
        <w:spacing w:line="580" w:lineRule="exact"/>
        <w:ind w:firstLine="640"/>
        <w:rPr>
          <w:rFonts w:eastAsia="仿宋_GB2312"/>
          <w:color w:val="000000" w:themeColor="text1"/>
          <w:szCs w:val="34"/>
        </w:rPr>
      </w:pPr>
    </w:p>
    <w:p>
      <w:pPr>
        <w:spacing w:line="580" w:lineRule="exact"/>
        <w:ind w:firstLine="640"/>
        <w:rPr>
          <w:rFonts w:eastAsia="仿宋_GB2312"/>
          <w:color w:val="000000" w:themeColor="text1"/>
          <w:szCs w:val="34"/>
        </w:rPr>
      </w:pPr>
      <w:r>
        <w:rPr>
          <w:rFonts w:hint="eastAsia" w:eastAsia="仿宋_GB2312"/>
          <w:color w:val="000000" w:themeColor="text1"/>
          <w:szCs w:val="34"/>
        </w:rPr>
        <w:t>深入实施长江经济带“共抓大保护”攻坚行动，统筹推进“一江三河十湖”全流域整治，巩固提升全国水生态文明城市创建成果。开展新一轮鄱阳湖专项治理和生态优化行动，推动环湖农业县率先推动化肥及农药使用减量化，科学划定畜禽禁养区。持续推进集中式饮用水水源地保护区环境整治。加快实施现有城镇污水处理设施扩容提标改造，推进城镇污水管网全覆盖、全收集、全处理，推动污泥无害化资源化处置和资源化利用，建成区主要湖渠消除劣</w:t>
      </w:r>
      <w:r>
        <w:rPr>
          <w:rFonts w:ascii="仿宋_GB2312" w:eastAsia="仿宋_GB2312"/>
          <w:color w:val="000000" w:themeColor="text1"/>
          <w:szCs w:val="32"/>
        </w:rPr>
        <w:t>V</w:t>
      </w:r>
      <w:r>
        <w:rPr>
          <w:rFonts w:hint="eastAsia" w:eastAsia="仿宋_GB2312"/>
          <w:color w:val="000000" w:themeColor="text1"/>
          <w:szCs w:val="34"/>
        </w:rPr>
        <w:t>类水体，城市黑臭水体实现长治久清，推广再生水利用。持续开展河湖库塘清淤。强化氨氮、化学需氧量等水污染物控制。</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683" w:name="_Toc58676596"/>
      <w:bookmarkStart w:id="684" w:name="_Toc57195763"/>
      <w:bookmarkStart w:id="685" w:name="_Toc21359"/>
      <w:bookmarkStart w:id="686" w:name="_Toc846"/>
      <w:bookmarkStart w:id="687" w:name="_Toc64542232"/>
      <w:bookmarkStart w:id="688" w:name="_Toc57201764"/>
      <w:bookmarkStart w:id="689" w:name="_Toc57194302"/>
      <w:r>
        <w:rPr>
          <w:rFonts w:hint="eastAsia" w:ascii="楷体_GB2312" w:eastAsia="楷体_GB2312"/>
          <w:color w:val="000000" w:themeColor="text1"/>
        </w:rPr>
        <w:t>第三节  打好净土保卫战</w:t>
      </w:r>
      <w:bookmarkEnd w:id="683"/>
      <w:bookmarkEnd w:id="684"/>
      <w:bookmarkEnd w:id="685"/>
      <w:bookmarkEnd w:id="686"/>
      <w:bookmarkEnd w:id="687"/>
      <w:bookmarkEnd w:id="688"/>
      <w:bookmarkEnd w:id="689"/>
    </w:p>
    <w:p>
      <w:pPr>
        <w:spacing w:line="580" w:lineRule="exact"/>
        <w:ind w:firstLine="640"/>
        <w:rPr>
          <w:rFonts w:eastAsia="仿宋_GB2312"/>
          <w:color w:val="000000" w:themeColor="text1"/>
          <w:szCs w:val="34"/>
        </w:rPr>
      </w:pPr>
    </w:p>
    <w:p>
      <w:pPr>
        <w:spacing w:line="560" w:lineRule="exact"/>
        <w:ind w:firstLine="640"/>
        <w:rPr>
          <w:rFonts w:eastAsia="仿宋_GB2312"/>
          <w:color w:val="000000" w:themeColor="text1"/>
          <w:szCs w:val="34"/>
        </w:rPr>
      </w:pPr>
      <w:r>
        <w:rPr>
          <w:rFonts w:hint="eastAsia" w:eastAsia="仿宋_GB2312"/>
          <w:color w:val="000000" w:themeColor="text1"/>
          <w:szCs w:val="34"/>
        </w:rPr>
        <w:t>开展国土空间全域综合整治试点，持续开展土壤污染防治行动，打造全省土壤污染综合防治和可持续利用先行示范区。加快推进对土壤环境污染程度大的重点监管企业整治或搬迁工作。推进轻度污染耕地安全利用、重度污染耕地种植结构调整和退耕还林还草，推进化肥农药减量和白色污染治理。开展重金属专项整治，推进重点区域土壤污染风险状况调查、风险评估、风险管控及治理修复，健全土壤环境监测预警体系。建立土壤污染责任追究制度，动态更新污染地块名录和疑似污染地块清单。</w:t>
      </w:r>
    </w:p>
    <w:p>
      <w:pPr>
        <w:pStyle w:val="31"/>
        <w:spacing w:line="520" w:lineRule="exact"/>
        <w:ind w:firstLine="640"/>
      </w:pPr>
    </w:p>
    <w:p>
      <w:pPr>
        <w:pStyle w:val="74"/>
        <w:adjustRightInd/>
        <w:snapToGrid/>
        <w:spacing w:line="580" w:lineRule="exact"/>
        <w:rPr>
          <w:rFonts w:ascii="楷体_GB2312" w:eastAsia="楷体_GB2312"/>
          <w:color w:val="000000" w:themeColor="text1"/>
        </w:rPr>
      </w:pPr>
      <w:bookmarkStart w:id="690" w:name="_Toc28338"/>
      <w:bookmarkStart w:id="691" w:name="_Toc57194303"/>
      <w:bookmarkStart w:id="692" w:name="_Toc3392"/>
      <w:bookmarkStart w:id="693" w:name="_Toc58676597"/>
      <w:bookmarkStart w:id="694" w:name="_Toc57195764"/>
      <w:bookmarkStart w:id="695" w:name="_Toc57201765"/>
      <w:bookmarkStart w:id="696" w:name="_Toc64542233"/>
      <w:r>
        <w:rPr>
          <w:rFonts w:hint="eastAsia" w:ascii="楷体_GB2312" w:eastAsia="楷体_GB2312"/>
          <w:color w:val="000000" w:themeColor="text1"/>
        </w:rPr>
        <w:t>第四节  实施清废行动</w:t>
      </w:r>
      <w:bookmarkEnd w:id="690"/>
      <w:bookmarkEnd w:id="691"/>
      <w:bookmarkEnd w:id="692"/>
      <w:bookmarkEnd w:id="693"/>
      <w:bookmarkEnd w:id="694"/>
      <w:bookmarkEnd w:id="695"/>
      <w:bookmarkEnd w:id="696"/>
    </w:p>
    <w:p>
      <w:pPr>
        <w:spacing w:line="520" w:lineRule="exact"/>
        <w:ind w:firstLine="640"/>
        <w:rPr>
          <w:rFonts w:eastAsia="仿宋_GB2312"/>
          <w:color w:val="000000" w:themeColor="text1"/>
          <w:szCs w:val="34"/>
        </w:rPr>
      </w:pPr>
    </w:p>
    <w:p>
      <w:pPr>
        <w:spacing w:line="560" w:lineRule="exact"/>
        <w:ind w:firstLine="640"/>
        <w:rPr>
          <w:rFonts w:eastAsia="仿宋_GB2312"/>
          <w:color w:val="000000" w:themeColor="text1"/>
          <w:szCs w:val="34"/>
        </w:rPr>
      </w:pPr>
      <w:r>
        <w:rPr>
          <w:rFonts w:hint="eastAsia" w:eastAsia="仿宋_GB2312"/>
          <w:color w:val="000000" w:themeColor="text1"/>
          <w:szCs w:val="34"/>
        </w:rPr>
        <w:t>建立南昌市工业固体废物全过程监督管理信息化监管平台，完善危险废物收集、暂贮存、转运、处置利用体系和污泥处置设施。加强医疗废物联动监管，确保医疗废物规范收集和安全处置。建设科学化、智能化垃圾分类收运和处置体系，实现生活垃圾“零填埋”。推动主要农业废弃物和建筑垃圾资源化利用，鼓励一般工业固体废物再生利用。打造一批产业废物综合利用、再制造、花园式垃圾中转等示范试点。</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697" w:name="_Toc16051"/>
      <w:bookmarkStart w:id="698" w:name="_Toc57201766"/>
      <w:bookmarkStart w:id="699" w:name="_Toc64542234"/>
      <w:bookmarkStart w:id="700" w:name="_Toc58676598"/>
      <w:bookmarkStart w:id="701" w:name="_Toc25575"/>
      <w:bookmarkStart w:id="702" w:name="_Toc57195765"/>
      <w:bookmarkStart w:id="703" w:name="_Toc57194304"/>
      <w:r>
        <w:rPr>
          <w:rFonts w:hint="eastAsia" w:ascii="楷体_GB2312" w:eastAsia="楷体_GB2312"/>
          <w:color w:val="000000" w:themeColor="text1"/>
        </w:rPr>
        <w:t>第五节  加强新污染治理</w:t>
      </w:r>
      <w:bookmarkEnd w:id="697"/>
      <w:bookmarkEnd w:id="698"/>
      <w:bookmarkEnd w:id="699"/>
      <w:bookmarkEnd w:id="700"/>
      <w:bookmarkEnd w:id="701"/>
      <w:bookmarkEnd w:id="702"/>
      <w:bookmarkEnd w:id="703"/>
    </w:p>
    <w:p>
      <w:pPr>
        <w:spacing w:line="580" w:lineRule="exact"/>
        <w:ind w:firstLine="640"/>
        <w:rPr>
          <w:rFonts w:eastAsia="仿宋_GB2312"/>
          <w:color w:val="000000" w:themeColor="text1"/>
          <w:szCs w:val="34"/>
        </w:rPr>
      </w:pPr>
    </w:p>
    <w:p>
      <w:pPr>
        <w:spacing w:line="560" w:lineRule="exact"/>
        <w:ind w:firstLine="640"/>
        <w:rPr>
          <w:rFonts w:eastAsia="仿宋_GB2312"/>
          <w:color w:val="000000" w:themeColor="text1"/>
          <w:szCs w:val="34"/>
        </w:rPr>
      </w:pPr>
      <w:r>
        <w:rPr>
          <w:rFonts w:hint="eastAsia" w:eastAsia="仿宋_GB2312"/>
          <w:color w:val="000000" w:themeColor="text1"/>
          <w:szCs w:val="34"/>
        </w:rPr>
        <w:t>强化噪声、光等污染防治，建设安静舒适的城乡环境。增强核与辐射监管能力，确保核与辐射安全。大力推进化学品环境风险管控，完成重点地区危险化学品生产企业搬迁改造。持续开展化学物质环境风险评估，加强风险控制和管理技术研究，加大对新污染物环境风险管控力度。加强基层污染防治能力建设。拓展新污染物基础科研的国际、地区合作。</w:t>
      </w:r>
    </w:p>
    <w:p>
      <w:pPr>
        <w:pStyle w:val="23"/>
        <w:adjustRightInd/>
        <w:snapToGrid/>
        <w:spacing w:line="580" w:lineRule="exact"/>
        <w:ind w:firstLine="641"/>
        <w:rPr>
          <w:b w:val="0"/>
          <w:color w:val="000000" w:themeColor="text1"/>
        </w:rPr>
      </w:pPr>
      <w:bookmarkStart w:id="704" w:name="_Toc57201767"/>
      <w:bookmarkStart w:id="705" w:name="_Toc64542235"/>
      <w:bookmarkStart w:id="706" w:name="_Toc57194305"/>
      <w:bookmarkStart w:id="707" w:name="_Toc14466"/>
      <w:bookmarkStart w:id="708" w:name="_Toc57195766"/>
      <w:bookmarkStart w:id="709" w:name="_Toc58676599"/>
      <w:bookmarkStart w:id="710" w:name="_Toc9259"/>
    </w:p>
    <w:p>
      <w:pPr>
        <w:pStyle w:val="23"/>
        <w:adjustRightInd/>
        <w:snapToGrid/>
        <w:spacing w:line="580" w:lineRule="exact"/>
        <w:ind w:firstLine="641"/>
        <w:rPr>
          <w:b w:val="0"/>
          <w:color w:val="000000" w:themeColor="text1"/>
        </w:rPr>
      </w:pPr>
      <w:r>
        <w:rPr>
          <w:rFonts w:hint="eastAsia"/>
          <w:b w:val="0"/>
          <w:color w:val="000000" w:themeColor="text1"/>
        </w:rPr>
        <w:t>第三十六章  提升生态系统质量和稳定性</w:t>
      </w:r>
      <w:bookmarkEnd w:id="704"/>
      <w:bookmarkEnd w:id="705"/>
      <w:bookmarkEnd w:id="706"/>
      <w:bookmarkEnd w:id="707"/>
      <w:bookmarkEnd w:id="708"/>
      <w:bookmarkEnd w:id="709"/>
      <w:bookmarkEnd w:id="710"/>
    </w:p>
    <w:p>
      <w:pPr>
        <w:spacing w:line="580" w:lineRule="exact"/>
        <w:ind w:firstLine="640"/>
        <w:rPr>
          <w:rFonts w:eastAsia="仿宋_GB2312"/>
          <w:color w:val="000000" w:themeColor="text1"/>
          <w:szCs w:val="34"/>
        </w:rPr>
      </w:pPr>
    </w:p>
    <w:p>
      <w:pPr>
        <w:spacing w:line="580" w:lineRule="exact"/>
        <w:ind w:firstLine="640"/>
        <w:rPr>
          <w:rFonts w:eastAsia="仿宋_GB2312"/>
          <w:color w:val="000000" w:themeColor="text1"/>
          <w:szCs w:val="34"/>
        </w:rPr>
      </w:pPr>
      <w:r>
        <w:rPr>
          <w:rFonts w:hint="eastAsia" w:eastAsia="仿宋_GB2312"/>
          <w:color w:val="000000" w:themeColor="text1"/>
          <w:szCs w:val="34"/>
        </w:rPr>
        <w:t>系统化、精细化、科学化描绘生态底图，有序有力有效推进生态系统的保护和修复，创新推进生态价值转化，激发绿色金融活力。</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711" w:name="_Toc57201769"/>
      <w:bookmarkStart w:id="712" w:name="_Toc57195768"/>
      <w:bookmarkStart w:id="713" w:name="_Toc24593"/>
      <w:bookmarkStart w:id="714" w:name="_Toc64542236"/>
      <w:bookmarkStart w:id="715" w:name="_Toc29090"/>
      <w:bookmarkStart w:id="716" w:name="_Toc57194307"/>
      <w:bookmarkStart w:id="717" w:name="_Toc58676601"/>
      <w:r>
        <w:rPr>
          <w:rFonts w:hint="eastAsia" w:ascii="楷体_GB2312" w:eastAsia="楷体_GB2312"/>
          <w:color w:val="000000" w:themeColor="text1"/>
        </w:rPr>
        <w:t>第一节  建设山水林田湖草生命共同体示范区</w:t>
      </w:r>
      <w:bookmarkEnd w:id="711"/>
      <w:bookmarkEnd w:id="712"/>
      <w:bookmarkEnd w:id="713"/>
      <w:bookmarkEnd w:id="714"/>
      <w:bookmarkEnd w:id="715"/>
      <w:bookmarkEnd w:id="716"/>
      <w:bookmarkEnd w:id="717"/>
    </w:p>
    <w:p>
      <w:pPr>
        <w:spacing w:line="580" w:lineRule="exact"/>
        <w:ind w:firstLine="640"/>
        <w:rPr>
          <w:rFonts w:eastAsia="仿宋_GB2312"/>
          <w:color w:val="000000" w:themeColor="text1"/>
          <w:szCs w:val="34"/>
        </w:rPr>
      </w:pPr>
    </w:p>
    <w:p>
      <w:pPr>
        <w:spacing w:line="580" w:lineRule="exact"/>
        <w:ind w:firstLine="632"/>
        <w:rPr>
          <w:rFonts w:eastAsia="仿宋_GB2312"/>
          <w:color w:val="000000" w:themeColor="text1"/>
          <w:spacing w:val="-2"/>
          <w:szCs w:val="34"/>
        </w:rPr>
      </w:pPr>
      <w:r>
        <w:rPr>
          <w:rFonts w:hint="eastAsia" w:eastAsia="仿宋_GB2312"/>
          <w:color w:val="000000" w:themeColor="text1"/>
          <w:spacing w:val="-2"/>
          <w:szCs w:val="34"/>
        </w:rPr>
        <w:t>实施山水林田湖草一体化保护和修复行动，推动实施鄱阳湖区、赣江流域、抚河流域、西部山林区和东南部湿地组团等以自然保护地为核心的生态单元治理模式。加快滨河（湖）带生态缓冲带划定与生态修复试点建设，开展生态缓冲带综合整治。全面推进林长制开展国土绿化行动，推进森林“四化”</w:t>
      </w:r>
      <w:r>
        <w:rPr>
          <w:rStyle w:val="38"/>
          <w:rFonts w:eastAsia="仿宋_GB2312"/>
          <w:color w:val="000000" w:themeColor="text1"/>
          <w:spacing w:val="-2"/>
          <w:szCs w:val="34"/>
        </w:rPr>
        <w:footnoteReference w:id="16"/>
      </w:r>
      <w:r>
        <w:rPr>
          <w:rFonts w:hint="eastAsia" w:eastAsia="仿宋_GB2312"/>
          <w:color w:val="000000" w:themeColor="text1"/>
          <w:spacing w:val="-2"/>
          <w:szCs w:val="34"/>
        </w:rPr>
        <w:t>建设，因地制宜加大重点区域林相改造力度，提高森林蓄积量和森林固碳能力，巩固国家森林城市建设成果。加强湿地保护修复和合理利用，建设一批小微湿地，积极创建国际湿地城市与国家湿地公园。实施生物多样性保护重大工程，搭建智慧禁捕平台，全面落实长江流域重点水域“十年禁渔”。加强野生动植物特别是鸟类保护，加快白鹤保护小区等候鸟保护地项目建设。整合优化各类自然保护地，建立以国家公园为主体、自然保护区为基础、各类自然公园为补充的自然保护地体系。建立健全“山江湖城”统一监管、统筹协调的制度体系与管理机制。</w:t>
      </w:r>
    </w:p>
    <w:p>
      <w:pPr>
        <w:pStyle w:val="74"/>
        <w:adjustRightInd/>
        <w:snapToGrid/>
        <w:spacing w:line="580" w:lineRule="exact"/>
        <w:rPr>
          <w:rFonts w:ascii="楷体_GB2312" w:eastAsia="楷体_GB2312"/>
          <w:color w:val="000000" w:themeColor="text1"/>
        </w:rPr>
      </w:pPr>
      <w:bookmarkStart w:id="718" w:name="_Toc57194308"/>
      <w:bookmarkStart w:id="719" w:name="_Toc57201770"/>
      <w:bookmarkStart w:id="720" w:name="_Toc64542237"/>
      <w:bookmarkStart w:id="721" w:name="_Toc58676602"/>
      <w:bookmarkStart w:id="722" w:name="_Toc29475"/>
      <w:bookmarkStart w:id="723" w:name="_Toc57195769"/>
      <w:bookmarkStart w:id="724" w:name="_Toc3495"/>
    </w:p>
    <w:p>
      <w:pPr>
        <w:pStyle w:val="74"/>
        <w:adjustRightInd/>
        <w:snapToGrid/>
        <w:spacing w:line="580" w:lineRule="exact"/>
        <w:rPr>
          <w:rFonts w:ascii="楷体_GB2312" w:eastAsia="楷体_GB2312"/>
          <w:color w:val="000000" w:themeColor="text1"/>
        </w:rPr>
      </w:pPr>
      <w:r>
        <w:rPr>
          <w:rFonts w:hint="eastAsia" w:ascii="楷体_GB2312" w:eastAsia="楷体_GB2312"/>
          <w:color w:val="000000" w:themeColor="text1"/>
        </w:rPr>
        <w:t>第二节  促进生态产品价值转换</w:t>
      </w:r>
      <w:bookmarkEnd w:id="718"/>
      <w:bookmarkEnd w:id="719"/>
      <w:bookmarkEnd w:id="720"/>
      <w:bookmarkEnd w:id="721"/>
      <w:bookmarkEnd w:id="722"/>
      <w:bookmarkEnd w:id="723"/>
      <w:bookmarkEnd w:id="724"/>
    </w:p>
    <w:p>
      <w:pPr>
        <w:spacing w:line="580" w:lineRule="exact"/>
        <w:ind w:firstLine="640"/>
        <w:rPr>
          <w:rFonts w:eastAsia="仿宋_GB2312"/>
          <w:color w:val="000000" w:themeColor="text1"/>
          <w:szCs w:val="34"/>
        </w:rPr>
      </w:pPr>
    </w:p>
    <w:p>
      <w:pPr>
        <w:spacing w:line="580" w:lineRule="exact"/>
        <w:ind w:firstLine="640"/>
        <w:rPr>
          <w:rFonts w:eastAsia="仿宋_GB2312"/>
          <w:color w:val="000000" w:themeColor="text1"/>
          <w:szCs w:val="34"/>
        </w:rPr>
      </w:pPr>
      <w:r>
        <w:rPr>
          <w:rFonts w:hint="eastAsia" w:eastAsia="仿宋_GB2312"/>
          <w:color w:val="000000" w:themeColor="text1"/>
          <w:szCs w:val="34"/>
        </w:rPr>
        <w:t>探索生态产品价值实现路径，推动湾里生态产品价值实现机制试点，加快构建生态产品价值核算体系，实现生态产品标准化认证。开展自然资源调查评价监测和确权登记，编制自然资源资产负债表。推进自然资源资产有偿使用制度改革，健全生态资产与生态产品市场交易体制机制，推进排污权、用水权、用能权、碳排放权市场化交易，争取设立南方地区生态产品交易中心。按照“谁修复、谁受益”原则，鼓励各类社会资本参与生态保护修复。推广“两山银行”“湿地银行”试点建设，大力开展绿色金融业务，支持金融机构创新绿色信贷产品和服务。高标准建设南昌植物园，重点发展植物物种资源保护、科学研究与技术创新、产业孵化与技术转移、科学普及与文旅休闲等。</w:t>
      </w:r>
    </w:p>
    <w:p>
      <w:pPr>
        <w:pStyle w:val="23"/>
        <w:adjustRightInd/>
        <w:snapToGrid/>
        <w:spacing w:line="580" w:lineRule="exact"/>
        <w:rPr>
          <w:b w:val="0"/>
          <w:color w:val="000000" w:themeColor="text1"/>
        </w:rPr>
      </w:pPr>
      <w:bookmarkStart w:id="725" w:name="_Toc57195770"/>
      <w:bookmarkStart w:id="726" w:name="_Toc57201771"/>
      <w:bookmarkStart w:id="727" w:name="_Toc24267"/>
      <w:bookmarkStart w:id="728" w:name="_Toc57194309"/>
      <w:bookmarkStart w:id="729" w:name="_Toc667"/>
      <w:bookmarkStart w:id="730" w:name="_Toc64542238"/>
      <w:bookmarkStart w:id="731" w:name="_Toc58676603"/>
    </w:p>
    <w:p>
      <w:pPr>
        <w:pStyle w:val="23"/>
        <w:adjustRightInd/>
        <w:snapToGrid/>
        <w:spacing w:line="580" w:lineRule="exact"/>
        <w:rPr>
          <w:b w:val="0"/>
          <w:color w:val="000000" w:themeColor="text1"/>
        </w:rPr>
      </w:pPr>
      <w:r>
        <w:rPr>
          <w:rFonts w:hint="eastAsia"/>
          <w:b w:val="0"/>
          <w:color w:val="000000" w:themeColor="text1"/>
        </w:rPr>
        <w:t>第三十七章  推动绿色低碳发展</w:t>
      </w:r>
      <w:bookmarkEnd w:id="725"/>
      <w:bookmarkEnd w:id="726"/>
      <w:bookmarkEnd w:id="727"/>
      <w:bookmarkEnd w:id="728"/>
      <w:bookmarkEnd w:id="729"/>
      <w:bookmarkEnd w:id="730"/>
      <w:bookmarkEnd w:id="731"/>
    </w:p>
    <w:p>
      <w:pPr>
        <w:spacing w:line="580" w:lineRule="exact"/>
        <w:ind w:firstLine="640"/>
        <w:rPr>
          <w:rFonts w:eastAsia="仿宋_GB2312"/>
          <w:color w:val="000000" w:themeColor="text1"/>
          <w:szCs w:val="34"/>
        </w:rPr>
      </w:pPr>
    </w:p>
    <w:p>
      <w:pPr>
        <w:spacing w:line="580" w:lineRule="exact"/>
        <w:ind w:firstLine="640"/>
        <w:rPr>
          <w:rFonts w:eastAsia="仿宋_GB2312"/>
          <w:color w:val="000000" w:themeColor="text1"/>
          <w:szCs w:val="34"/>
        </w:rPr>
      </w:pPr>
      <w:r>
        <w:rPr>
          <w:rFonts w:hint="eastAsia" w:eastAsia="仿宋_GB2312"/>
          <w:color w:val="000000" w:themeColor="text1"/>
          <w:szCs w:val="34"/>
        </w:rPr>
        <w:t>建立健全绿色低碳循环发展的经济体系，倡导简约适度、绿色低碳的生活方式，增强全社会生态环保意识。</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732" w:name="_Toc58676604"/>
      <w:bookmarkStart w:id="733" w:name="_Toc2137"/>
      <w:bookmarkStart w:id="734" w:name="_Toc57195771"/>
      <w:bookmarkStart w:id="735" w:name="_Toc57201772"/>
      <w:bookmarkStart w:id="736" w:name="_Toc9337"/>
      <w:bookmarkStart w:id="737" w:name="_Toc57194310"/>
      <w:bookmarkStart w:id="738" w:name="_Toc64542239"/>
      <w:r>
        <w:rPr>
          <w:rFonts w:hint="eastAsia" w:ascii="楷体_GB2312" w:eastAsia="楷体_GB2312"/>
          <w:color w:val="000000" w:themeColor="text1"/>
        </w:rPr>
        <w:t>第一节  加快经济绿色转型</w:t>
      </w:r>
      <w:bookmarkEnd w:id="732"/>
      <w:bookmarkEnd w:id="733"/>
      <w:bookmarkEnd w:id="734"/>
      <w:bookmarkEnd w:id="735"/>
      <w:bookmarkEnd w:id="736"/>
      <w:bookmarkEnd w:id="737"/>
      <w:bookmarkEnd w:id="738"/>
    </w:p>
    <w:p>
      <w:pPr>
        <w:spacing w:line="580" w:lineRule="exact"/>
        <w:ind w:firstLine="640"/>
        <w:rPr>
          <w:rFonts w:eastAsia="仿宋_GB2312"/>
          <w:color w:val="000000" w:themeColor="text1"/>
          <w:szCs w:val="34"/>
        </w:rPr>
      </w:pPr>
    </w:p>
    <w:p>
      <w:pPr>
        <w:spacing w:line="580" w:lineRule="exact"/>
        <w:ind w:firstLine="640"/>
        <w:rPr>
          <w:rFonts w:eastAsia="仿宋_GB2312"/>
          <w:color w:val="000000" w:themeColor="text1"/>
          <w:szCs w:val="34"/>
        </w:rPr>
      </w:pPr>
      <w:r>
        <w:rPr>
          <w:rFonts w:hint="eastAsia" w:eastAsia="仿宋_GB2312"/>
          <w:color w:val="000000" w:themeColor="text1"/>
          <w:szCs w:val="34"/>
        </w:rPr>
        <w:t>加快制造业绿色化改造，推动绿色服务业创新发展，大力推广生态循环农业。推进绿色建筑和装配式建筑发展。支持洪都老工业区转型发展。强化资源能源高效利用，严格控制煤炭消费总量。建立以市场为导向的绿色技术创新体系和标准化体系，推动节能环保装备标准化生产、规模化应用。大力发展循环经济，扩大绿色制造体系试点和国家及省级园区循环化改造试点范围，推动固废循环经济产业园环境污染第三方治理国家试点建设。推进外卖和快递包装可循环、可降解、易回收。</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739" w:name="_Toc28700"/>
      <w:bookmarkStart w:id="740" w:name="_Toc57194311"/>
      <w:bookmarkStart w:id="741" w:name="_Toc57201773"/>
      <w:bookmarkStart w:id="742" w:name="_Toc57195772"/>
      <w:bookmarkStart w:id="743" w:name="_Toc28180"/>
      <w:bookmarkStart w:id="744" w:name="_Toc64542240"/>
      <w:bookmarkStart w:id="745" w:name="_Toc58676605"/>
      <w:r>
        <w:rPr>
          <w:rFonts w:hint="eastAsia" w:ascii="楷体_GB2312" w:eastAsia="楷体_GB2312"/>
          <w:color w:val="000000" w:themeColor="text1"/>
        </w:rPr>
        <w:t>第二节  倡导绿色生活方式与绿色消费</w:t>
      </w:r>
      <w:bookmarkEnd w:id="739"/>
      <w:bookmarkEnd w:id="740"/>
      <w:bookmarkEnd w:id="741"/>
      <w:bookmarkEnd w:id="742"/>
      <w:bookmarkEnd w:id="743"/>
      <w:bookmarkEnd w:id="744"/>
      <w:bookmarkEnd w:id="745"/>
    </w:p>
    <w:p>
      <w:pPr>
        <w:spacing w:line="580" w:lineRule="exact"/>
        <w:ind w:firstLine="640"/>
        <w:rPr>
          <w:rFonts w:eastAsia="仿宋_GB2312"/>
          <w:color w:val="000000" w:themeColor="text1"/>
          <w:szCs w:val="34"/>
        </w:rPr>
      </w:pPr>
    </w:p>
    <w:p>
      <w:pPr>
        <w:spacing w:line="580" w:lineRule="exact"/>
        <w:ind w:firstLine="640"/>
        <w:rPr>
          <w:rFonts w:eastAsia="仿宋_GB2312"/>
          <w:color w:val="000000" w:themeColor="text1"/>
          <w:szCs w:val="34"/>
        </w:rPr>
      </w:pPr>
      <w:r>
        <w:rPr>
          <w:rFonts w:hint="eastAsia" w:eastAsia="仿宋_GB2312"/>
          <w:color w:val="000000" w:themeColor="text1"/>
          <w:szCs w:val="34"/>
        </w:rPr>
        <w:t>完善促进绿色消费的政策，增加绿色产品供给和消费。全面推行生活垃圾强制分类，实施节水行动，扎实开展限塑行动，坚决制止餐饮浪费行为，推广使用可循环利用物品。积极鼓励绿色出行，优先发展公共交通，加大节能和新能源车辆推广应用力度。广泛开展节约型机关、绿色家庭、绿色学校、绿色社区等绿色创建行动，推广减碳行为激励机制。依托湿地公园、自然保护区、森林公园等，持续创建生态文明教育示范基地。将环境保护纳入国民教育体系和党政领导干部培训体系，编写具有南昌特色的环保教育读本。普及低碳知识，推广低碳标识应用，建立统一的绿色产品标准、认证、标识等体系。组织开展好世界环境日、世界水日、植树节、湿地日、全国节能宣传周、江西省生态文明宣传月等主题宣传活动，办好“鄱阳湖国际观鸟节”。</w:t>
      </w:r>
    </w:p>
    <w:p>
      <w:pPr>
        <w:pStyle w:val="74"/>
        <w:adjustRightInd/>
        <w:snapToGrid/>
        <w:spacing w:line="580" w:lineRule="exact"/>
        <w:rPr>
          <w:rFonts w:ascii="楷体_GB2312" w:eastAsia="楷体_GB2312"/>
          <w:color w:val="000000" w:themeColor="text1"/>
        </w:rPr>
      </w:pPr>
      <w:bookmarkStart w:id="746" w:name="_Toc57194312"/>
      <w:bookmarkStart w:id="747" w:name="_Toc57195773"/>
      <w:bookmarkStart w:id="748" w:name="_Toc57201774"/>
      <w:bookmarkStart w:id="749" w:name="_Toc64542241"/>
      <w:bookmarkStart w:id="750" w:name="_Toc58676606"/>
      <w:bookmarkStart w:id="751" w:name="_Toc12159"/>
      <w:bookmarkStart w:id="752" w:name="_Toc19855"/>
    </w:p>
    <w:p>
      <w:pPr>
        <w:pStyle w:val="74"/>
        <w:adjustRightInd/>
        <w:snapToGrid/>
        <w:spacing w:line="580" w:lineRule="exact"/>
        <w:rPr>
          <w:rFonts w:ascii="楷体_GB2312" w:eastAsia="楷体_GB2312"/>
          <w:color w:val="000000" w:themeColor="text1"/>
        </w:rPr>
      </w:pPr>
      <w:r>
        <w:rPr>
          <w:rFonts w:hint="eastAsia" w:ascii="楷体_GB2312" w:eastAsia="楷体_GB2312"/>
          <w:color w:val="000000" w:themeColor="text1"/>
        </w:rPr>
        <w:t>第三节  积极应对气候变化</w:t>
      </w:r>
      <w:bookmarkEnd w:id="746"/>
      <w:bookmarkEnd w:id="747"/>
      <w:bookmarkEnd w:id="748"/>
      <w:bookmarkEnd w:id="749"/>
      <w:bookmarkEnd w:id="750"/>
      <w:bookmarkEnd w:id="751"/>
      <w:bookmarkEnd w:id="752"/>
    </w:p>
    <w:p>
      <w:pPr>
        <w:spacing w:line="580" w:lineRule="exact"/>
        <w:ind w:firstLine="640"/>
        <w:rPr>
          <w:rFonts w:eastAsia="仿宋_GB2312"/>
          <w:color w:val="000000" w:themeColor="text1"/>
          <w:szCs w:val="34"/>
        </w:rPr>
      </w:pPr>
    </w:p>
    <w:p>
      <w:pPr>
        <w:spacing w:line="580" w:lineRule="exact"/>
        <w:ind w:firstLine="640"/>
        <w:rPr>
          <w:rFonts w:ascii="黑体" w:hAnsi="黑体" w:eastAsia="黑体" w:cs="黑体"/>
          <w:bCs/>
          <w:color w:val="000000" w:themeColor="text1"/>
          <w:sz w:val="28"/>
          <w:szCs w:val="28"/>
        </w:rPr>
      </w:pPr>
      <w:r>
        <w:rPr>
          <w:rFonts w:hint="eastAsia" w:eastAsia="仿宋_GB2312"/>
          <w:color w:val="000000" w:themeColor="text1"/>
          <w:szCs w:val="34"/>
        </w:rPr>
        <w:t>制定实施碳排放达峰行动计划，推动甲烷、氢氟碳化物、全氟化碳等温室气体排放持续下降，严格落实省节能减排约束性指标。探索建立碳排放总量控制体系与温室气体减排制度，完善相应的测量报告核查体系，将减缓和适应气候变化要求融入经济社会发展各方面和全过程，完善绿色低碳发展模式。优化升级绿地系统基础设施，切实增加森林及生态系统碳汇，控制工业、农业、交通、城乡建设等领域碳排放。打造南矶国际湿地生态岛，巩固南昌市国家低碳试点城市成果。健全气象监测预报预警体系，推进南昌国家气候观象台、南昌市突发事件预警信息发布中心等气象基础设施建设，提高应对极端天气和气候事件能力。</w:t>
      </w:r>
      <w:bookmarkStart w:id="753" w:name="_Toc57194313"/>
      <w:bookmarkStart w:id="754" w:name="_Toc57195774"/>
      <w:bookmarkStart w:id="755" w:name="_Toc57201775"/>
      <w:r>
        <w:rPr>
          <w:rFonts w:hint="eastAsia" w:ascii="黑体" w:hAnsi="黑体" w:eastAsia="黑体" w:cs="黑体"/>
          <w:bCs/>
          <w:color w:val="000000" w:themeColor="text1"/>
          <w:sz w:val="28"/>
          <w:szCs w:val="28"/>
        </w:rPr>
        <w:br w:type="page"/>
      </w:r>
    </w:p>
    <w:tbl>
      <w:tblPr>
        <w:tblStyle w:val="3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vAlign w:val="center"/>
          </w:tcPr>
          <w:p>
            <w:pPr>
              <w:pStyle w:val="52"/>
              <w:numPr>
                <w:ilvl w:val="0"/>
                <w:numId w:val="0"/>
              </w:numPr>
              <w:spacing w:after="0" w:line="360" w:lineRule="exact"/>
              <w:jc w:val="center"/>
              <w:rPr>
                <w:rFonts w:ascii="仿宋_GB2312" w:eastAsia="仿宋_GB2312"/>
                <w:b/>
                <w:color w:val="000000" w:themeColor="text1"/>
                <w:sz w:val="28"/>
                <w:szCs w:val="28"/>
              </w:rPr>
            </w:pPr>
            <w:r>
              <w:rPr>
                <w:rFonts w:hint="eastAsia" w:ascii="黑体" w:hAnsi="黑体" w:eastAsia="黑体" w:cs="黑体"/>
                <w:bCs/>
                <w:color w:val="000000" w:themeColor="text1"/>
                <w:sz w:val="28"/>
                <w:szCs w:val="28"/>
              </w:rPr>
              <w:t>专栏31：生态文明重大工程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vAlign w:val="center"/>
          </w:tcPr>
          <w:p>
            <w:pPr>
              <w:pStyle w:val="51"/>
              <w:numPr>
                <w:ilvl w:val="0"/>
                <w:numId w:val="13"/>
              </w:numPr>
              <w:spacing w:line="360" w:lineRule="exact"/>
              <w:ind w:left="0" w:firstLineChars="0"/>
              <w:rPr>
                <w:rFonts w:ascii="仿宋_GB2312" w:eastAsia="仿宋_GB2312"/>
                <w:b/>
                <w:color w:val="000000" w:themeColor="text1"/>
                <w:sz w:val="24"/>
              </w:rPr>
            </w:pPr>
            <w:r>
              <w:rPr>
                <w:rFonts w:hint="eastAsia" w:ascii="仿宋_GB2312" w:hAnsi="Times New Roman" w:eastAsia="仿宋_GB2312" w:cs="Times New Roman"/>
                <w:b/>
                <w:bCs/>
                <w:color w:val="000000" w:themeColor="text1"/>
                <w:kern w:val="0"/>
                <w:sz w:val="24"/>
                <w:szCs w:val="21"/>
              </w:rPr>
              <w:t xml:space="preserve">    （一）</w:t>
            </w:r>
            <w:r>
              <w:rPr>
                <w:rFonts w:hint="eastAsia" w:ascii="仿宋_GB2312" w:eastAsia="仿宋_GB2312"/>
                <w:b/>
                <w:color w:val="000000" w:themeColor="text1"/>
                <w:sz w:val="24"/>
              </w:rPr>
              <w:t>水环境综合整治工程</w:t>
            </w:r>
          </w:p>
          <w:p>
            <w:pPr>
              <w:spacing w:line="360" w:lineRule="exact"/>
              <w:ind w:firstLineChars="0"/>
              <w:rPr>
                <w:rFonts w:ascii="仿宋_GB2312" w:eastAsia="仿宋_GB2312"/>
                <w:color w:val="000000" w:themeColor="text1"/>
                <w:sz w:val="24"/>
              </w:rPr>
            </w:pPr>
            <w:r>
              <w:rPr>
                <w:rFonts w:hint="eastAsia" w:ascii="仿宋_GB2312" w:eastAsia="仿宋_GB2312"/>
                <w:color w:val="000000" w:themeColor="text1"/>
                <w:sz w:val="24"/>
              </w:rPr>
              <w:t>推进赣江抚河下游尾闾综合整治、赣江东岸岸线生态综合治理、青岚湖水环境综合治理、瑶湖及南塘湖水环境综合治理、象湖及抚河故道生态修复、城区湖渠水质提升、新联断面水环境提升、艾溪湖流域水环境综合治理、前湖水系及乌沙河上游段水环境治理、杨家湖及周边生态修复、新建区新丰新城水系、肖峰河水系整治、流湖地区水系连通、入河排污口排查整治、工业园区污水集中处理设施整治等工程。推动进贤县、安义县、西湖区、青云谱区等城镇污水处理设施扩建提标。实施环鄱阳湖</w:t>
            </w:r>
            <w:r>
              <w:rPr>
                <w:rFonts w:ascii="仿宋_GB2312" w:eastAsia="仿宋_GB2312"/>
                <w:color w:val="000000" w:themeColor="text1"/>
                <w:sz w:val="24"/>
              </w:rPr>
              <w:t>300米范围内、千人以上人口及饮用水源周边自然村污水处理设施建设工程。</w:t>
            </w:r>
          </w:p>
          <w:p>
            <w:pPr>
              <w:spacing w:line="36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（二）大气污染防治工程</w:t>
            </w:r>
          </w:p>
          <w:p>
            <w:pPr>
              <w:spacing w:line="360" w:lineRule="exact"/>
              <w:ind w:firstLine="480"/>
              <w:rPr>
                <w:rFonts w:ascii="仿宋_GB2312" w:eastAsia="仿宋_GB2312"/>
                <w:color w:val="000000" w:themeColor="text1"/>
                <w:sz w:val="24"/>
              </w:rPr>
            </w:pPr>
            <w:r>
              <w:rPr>
                <w:rFonts w:hint="eastAsia" w:ascii="仿宋_GB2312" w:eastAsia="仿宋_GB2312"/>
                <w:color w:val="000000" w:themeColor="text1"/>
                <w:sz w:val="24"/>
              </w:rPr>
              <w:t>开展南昌市大气污染综合整治第三方评估，组建“一县一策”大气污染综合治理技术团队。建设大气组分监测站，启动臭氧和微型颗粒物的精细管控工程。推动方大特钢超低排放改造，重点推进方大特钢科技股份有限公司及江铃汽车股份有限公司小蓝工厂等企业</w:t>
            </w:r>
            <w:r>
              <w:rPr>
                <w:rFonts w:ascii="仿宋_GB2312" w:eastAsia="仿宋_GB2312"/>
                <w:color w:val="000000" w:themeColor="text1"/>
                <w:sz w:val="24"/>
              </w:rPr>
              <w:t>VOCs综合治理工程。建立南昌市移动源综合监管平台，建设机动车尾气遥感监测系统、黑烟车视频抓拍系统、柴油车和非道路移动机械远程在线监控系统。</w:t>
            </w:r>
          </w:p>
          <w:p>
            <w:pPr>
              <w:spacing w:line="36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（三）土壤及地下水综合治理工程</w:t>
            </w:r>
          </w:p>
          <w:p>
            <w:pPr>
              <w:spacing w:line="360" w:lineRule="exact"/>
              <w:ind w:firstLine="480"/>
              <w:rPr>
                <w:rFonts w:ascii="仿宋_GB2312" w:eastAsia="仿宋_GB2312"/>
                <w:color w:val="000000" w:themeColor="text1"/>
                <w:sz w:val="24"/>
              </w:rPr>
            </w:pPr>
            <w:r>
              <w:rPr>
                <w:rFonts w:hint="eastAsia" w:ascii="仿宋_GB2312" w:eastAsia="仿宋_GB2312"/>
                <w:color w:val="000000" w:themeColor="text1"/>
                <w:sz w:val="24"/>
              </w:rPr>
              <w:t>开展对原江西西林科股份有限公司和原南昌硬质合金有限公司土壤污染状况风险评估、风险管控或治理修复，对南昌县小蓝经开区及其周边、南钢</w:t>
            </w:r>
            <w:r>
              <w:rPr>
                <w:rFonts w:ascii="仿宋_GB2312" w:eastAsia="仿宋_GB2312"/>
                <w:color w:val="000000" w:themeColor="text1"/>
                <w:sz w:val="24"/>
              </w:rPr>
              <w:t>-氮厂及其周边、经开区工业集聚区及其周边地下水环境状况进行详细调查、风险评估、风险管控或治理修复。建立完善南昌市地下水污染防治监测网络体系，加强对麦园垃圾填埋场封场后环境监测。</w:t>
            </w:r>
          </w:p>
          <w:p>
            <w:pPr>
              <w:spacing w:line="36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（四）林业生态建设工程</w:t>
            </w:r>
          </w:p>
          <w:p>
            <w:pPr>
              <w:spacing w:line="360" w:lineRule="exact"/>
              <w:ind w:firstLine="480"/>
              <w:rPr>
                <w:rFonts w:ascii="仿宋_GB2312" w:eastAsia="仿宋_GB2312"/>
                <w:b/>
                <w:color w:val="000000" w:themeColor="text1"/>
                <w:sz w:val="24"/>
              </w:rPr>
            </w:pPr>
            <w:r>
              <w:rPr>
                <w:rFonts w:hint="eastAsia" w:ascii="仿宋_GB2312" w:eastAsia="仿宋_GB2312"/>
                <w:color w:val="000000" w:themeColor="text1"/>
                <w:sz w:val="24"/>
              </w:rPr>
              <w:t>推进重要区域阔叶林低产低效林改造、林相改造、森林抚育、封山育林等工程，加强森林资源保护管理，提高森林总量及质量。加大对油茶、森林药材、森林蔬菜、花卉苗木、森林景观利用等林业建设的扶持力度。推进茶园山生态实验林场国家级森林康养基地建设。</w:t>
            </w:r>
          </w:p>
          <w:p>
            <w:pPr>
              <w:spacing w:line="36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（五）野生动植物保护和自然保护地体系建设工程</w:t>
            </w:r>
          </w:p>
          <w:p>
            <w:pPr>
              <w:spacing w:line="360" w:lineRule="exact"/>
              <w:ind w:firstLine="480"/>
              <w:rPr>
                <w:rFonts w:ascii="仿宋_GB2312" w:eastAsia="仿宋_GB2312"/>
                <w:color w:val="000000" w:themeColor="text1"/>
                <w:sz w:val="24"/>
              </w:rPr>
            </w:pPr>
            <w:r>
              <w:rPr>
                <w:rFonts w:hint="eastAsia" w:ascii="仿宋_GB2312" w:eastAsia="仿宋_GB2312"/>
                <w:color w:val="000000" w:themeColor="text1"/>
                <w:sz w:val="24"/>
              </w:rPr>
              <w:t>开展野生动物重要栖息地规划，推进自然保护区、森林公园、湿地公园、风景名胜区等保护地的管护、宣教等基础设施和能力建设。实施极度濒危野生动物和极小种群野生植物拯救保护，加强野生动物疫源疫病监测防控。开展自然保护地生态本底调查，构建自然保护区和野生动植物监测、监管与评价预警系统。</w:t>
            </w:r>
          </w:p>
          <w:p>
            <w:pPr>
              <w:spacing w:line="36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（六）湿地保护修复工程</w:t>
            </w:r>
          </w:p>
          <w:p>
            <w:pPr>
              <w:spacing w:line="360" w:lineRule="exact"/>
              <w:ind w:firstLine="480"/>
              <w:rPr>
                <w:rFonts w:ascii="仿宋_GB2312" w:eastAsia="仿宋_GB2312"/>
                <w:color w:val="000000" w:themeColor="text1"/>
                <w:sz w:val="24"/>
              </w:rPr>
            </w:pPr>
            <w:r>
              <w:rPr>
                <w:rFonts w:hint="eastAsia" w:ascii="仿宋_GB2312" w:eastAsia="仿宋_GB2312"/>
                <w:color w:val="000000" w:themeColor="text1"/>
                <w:sz w:val="24"/>
              </w:rPr>
              <w:t>积极推动南昌国际湿地城市建设，推进鄱阳湖湿地鸟类栖息地恢复工程示范建设、自然保护区体系建设、区域生态廊道建设等工程。在赣江尾闾等河湖水系内及南昌市城市周边实施河流、小微湿地等湿地恢复工程。以南昌鄱阳湖区沿线生态保护为核心，重点推进鄱阳湖环境综合整治、南矶湿地国家级自然保护区保护与恢复工程建设、青岚湖、瑶湖、北潦河、南矶山等湿地自然公园建设及五星白鹤小区、天香园、象山森林公园等建设工程。</w:t>
            </w:r>
          </w:p>
          <w:p>
            <w:pPr>
              <w:spacing w:line="36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（七）资源高效利用及节能环保工程</w:t>
            </w:r>
          </w:p>
          <w:p>
            <w:pPr>
              <w:spacing w:line="360" w:lineRule="exact"/>
              <w:ind w:firstLine="480"/>
              <w:rPr>
                <w:rFonts w:ascii="仿宋_GB2312" w:eastAsia="仿宋_GB2312"/>
                <w:b/>
                <w:color w:val="000000" w:themeColor="text1"/>
                <w:sz w:val="24"/>
              </w:rPr>
            </w:pPr>
            <w:r>
              <w:rPr>
                <w:rFonts w:hint="eastAsia" w:ascii="仿宋_GB2312" w:eastAsia="仿宋_GB2312"/>
                <w:color w:val="000000" w:themeColor="text1"/>
                <w:sz w:val="24"/>
              </w:rPr>
              <w:t>推进南昌泉岭生活垃圾焚烧发电厂扩建、南昌固废处理循环经济产业园垃圾渗滤液浓缩液处理、南昌固废处理循环经济产业园餐厨垃圾处理、恒湖垦殖场中央农作物秸秆综合利用试点建设、南昌县银三角片区生态废弃物回收再利用处理中心、南昌市建筑垃圾资源化利用等工程，谋划新建南昌市新垃圾焚烧厂。</w:t>
            </w:r>
          </w:p>
          <w:p>
            <w:pPr>
              <w:spacing w:line="360" w:lineRule="exact"/>
              <w:ind w:firstLine="482"/>
              <w:rPr>
                <w:rFonts w:ascii="仿宋_GB2312" w:eastAsia="仿宋_GB2312"/>
                <w:b/>
                <w:color w:val="000000" w:themeColor="text1"/>
                <w:sz w:val="24"/>
              </w:rPr>
            </w:pPr>
            <w:r>
              <w:rPr>
                <w:rFonts w:hint="eastAsia" w:ascii="仿宋_GB2312" w:eastAsia="仿宋_GB2312"/>
                <w:b/>
                <w:color w:val="000000" w:themeColor="text1"/>
                <w:sz w:val="24"/>
              </w:rPr>
              <w:t>（八）气象监测预报预警系统工程</w:t>
            </w:r>
          </w:p>
          <w:p>
            <w:pPr>
              <w:spacing w:line="360" w:lineRule="exact"/>
              <w:ind w:firstLine="480"/>
              <w:rPr>
                <w:color w:val="000000" w:themeColor="text1"/>
              </w:rPr>
            </w:pPr>
            <w:r>
              <w:rPr>
                <w:rFonts w:ascii="仿宋_GB2312" w:eastAsia="仿宋_GB2312"/>
                <w:color w:val="000000" w:themeColor="text1"/>
                <w:sz w:val="24"/>
              </w:rPr>
              <w:t>优化升级和加密自动气象观测站网，推进气象信息与装备保障能力提升。建设突发事件预警信息发布系统。以南昌国家气候观象台为核心推进气象公园建设。建设生态文明气象服务保障能力提升工程，提升人工影响天气作业能力和湖泊、湿地、山林、农田的综合立体生态气象监测能力。提升基层气象防灾减灾能力。</w:t>
            </w:r>
          </w:p>
        </w:tc>
      </w:tr>
      <w:bookmarkEnd w:id="753"/>
      <w:bookmarkEnd w:id="754"/>
      <w:bookmarkEnd w:id="755"/>
    </w:tbl>
    <w:p>
      <w:pPr>
        <w:pStyle w:val="3"/>
        <w:spacing w:after="0" w:line="580" w:lineRule="exact"/>
        <w:ind w:firstLine="640"/>
      </w:pPr>
      <w:bookmarkStart w:id="756" w:name="_Toc1523"/>
      <w:bookmarkStart w:id="757" w:name="_Toc57612899"/>
    </w:p>
    <w:p>
      <w:pPr>
        <w:pStyle w:val="23"/>
        <w:adjustRightInd/>
        <w:snapToGrid/>
        <w:spacing w:line="580" w:lineRule="exact"/>
        <w:rPr>
          <w:b w:val="0"/>
          <w:color w:val="000000" w:themeColor="text1"/>
        </w:rPr>
      </w:pPr>
      <w:bookmarkStart w:id="758" w:name="_Toc14322"/>
      <w:bookmarkStart w:id="759" w:name="_Toc64542242"/>
      <w:r>
        <w:rPr>
          <w:rFonts w:hint="eastAsia"/>
          <w:b w:val="0"/>
          <w:color w:val="000000" w:themeColor="text1"/>
        </w:rPr>
        <w:t>第三十八章  完善生态文明制度</w:t>
      </w:r>
      <w:bookmarkEnd w:id="756"/>
      <w:bookmarkEnd w:id="757"/>
      <w:bookmarkEnd w:id="758"/>
      <w:bookmarkEnd w:id="759"/>
    </w:p>
    <w:p>
      <w:pPr>
        <w:spacing w:line="580" w:lineRule="exact"/>
        <w:ind w:firstLine="640"/>
        <w:rPr>
          <w:rFonts w:eastAsia="仿宋_GB2312"/>
          <w:color w:val="000000" w:themeColor="text1"/>
          <w:szCs w:val="34"/>
        </w:rPr>
      </w:pPr>
    </w:p>
    <w:p>
      <w:pPr>
        <w:spacing w:line="580" w:lineRule="exact"/>
        <w:ind w:firstLine="640"/>
        <w:rPr>
          <w:rFonts w:eastAsia="仿宋_GB2312"/>
          <w:color w:val="000000" w:themeColor="text1"/>
          <w:szCs w:val="34"/>
        </w:rPr>
      </w:pPr>
      <w:r>
        <w:rPr>
          <w:rFonts w:hint="eastAsia" w:eastAsia="仿宋_GB2312"/>
          <w:color w:val="000000" w:themeColor="text1"/>
          <w:szCs w:val="34"/>
        </w:rPr>
        <w:t>坚持源头严防、过程严管、后果严惩，加快构建生态文明制度体系，推动生态文明制度更加成熟更加定型。</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760" w:name="_Toc4652"/>
      <w:bookmarkStart w:id="761" w:name="_Toc64542243"/>
      <w:bookmarkStart w:id="762" w:name="_Toc28097"/>
      <w:r>
        <w:rPr>
          <w:rFonts w:hint="eastAsia" w:ascii="楷体_GB2312" w:eastAsia="楷体_GB2312"/>
          <w:color w:val="000000" w:themeColor="text1"/>
        </w:rPr>
        <w:t>第一节  健全现代环境治理体系</w:t>
      </w:r>
      <w:bookmarkEnd w:id="760"/>
      <w:bookmarkEnd w:id="761"/>
      <w:bookmarkEnd w:id="762"/>
    </w:p>
    <w:p>
      <w:pPr>
        <w:pStyle w:val="59"/>
        <w:widowControl w:val="0"/>
        <w:adjustRightInd/>
        <w:snapToGrid/>
        <w:spacing w:line="580" w:lineRule="exact"/>
        <w:ind w:firstLine="640"/>
      </w:pPr>
    </w:p>
    <w:p>
      <w:pPr>
        <w:pStyle w:val="59"/>
        <w:widowControl w:val="0"/>
        <w:adjustRightInd/>
        <w:snapToGrid/>
        <w:spacing w:line="580" w:lineRule="exact"/>
        <w:ind w:firstLine="640"/>
      </w:pPr>
      <w:r>
        <w:rPr>
          <w:rFonts w:hint="eastAsia"/>
        </w:rPr>
        <w:t>完善生态文明建设统筹协调机制，建立实施“三线一单”</w:t>
      </w:r>
      <w:r>
        <w:rPr>
          <w:rStyle w:val="38"/>
          <w:color w:val="000000" w:themeColor="text1"/>
          <w:szCs w:val="34"/>
        </w:rPr>
        <w:footnoteReference w:id="17"/>
      </w:r>
      <w:r>
        <w:rPr>
          <w:rFonts w:hint="eastAsia"/>
        </w:rPr>
        <w:t>生态环境分区管控体系，严格落实产业准入清单。完善河湖森林管理保护机制，打造河长制、湖长制、林长制升级版。全面构建以排污许可制为核心的固定污染源监管制度体系，建立生态环境监测全过程控制制度。推进生态环境保护综合执法改革，健全生态环境保护督查问题整改制度，防止环保“一刀切”行为。完善环境资源司法保护机制，健全生态环境公益诉讼制度，严格落实生态环境损害赔偿和责任终身追究制度。建立生态环境突发事件后评估机制和公众健康影响评估制度。在高风险行业推行环境污染责任保险。加快完善环保信用评价、环保信息强制性披露等制度，加强企业环境治理责任制度建设。建立健全公众监督和举报反馈等机制，提高环境保护的公众参与度。加强财税支持，建立健全常态化、稳定的环境治理财政资金投入机制。健全价格收费机制，形成“污染者付费+第三方治理”模式。</w:t>
      </w:r>
    </w:p>
    <w:p>
      <w:pPr>
        <w:pStyle w:val="59"/>
        <w:widowControl w:val="0"/>
        <w:adjustRightInd/>
        <w:snapToGrid/>
        <w:spacing w:line="580" w:lineRule="exact"/>
        <w:ind w:firstLine="640"/>
      </w:pPr>
    </w:p>
    <w:p>
      <w:pPr>
        <w:pStyle w:val="74"/>
        <w:adjustRightInd/>
        <w:snapToGrid/>
        <w:spacing w:line="580" w:lineRule="exact"/>
        <w:rPr>
          <w:rFonts w:ascii="楷体_GB2312" w:eastAsia="楷体_GB2312"/>
          <w:color w:val="000000" w:themeColor="text1"/>
        </w:rPr>
      </w:pPr>
      <w:bookmarkStart w:id="763" w:name="_Toc24502"/>
      <w:bookmarkStart w:id="764" w:name="_Toc57201777"/>
      <w:bookmarkStart w:id="765" w:name="_Toc57194315"/>
      <w:bookmarkStart w:id="766" w:name="_Toc57612901"/>
      <w:bookmarkStart w:id="767" w:name="_Toc13790"/>
      <w:bookmarkStart w:id="768" w:name="_Toc57195776"/>
      <w:bookmarkStart w:id="769" w:name="_Toc64542244"/>
      <w:r>
        <w:rPr>
          <w:rFonts w:hint="eastAsia" w:ascii="楷体_GB2312" w:eastAsia="楷体_GB2312"/>
          <w:color w:val="000000" w:themeColor="text1"/>
        </w:rPr>
        <w:t>第二节  完善资源能源高效利用制度</w:t>
      </w:r>
      <w:bookmarkEnd w:id="763"/>
      <w:bookmarkEnd w:id="764"/>
      <w:bookmarkEnd w:id="765"/>
      <w:bookmarkEnd w:id="766"/>
      <w:bookmarkEnd w:id="767"/>
      <w:bookmarkEnd w:id="768"/>
      <w:bookmarkEnd w:id="769"/>
    </w:p>
    <w:p>
      <w:pPr>
        <w:spacing w:line="580" w:lineRule="exact"/>
        <w:ind w:firstLine="640"/>
        <w:rPr>
          <w:rFonts w:eastAsia="仿宋_GB2312"/>
          <w:color w:val="000000" w:themeColor="text1"/>
          <w:szCs w:val="34"/>
        </w:rPr>
      </w:pPr>
    </w:p>
    <w:p>
      <w:pPr>
        <w:spacing w:line="580" w:lineRule="exact"/>
        <w:ind w:firstLine="640"/>
        <w:rPr>
          <w:rFonts w:eastAsia="仿宋_GB2312"/>
          <w:color w:val="000000" w:themeColor="text1"/>
          <w:szCs w:val="34"/>
        </w:rPr>
      </w:pPr>
      <w:r>
        <w:rPr>
          <w:rFonts w:hint="eastAsia" w:eastAsia="仿宋_GB2312"/>
          <w:color w:val="000000" w:themeColor="text1"/>
          <w:szCs w:val="34"/>
        </w:rPr>
        <w:t>严格实行资源总量管理和全面节约制度，健全自然资源有偿使用制度，完善价格形成机制。强化高耗水行业用水定额管理，建立水资源刚性约束机制。加强土地节约集约利用，完善土地复合利用、立体开发支持政策，建立环境修复与开发建设占补平衡机制。完善能效、水效“领跑者制度”。完善工业、建筑、交通等领域和公共机构节能政策法规，推动</w:t>
      </w:r>
      <w:r>
        <w:rPr>
          <w:rFonts w:hint="eastAsia" w:ascii="仿宋_GB2312" w:eastAsia="仿宋_GB2312"/>
          <w:color w:val="000000" w:themeColor="text1"/>
          <w:szCs w:val="32"/>
        </w:rPr>
        <w:t>5G</w:t>
      </w:r>
      <w:r>
        <w:rPr>
          <w:rFonts w:hint="eastAsia" w:eastAsia="仿宋_GB2312"/>
          <w:color w:val="000000" w:themeColor="text1"/>
          <w:szCs w:val="34"/>
        </w:rPr>
        <w:t>、大数据中心等新兴领域能效标准制定。积极落实国家资源税改革，构建绿色税收体系，健全节能环保和资源综合利用的税收激励政策。探索重点领域资源环境价格制度，实现生态环境成本内部化。</w:t>
      </w:r>
    </w:p>
    <w:p>
      <w:pPr>
        <w:pStyle w:val="2"/>
        <w:ind w:firstLine="320"/>
      </w:pPr>
    </w:p>
    <w:p>
      <w:pPr>
        <w:pStyle w:val="29"/>
        <w:adjustRightInd/>
        <w:snapToGrid/>
        <w:spacing w:line="580" w:lineRule="exact"/>
        <w:rPr>
          <w:color w:val="000000" w:themeColor="text1"/>
        </w:rPr>
      </w:pPr>
      <w:bookmarkStart w:id="770" w:name="_Toc32167"/>
      <w:bookmarkStart w:id="771" w:name="_Toc64542245"/>
      <w:bookmarkStart w:id="772" w:name="_Toc1946"/>
    </w:p>
    <w:p>
      <w:pPr>
        <w:pStyle w:val="29"/>
        <w:adjustRightInd/>
        <w:snapToGrid/>
        <w:spacing w:line="580" w:lineRule="exact"/>
        <w:rPr>
          <w:color w:val="000000" w:themeColor="text1"/>
        </w:rPr>
      </w:pPr>
      <w:r>
        <w:rPr>
          <w:rFonts w:hint="eastAsia"/>
          <w:color w:val="000000" w:themeColor="text1"/>
        </w:rPr>
        <w:t>第十二篇  建设独具魅力的文化之城</w:t>
      </w:r>
      <w:bookmarkEnd w:id="770"/>
      <w:bookmarkEnd w:id="771"/>
      <w:bookmarkEnd w:id="772"/>
    </w:p>
    <w:p>
      <w:pPr>
        <w:spacing w:line="580" w:lineRule="exact"/>
        <w:ind w:firstLine="640"/>
        <w:rPr>
          <w:rFonts w:ascii="Times New Roman" w:hAnsi="Times New Roman" w:eastAsia="仿宋_GB2312" w:cs="Times New Roman"/>
          <w:color w:val="000000" w:themeColor="text1"/>
          <w:szCs w:val="34"/>
        </w:rPr>
      </w:pPr>
      <w:bookmarkStart w:id="773" w:name="_Toc57195780"/>
      <w:bookmarkStart w:id="774" w:name="_Toc57194319"/>
    </w:p>
    <w:p>
      <w:pPr>
        <w:spacing w:line="580" w:lineRule="exact"/>
        <w:ind w:firstLine="640"/>
        <w:rPr>
          <w:rFonts w:ascii="Times New Roman" w:hAnsi="Times New Roman" w:eastAsia="仿宋_GB2312" w:cs="Times New Roman"/>
          <w:color w:val="000000" w:themeColor="text1"/>
          <w:szCs w:val="34"/>
        </w:rPr>
      </w:pPr>
      <w:r>
        <w:rPr>
          <w:rFonts w:hint="eastAsia" w:ascii="Times New Roman" w:hAnsi="Times New Roman" w:eastAsia="仿宋_GB2312" w:cs="Times New Roman"/>
          <w:color w:val="000000" w:themeColor="text1"/>
          <w:szCs w:val="34"/>
        </w:rPr>
        <w:t>牢牢把握社会主义先进文化前进方向，着力传承优秀文化、弘扬时代精神、讲好南昌故事，丰富文化内涵、夯实文化载体、厚植文化优势，把南昌打造成为国际知名文化旅游强市、国内重要国际著名的旅游目的地。</w:t>
      </w:r>
    </w:p>
    <w:p>
      <w:pPr>
        <w:pStyle w:val="31"/>
        <w:spacing w:line="580" w:lineRule="exact"/>
        <w:ind w:firstLine="640"/>
      </w:pPr>
    </w:p>
    <w:p>
      <w:pPr>
        <w:pStyle w:val="23"/>
        <w:adjustRightInd/>
        <w:snapToGrid/>
        <w:spacing w:line="580" w:lineRule="exact"/>
        <w:ind w:firstLine="641"/>
        <w:rPr>
          <w:b w:val="0"/>
          <w:color w:val="000000" w:themeColor="text1"/>
        </w:rPr>
      </w:pPr>
      <w:bookmarkStart w:id="775" w:name="_Toc8222"/>
      <w:bookmarkStart w:id="776" w:name="_Toc58861236"/>
      <w:bookmarkStart w:id="777" w:name="_Toc64542246"/>
      <w:bookmarkStart w:id="778" w:name="_Toc14487"/>
      <w:bookmarkStart w:id="779" w:name="_Toc57279566"/>
      <w:r>
        <w:rPr>
          <w:rFonts w:hint="eastAsia"/>
          <w:b w:val="0"/>
          <w:color w:val="000000" w:themeColor="text1"/>
        </w:rPr>
        <w:t>第三十九章  全面提高社会文明程度</w:t>
      </w:r>
      <w:bookmarkEnd w:id="773"/>
      <w:bookmarkEnd w:id="774"/>
      <w:bookmarkEnd w:id="775"/>
      <w:bookmarkEnd w:id="776"/>
      <w:bookmarkEnd w:id="777"/>
      <w:bookmarkEnd w:id="778"/>
      <w:bookmarkEnd w:id="779"/>
      <w:bookmarkStart w:id="780" w:name="_Toc57195781"/>
      <w:bookmarkStart w:id="781" w:name="_Toc57194320"/>
    </w:p>
    <w:p>
      <w:pPr>
        <w:pStyle w:val="59"/>
        <w:widowControl w:val="0"/>
        <w:adjustRightInd/>
        <w:snapToGrid/>
        <w:spacing w:line="580" w:lineRule="exact"/>
        <w:ind w:firstLine="640"/>
        <w:rPr>
          <w:color w:val="000000" w:themeColor="text1"/>
        </w:rPr>
      </w:pPr>
    </w:p>
    <w:p>
      <w:pPr>
        <w:pStyle w:val="59"/>
        <w:widowControl w:val="0"/>
        <w:adjustRightInd/>
        <w:snapToGrid/>
        <w:spacing w:line="580" w:lineRule="exact"/>
        <w:ind w:firstLine="640"/>
        <w:rPr>
          <w:color w:val="000000" w:themeColor="text1"/>
        </w:rPr>
      </w:pPr>
      <w:r>
        <w:rPr>
          <w:rFonts w:hint="eastAsia"/>
          <w:color w:val="000000" w:themeColor="text1"/>
        </w:rPr>
        <w:t>大力弘扬社会主义核心价值观，推动精神文明和思想道德建设，提高文化素养，加快推动形成适应新时代要求的思想观念、精神面貌、文明风尚、行为规范</w:t>
      </w:r>
      <w:r>
        <w:rPr>
          <w:color w:val="000000" w:themeColor="text1"/>
        </w:rPr>
        <w:t>。</w:t>
      </w:r>
    </w:p>
    <w:p>
      <w:pPr>
        <w:pStyle w:val="59"/>
        <w:widowControl w:val="0"/>
        <w:adjustRightInd/>
        <w:snapToGrid/>
        <w:spacing w:line="580" w:lineRule="exact"/>
        <w:ind w:firstLine="640"/>
        <w:rPr>
          <w:color w:val="000000" w:themeColor="text1"/>
        </w:rPr>
      </w:pPr>
    </w:p>
    <w:p>
      <w:pPr>
        <w:pStyle w:val="74"/>
        <w:adjustRightInd/>
        <w:snapToGrid/>
        <w:spacing w:line="580" w:lineRule="exact"/>
        <w:rPr>
          <w:rFonts w:ascii="楷体_GB2312" w:eastAsia="楷体_GB2312"/>
          <w:color w:val="000000" w:themeColor="text1"/>
        </w:rPr>
      </w:pPr>
      <w:bookmarkStart w:id="782" w:name="_Toc57279567"/>
      <w:bookmarkStart w:id="783" w:name="_Toc58861237"/>
      <w:bookmarkStart w:id="784" w:name="_Toc64542247"/>
      <w:bookmarkStart w:id="785" w:name="_Toc18840"/>
      <w:bookmarkStart w:id="786" w:name="_Toc4145"/>
      <w:r>
        <w:rPr>
          <w:rFonts w:hint="eastAsia" w:ascii="楷体_GB2312" w:eastAsia="楷体_GB2312"/>
          <w:color w:val="000000" w:themeColor="text1"/>
        </w:rPr>
        <w:t>第一</w:t>
      </w:r>
      <w:bookmarkEnd w:id="780"/>
      <w:bookmarkEnd w:id="781"/>
      <w:bookmarkEnd w:id="782"/>
      <w:bookmarkEnd w:id="783"/>
      <w:r>
        <w:rPr>
          <w:rFonts w:hint="eastAsia" w:ascii="楷体_GB2312" w:eastAsia="楷体_GB2312"/>
          <w:color w:val="000000" w:themeColor="text1"/>
        </w:rPr>
        <w:t>节  加强理想信念教育</w:t>
      </w:r>
      <w:bookmarkEnd w:id="784"/>
      <w:bookmarkEnd w:id="785"/>
      <w:bookmarkEnd w:id="786"/>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ascii="仿宋_GB2312" w:eastAsia="仿宋_GB2312"/>
          <w:kern w:val="0"/>
        </w:rPr>
        <w:t>深入开展习近平新时代中国特色社会主义思想学习教育，推进马克思主义理论研究和建设工程，建设一批有影响力的理论发声平台，打造学习传播实践的重要阵地。推动理想信念教育常态化制度化，加强党史、新中国史、改革开放史、社会主义发展史教育，弘扬党和人民在各个历史时期奋斗中形成的伟大精神。组织实施习近平新时代中国特色社会主义思想研究工程，设立市级哲学社会科学优秀成果政府奖，鼓励开展哲学社会科学基础研究和应用对策研究，</w:t>
      </w:r>
      <w:r>
        <w:rPr>
          <w:rFonts w:hint="eastAsia" w:ascii="仿宋_GB2312" w:eastAsia="仿宋_GB2312"/>
          <w:kern w:val="0"/>
        </w:rPr>
        <w:t>加强哲学社会科学论坛、报告会、研</w:t>
      </w:r>
      <w:r>
        <w:rPr>
          <w:rFonts w:hint="eastAsia" w:ascii="仿宋_GB2312" w:eastAsia="仿宋_GB2312"/>
          <w:color w:val="000000" w:themeColor="text1"/>
          <w:kern w:val="0"/>
        </w:rPr>
        <w:t>讨会、讲座等阵地管理。加强党对意识形态工作的全面领导，健全意识形态工作责任制的考核督查等机制。依法加强网络管理，规范网络传播秩序。</w:t>
      </w:r>
    </w:p>
    <w:p>
      <w:pPr>
        <w:pStyle w:val="2"/>
        <w:spacing w:after="0" w:line="580" w:lineRule="exact"/>
        <w:ind w:firstLine="320"/>
      </w:pPr>
    </w:p>
    <w:p>
      <w:pPr>
        <w:pStyle w:val="74"/>
        <w:adjustRightInd/>
        <w:snapToGrid/>
        <w:spacing w:line="580" w:lineRule="exact"/>
        <w:rPr>
          <w:rFonts w:ascii="楷体_GB2312" w:eastAsia="楷体_GB2312"/>
          <w:color w:val="000000" w:themeColor="text1"/>
        </w:rPr>
      </w:pPr>
      <w:bookmarkStart w:id="787" w:name="_Toc23573"/>
      <w:bookmarkStart w:id="788" w:name="_Toc64542248"/>
      <w:bookmarkStart w:id="789" w:name="_Toc24461"/>
      <w:bookmarkStart w:id="790" w:name="_Toc58861238"/>
      <w:bookmarkStart w:id="791" w:name="_Toc57194322"/>
      <w:bookmarkStart w:id="792" w:name="_Toc57195783"/>
      <w:r>
        <w:rPr>
          <w:rFonts w:hint="eastAsia" w:ascii="楷体_GB2312" w:eastAsia="楷体_GB2312"/>
          <w:color w:val="000000" w:themeColor="text1"/>
        </w:rPr>
        <w:t>第二节  深化社会主义精神文明建设</w:t>
      </w:r>
      <w:bookmarkEnd w:id="787"/>
      <w:bookmarkEnd w:id="788"/>
      <w:bookmarkEnd w:id="789"/>
      <w:bookmarkEnd w:id="790"/>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深入开展爱国主义、集体主义、社会主义教育。</w:t>
      </w:r>
      <w:r>
        <w:rPr>
          <w:rFonts w:ascii="仿宋_GB2312" w:eastAsia="仿宋_GB2312"/>
          <w:color w:val="000000" w:themeColor="text1"/>
          <w:kern w:val="0"/>
        </w:rPr>
        <w:t>大力弘扬</w:t>
      </w:r>
      <w:r>
        <w:rPr>
          <w:rFonts w:hint="eastAsia" w:ascii="仿宋_GB2312" w:eastAsia="仿宋_GB2312"/>
          <w:color w:val="000000" w:themeColor="text1"/>
          <w:kern w:val="0"/>
        </w:rPr>
        <w:t>“八一精神”，加强城市精神和“八一精神”内涵升华。</w:t>
      </w:r>
      <w:r>
        <w:rPr>
          <w:rFonts w:ascii="仿宋_GB2312" w:eastAsia="仿宋_GB2312"/>
          <w:color w:val="000000" w:themeColor="text1"/>
          <w:kern w:val="0"/>
        </w:rPr>
        <w:t>巩固全国文明城市建设成果，扎实推进文明城市、文明村镇</w:t>
      </w:r>
      <w:r>
        <w:rPr>
          <w:rFonts w:hint="eastAsia" w:ascii="仿宋_GB2312" w:eastAsia="仿宋_GB2312"/>
          <w:color w:val="000000" w:themeColor="text1"/>
          <w:kern w:val="0"/>
        </w:rPr>
        <w:t>（</w:t>
      </w:r>
      <w:r>
        <w:rPr>
          <w:rFonts w:ascii="仿宋_GB2312" w:eastAsia="仿宋_GB2312"/>
          <w:color w:val="000000" w:themeColor="text1"/>
          <w:kern w:val="0"/>
        </w:rPr>
        <w:t>社区</w:t>
      </w:r>
      <w:r>
        <w:rPr>
          <w:rFonts w:hint="eastAsia" w:ascii="仿宋_GB2312" w:eastAsia="仿宋_GB2312"/>
          <w:color w:val="000000" w:themeColor="text1"/>
          <w:kern w:val="0"/>
        </w:rPr>
        <w:t>）</w:t>
      </w:r>
      <w:r>
        <w:rPr>
          <w:rFonts w:ascii="仿宋_GB2312" w:eastAsia="仿宋_GB2312"/>
          <w:color w:val="000000" w:themeColor="text1"/>
          <w:kern w:val="0"/>
        </w:rPr>
        <w:t>、文明单位、</w:t>
      </w:r>
      <w:r>
        <w:rPr>
          <w:rFonts w:hint="eastAsia" w:ascii="仿宋_GB2312" w:eastAsia="仿宋_GB2312"/>
          <w:color w:val="000000" w:themeColor="text1"/>
          <w:kern w:val="0"/>
        </w:rPr>
        <w:t>文明家庭、文明校园等创建活动和“</w:t>
      </w:r>
      <w:r>
        <w:rPr>
          <w:rFonts w:ascii="仿宋_GB2312" w:eastAsia="仿宋_GB2312"/>
          <w:color w:val="000000" w:themeColor="text1"/>
          <w:kern w:val="0"/>
        </w:rPr>
        <w:t>讲文明树新风</w:t>
      </w:r>
      <w:r>
        <w:rPr>
          <w:rFonts w:hint="eastAsia" w:ascii="仿宋_GB2312" w:eastAsia="仿宋_GB2312"/>
          <w:color w:val="000000" w:themeColor="text1"/>
          <w:kern w:val="0"/>
        </w:rPr>
        <w:t>”</w:t>
      </w:r>
      <w:r>
        <w:rPr>
          <w:rFonts w:ascii="仿宋_GB2312" w:eastAsia="仿宋_GB2312"/>
          <w:color w:val="000000" w:themeColor="text1"/>
          <w:kern w:val="0"/>
        </w:rPr>
        <w:t>系列行动。深入开展</w:t>
      </w:r>
      <w:r>
        <w:rPr>
          <w:rFonts w:hint="eastAsia" w:ascii="仿宋_GB2312" w:eastAsia="仿宋_GB2312"/>
          <w:color w:val="000000" w:themeColor="text1"/>
          <w:kern w:val="0"/>
        </w:rPr>
        <w:t>“</w:t>
      </w:r>
      <w:r>
        <w:rPr>
          <w:rFonts w:ascii="仿宋_GB2312" w:eastAsia="仿宋_GB2312"/>
          <w:color w:val="000000" w:themeColor="text1"/>
          <w:kern w:val="0"/>
        </w:rPr>
        <w:t>兴家风、淳民风、正社风</w:t>
      </w:r>
      <w:r>
        <w:rPr>
          <w:rFonts w:hint="eastAsia" w:ascii="仿宋_GB2312" w:eastAsia="仿宋_GB2312"/>
          <w:color w:val="000000" w:themeColor="text1"/>
          <w:kern w:val="0"/>
        </w:rPr>
        <w:t>”</w:t>
      </w:r>
      <w:r>
        <w:rPr>
          <w:rFonts w:ascii="仿宋_GB2312" w:eastAsia="仿宋_GB2312"/>
          <w:color w:val="000000" w:themeColor="text1"/>
          <w:kern w:val="0"/>
        </w:rPr>
        <w:t>主题活动，着力打造</w:t>
      </w:r>
      <w:r>
        <w:rPr>
          <w:rFonts w:hint="eastAsia" w:ascii="仿宋_GB2312" w:eastAsia="仿宋_GB2312"/>
          <w:color w:val="000000" w:themeColor="text1"/>
          <w:kern w:val="0"/>
        </w:rPr>
        <w:t>“</w:t>
      </w:r>
      <w:r>
        <w:rPr>
          <w:rFonts w:ascii="仿宋_GB2312" w:eastAsia="仿宋_GB2312"/>
          <w:color w:val="000000" w:themeColor="text1"/>
          <w:kern w:val="0"/>
        </w:rPr>
        <w:t>三风</w:t>
      </w:r>
      <w:r>
        <w:rPr>
          <w:rFonts w:hint="eastAsia" w:ascii="仿宋_GB2312" w:eastAsia="仿宋_GB2312"/>
          <w:color w:val="000000" w:themeColor="text1"/>
          <w:kern w:val="0"/>
        </w:rPr>
        <w:t>”</w:t>
      </w:r>
      <w:r>
        <w:rPr>
          <w:rFonts w:ascii="仿宋_GB2312" w:eastAsia="仿宋_GB2312"/>
          <w:color w:val="000000" w:themeColor="text1"/>
          <w:kern w:val="0"/>
        </w:rPr>
        <w:t>主题文化街、文化村。深入开展</w:t>
      </w:r>
      <w:r>
        <w:rPr>
          <w:rFonts w:hint="eastAsia" w:ascii="仿宋_GB2312" w:eastAsia="仿宋_GB2312"/>
          <w:color w:val="000000" w:themeColor="text1"/>
          <w:kern w:val="0"/>
        </w:rPr>
        <w:t>“</w:t>
      </w:r>
      <w:r>
        <w:rPr>
          <w:rFonts w:ascii="仿宋_GB2312" w:eastAsia="仿宋_GB2312"/>
          <w:color w:val="000000" w:themeColor="text1"/>
          <w:kern w:val="0"/>
        </w:rPr>
        <w:t>推动移风易俗，促进乡风文明</w:t>
      </w:r>
      <w:r>
        <w:rPr>
          <w:rFonts w:hint="eastAsia" w:ascii="仿宋_GB2312" w:eastAsia="仿宋_GB2312"/>
          <w:color w:val="000000" w:themeColor="text1"/>
          <w:kern w:val="0"/>
        </w:rPr>
        <w:t>”</w:t>
      </w:r>
      <w:r>
        <w:rPr>
          <w:rFonts w:ascii="仿宋_GB2312" w:eastAsia="仿宋_GB2312"/>
          <w:color w:val="000000" w:themeColor="text1"/>
          <w:spacing w:val="-6"/>
          <w:kern w:val="0"/>
        </w:rPr>
        <w:t>行动，组织开展优秀村规民约征集等活动。办好</w:t>
      </w:r>
      <w:r>
        <w:rPr>
          <w:rFonts w:hint="eastAsia" w:ascii="仿宋_GB2312" w:eastAsia="仿宋_GB2312"/>
          <w:color w:val="000000" w:themeColor="text1"/>
          <w:spacing w:val="-6"/>
          <w:kern w:val="0"/>
        </w:rPr>
        <w:t>“</w:t>
      </w:r>
      <w:r>
        <w:rPr>
          <w:rFonts w:ascii="仿宋_GB2312" w:eastAsia="仿宋_GB2312"/>
          <w:color w:val="000000" w:themeColor="text1"/>
          <w:spacing w:val="-6"/>
          <w:kern w:val="0"/>
        </w:rPr>
        <w:t>新时代文明实践中心</w:t>
      </w:r>
      <w:r>
        <w:rPr>
          <w:rFonts w:hint="eastAsia" w:ascii="仿宋_GB2312" w:eastAsia="仿宋_GB2312"/>
          <w:color w:val="000000" w:themeColor="text1"/>
          <w:spacing w:val="-6"/>
          <w:kern w:val="0"/>
        </w:rPr>
        <w:t>”，</w:t>
      </w:r>
      <w:r>
        <w:rPr>
          <w:rFonts w:ascii="仿宋_GB2312" w:eastAsia="仿宋_GB2312"/>
          <w:color w:val="000000" w:themeColor="text1"/>
          <w:spacing w:val="-6"/>
          <w:kern w:val="0"/>
        </w:rPr>
        <w:t>实现全市全覆盖。</w:t>
      </w:r>
      <w:r>
        <w:rPr>
          <w:rFonts w:hint="eastAsia" w:ascii="仿宋_GB2312" w:eastAsia="仿宋_GB2312"/>
          <w:color w:val="000000" w:themeColor="text1"/>
          <w:spacing w:val="-6"/>
          <w:kern w:val="0"/>
        </w:rPr>
        <w:t>大力弘扬志愿服务精神，深入开展学雷锋志愿服务系列活动，完善志愿服务激励机制，打造城市文明样板</w:t>
      </w:r>
      <w:r>
        <w:rPr>
          <w:rFonts w:ascii="仿宋_GB2312" w:eastAsia="仿宋_GB2312"/>
          <w:color w:val="000000" w:themeColor="text1"/>
          <w:spacing w:val="-6"/>
          <w:kern w:val="0"/>
        </w:rPr>
        <w:t>。</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793" w:name="_Toc58861239"/>
      <w:bookmarkStart w:id="794" w:name="_Toc25650"/>
      <w:bookmarkStart w:id="795" w:name="_Toc64542249"/>
      <w:bookmarkStart w:id="796" w:name="_Toc31875"/>
      <w:r>
        <w:rPr>
          <w:rFonts w:hint="eastAsia" w:ascii="楷体_GB2312" w:eastAsia="楷体_GB2312"/>
          <w:color w:val="000000" w:themeColor="text1"/>
        </w:rPr>
        <w:t>第三节  加强社会诚信道德建设</w:t>
      </w:r>
      <w:bookmarkEnd w:id="793"/>
      <w:bookmarkEnd w:id="794"/>
      <w:bookmarkEnd w:id="795"/>
      <w:bookmarkEnd w:id="796"/>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积极培育和践行社会主义核心价值观，持续深入贯彻落实《新时代公民道德建设实施纲要》和《新时代爱国主义教育实施纲要》。全面加强社会公德、职业道德、家庭美德、个人品德建设，提升市民担当敢为、诚信开放的省会首善意识和全球化视野。</w:t>
      </w:r>
      <w:r>
        <w:rPr>
          <w:rFonts w:ascii="仿宋_GB2312" w:eastAsia="仿宋_GB2312"/>
          <w:color w:val="000000" w:themeColor="text1"/>
          <w:kern w:val="0"/>
        </w:rPr>
        <w:t>开展诚</w:t>
      </w:r>
      <w:r>
        <w:rPr>
          <w:rFonts w:ascii="仿宋_GB2312" w:eastAsia="仿宋_GB2312"/>
          <w:color w:val="000000" w:themeColor="text1"/>
          <w:spacing w:val="-6"/>
          <w:kern w:val="0"/>
        </w:rPr>
        <w:t>信行业、单位、示范街区等主题实践活动，</w:t>
      </w:r>
      <w:r>
        <w:rPr>
          <w:rFonts w:hint="eastAsia" w:ascii="仿宋_GB2312" w:eastAsia="仿宋_GB2312"/>
          <w:color w:val="000000" w:themeColor="text1"/>
          <w:spacing w:val="-6"/>
          <w:kern w:val="0"/>
        </w:rPr>
        <w:t>常态化</w:t>
      </w:r>
      <w:r>
        <w:rPr>
          <w:rFonts w:ascii="仿宋_GB2312" w:eastAsia="仿宋_GB2312"/>
          <w:color w:val="000000" w:themeColor="text1"/>
          <w:spacing w:val="-6"/>
          <w:kern w:val="0"/>
        </w:rPr>
        <w:t>发布</w:t>
      </w:r>
      <w:r>
        <w:rPr>
          <w:rFonts w:hint="eastAsia" w:ascii="仿宋_GB2312" w:eastAsia="仿宋_GB2312"/>
          <w:color w:val="000000" w:themeColor="text1"/>
          <w:spacing w:val="-6"/>
          <w:kern w:val="0"/>
        </w:rPr>
        <w:t>“</w:t>
      </w:r>
      <w:r>
        <w:rPr>
          <w:rFonts w:ascii="仿宋_GB2312" w:eastAsia="仿宋_GB2312"/>
          <w:color w:val="000000" w:themeColor="text1"/>
          <w:spacing w:val="-6"/>
          <w:kern w:val="0"/>
        </w:rPr>
        <w:t>诚信红黑榜</w:t>
      </w:r>
      <w:r>
        <w:rPr>
          <w:rFonts w:hint="eastAsia" w:ascii="仿宋_GB2312" w:eastAsia="仿宋_GB2312"/>
          <w:color w:val="000000" w:themeColor="text1"/>
          <w:spacing w:val="-6"/>
          <w:kern w:val="0"/>
        </w:rPr>
        <w:t>”</w:t>
      </w:r>
      <w:r>
        <w:rPr>
          <w:rFonts w:ascii="仿宋_GB2312" w:eastAsia="仿宋_GB2312"/>
          <w:color w:val="000000" w:themeColor="text1"/>
          <w:spacing w:val="-6"/>
          <w:kern w:val="0"/>
        </w:rPr>
        <w:t>。实施时代新人培育工程，培养推出一批新时代的</w:t>
      </w:r>
      <w:r>
        <w:rPr>
          <w:rFonts w:hint="eastAsia" w:ascii="仿宋_GB2312" w:eastAsia="仿宋_GB2312"/>
          <w:color w:val="000000" w:themeColor="text1"/>
          <w:spacing w:val="-6"/>
          <w:kern w:val="0"/>
        </w:rPr>
        <w:t>先进</w:t>
      </w:r>
      <w:r>
        <w:rPr>
          <w:rFonts w:ascii="仿宋_GB2312" w:eastAsia="仿宋_GB2312"/>
          <w:color w:val="000000" w:themeColor="text1"/>
          <w:spacing w:val="-6"/>
          <w:kern w:val="0"/>
        </w:rPr>
        <w:t>模范。积极开展道德模范</w:t>
      </w:r>
      <w:r>
        <w:rPr>
          <w:rFonts w:hint="eastAsia" w:ascii="仿宋_GB2312" w:eastAsia="仿宋_GB2312"/>
          <w:color w:val="000000" w:themeColor="text1"/>
          <w:spacing w:val="-6"/>
          <w:kern w:val="0"/>
        </w:rPr>
        <w:t>、中国好人、最美人物推荐评议，</w:t>
      </w:r>
      <w:r>
        <w:rPr>
          <w:rFonts w:ascii="仿宋_GB2312" w:eastAsia="仿宋_GB2312"/>
          <w:color w:val="000000" w:themeColor="text1"/>
          <w:spacing w:val="-6"/>
          <w:kern w:val="0"/>
        </w:rPr>
        <w:t>建立完善道德模范、最美人物等关爱帮扶机制，全面落实道德模范礼遇帮扶政策。</w:t>
      </w:r>
    </w:p>
    <w:p>
      <w:pPr>
        <w:pStyle w:val="31"/>
        <w:spacing w:line="580" w:lineRule="exact"/>
        <w:ind w:firstLine="640"/>
      </w:pPr>
    </w:p>
    <w:p>
      <w:pPr>
        <w:pStyle w:val="23"/>
        <w:adjustRightInd/>
        <w:snapToGrid/>
        <w:spacing w:line="580" w:lineRule="exact"/>
        <w:rPr>
          <w:b w:val="0"/>
          <w:color w:val="000000" w:themeColor="text1"/>
        </w:rPr>
      </w:pPr>
      <w:bookmarkStart w:id="797" w:name="_Toc58861240"/>
      <w:bookmarkStart w:id="798" w:name="_Toc57279569"/>
      <w:bookmarkStart w:id="799" w:name="_Toc18853"/>
      <w:bookmarkStart w:id="800" w:name="_Toc23125"/>
      <w:bookmarkStart w:id="801" w:name="_Toc64542250"/>
      <w:r>
        <w:rPr>
          <w:rFonts w:hint="eastAsia"/>
          <w:b w:val="0"/>
          <w:color w:val="000000" w:themeColor="text1"/>
        </w:rPr>
        <w:t>第四十章  培塑标识鲜明文化名片</w:t>
      </w:r>
      <w:bookmarkEnd w:id="791"/>
      <w:bookmarkEnd w:id="792"/>
      <w:bookmarkEnd w:id="797"/>
      <w:bookmarkEnd w:id="798"/>
      <w:bookmarkEnd w:id="799"/>
      <w:bookmarkEnd w:id="800"/>
      <w:bookmarkEnd w:id="801"/>
    </w:p>
    <w:p>
      <w:pPr>
        <w:spacing w:line="580" w:lineRule="exact"/>
        <w:ind w:firstLine="640"/>
        <w:rPr>
          <w:rFonts w:ascii="仿宋_GB2312" w:eastAsia="仿宋_GB2312"/>
          <w:color w:val="000000" w:themeColor="text1"/>
          <w:kern w:val="0"/>
        </w:rPr>
      </w:pPr>
      <w:bookmarkStart w:id="802" w:name="_Toc57195784"/>
      <w:bookmarkStart w:id="803" w:name="_Toc57194323"/>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充分发挥历史文化名城独特优势，</w:t>
      </w:r>
      <w:r>
        <w:rPr>
          <w:rFonts w:ascii="仿宋_GB2312" w:eastAsia="仿宋_GB2312"/>
          <w:color w:val="000000" w:themeColor="text1"/>
          <w:kern w:val="0"/>
        </w:rPr>
        <w:t>深挖</w:t>
      </w:r>
      <w:r>
        <w:rPr>
          <w:rFonts w:hint="eastAsia" w:ascii="仿宋_GB2312" w:eastAsia="仿宋_GB2312"/>
          <w:color w:val="000000" w:themeColor="text1"/>
          <w:kern w:val="0"/>
        </w:rPr>
        <w:t>“</w:t>
      </w:r>
      <w:r>
        <w:rPr>
          <w:rFonts w:ascii="仿宋_GB2312" w:eastAsia="仿宋_GB2312"/>
          <w:color w:val="000000" w:themeColor="text1"/>
          <w:kern w:val="0"/>
        </w:rPr>
        <w:t>红绿古金</w:t>
      </w:r>
      <w:r>
        <w:rPr>
          <w:rFonts w:hint="eastAsia" w:ascii="仿宋_GB2312" w:eastAsia="仿宋_GB2312"/>
          <w:color w:val="000000" w:themeColor="text1"/>
          <w:kern w:val="0"/>
        </w:rPr>
        <w:t>”</w:t>
      </w:r>
      <w:r>
        <w:rPr>
          <w:rFonts w:ascii="仿宋_GB2312" w:eastAsia="仿宋_GB2312"/>
          <w:color w:val="000000" w:themeColor="text1"/>
          <w:kern w:val="0"/>
        </w:rPr>
        <w:t>文化资源，提高文化资源保护、传承、利用水平</w:t>
      </w:r>
      <w:r>
        <w:rPr>
          <w:rFonts w:hint="eastAsia" w:ascii="仿宋_GB2312" w:eastAsia="仿宋_GB2312"/>
          <w:color w:val="000000" w:themeColor="text1"/>
          <w:kern w:val="0"/>
        </w:rPr>
        <w:t>，统筹推进文化交流、文化传播，努力打造文化互鉴、对话世界的新名片。</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804" w:name="_Toc57279570"/>
      <w:bookmarkStart w:id="805" w:name="_Toc10839"/>
      <w:bookmarkStart w:id="806" w:name="_Toc64542251"/>
      <w:bookmarkStart w:id="807" w:name="_Toc58861241"/>
      <w:bookmarkStart w:id="808" w:name="_Toc24892"/>
      <w:r>
        <w:rPr>
          <w:rFonts w:hint="eastAsia" w:ascii="楷体_GB2312" w:eastAsia="楷体_GB2312"/>
          <w:color w:val="000000" w:themeColor="text1"/>
        </w:rPr>
        <w:t>第一节  擦亮英雄城红色名片</w:t>
      </w:r>
      <w:bookmarkEnd w:id="802"/>
      <w:bookmarkEnd w:id="803"/>
      <w:bookmarkEnd w:id="804"/>
      <w:bookmarkEnd w:id="805"/>
      <w:bookmarkEnd w:id="806"/>
      <w:bookmarkEnd w:id="807"/>
      <w:bookmarkEnd w:id="808"/>
    </w:p>
    <w:p>
      <w:pPr>
        <w:spacing w:line="580" w:lineRule="exact"/>
        <w:ind w:firstLine="640"/>
        <w:rPr>
          <w:rFonts w:ascii="仿宋_GB2312" w:eastAsia="仿宋_GB2312"/>
          <w:color w:val="000000" w:themeColor="text1"/>
          <w:kern w:val="0"/>
        </w:rPr>
      </w:pPr>
      <w:bookmarkStart w:id="809" w:name="_Toc57194324"/>
      <w:bookmarkStart w:id="810" w:name="_Toc57195785"/>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实施“红色基因传承”工程，健全红色基因传承教育长效机制。围绕八一纪念馆、南昌新四军军部旧址、朱德军官教育团旧址、中共中央东南分局旧址等一批革命遗址，实施红色经典出版文化工程，研究传承红色基因和精神记忆，推出一批红色文化研究成果。</w:t>
      </w:r>
      <w:r>
        <w:rPr>
          <w:rFonts w:hint="eastAsia" w:ascii="Times New Roman" w:hAnsi="Times New Roman" w:eastAsia="仿宋_GB2312" w:cs="Times New Roman"/>
          <w:color w:val="000000" w:themeColor="text1"/>
          <w:szCs w:val="34"/>
        </w:rPr>
        <w:t>实施“红色文化</w:t>
      </w:r>
      <w:r>
        <w:rPr>
          <w:rFonts w:ascii="Times New Roman" w:hAnsi="Times New Roman" w:eastAsia="仿宋_GB2312" w:cs="Times New Roman"/>
          <w:color w:val="000000" w:themeColor="text1"/>
          <w:szCs w:val="34"/>
        </w:rPr>
        <w:t>+</w:t>
      </w:r>
      <w:r>
        <w:rPr>
          <w:rFonts w:hint="eastAsia" w:ascii="Times New Roman" w:hAnsi="Times New Roman" w:eastAsia="仿宋_GB2312" w:cs="Times New Roman"/>
          <w:color w:val="000000" w:themeColor="text1"/>
          <w:szCs w:val="34"/>
        </w:rPr>
        <w:t>”工程，强化红色资源统筹规划，推出一批“八一”文化研究成果，策划一批红色主题文化精品。</w:t>
      </w:r>
      <w:r>
        <w:rPr>
          <w:rFonts w:hint="eastAsia" w:ascii="仿宋_GB2312" w:eastAsia="仿宋_GB2312"/>
          <w:color w:val="000000" w:themeColor="text1"/>
          <w:kern w:val="0"/>
        </w:rPr>
        <w:t>围绕“天下英雄城”品牌，加快推进国防教育示范城项目建设，打造一批特色鲜明的红色教育示范基地、国防教育基地、廉政教育基地和党性教育示范基地。谋划推出一批红色旅游线路，策划推出一批以革命历史题材为重点的重大影视、动漫作品和主题展览。持续实施革命文物保护利用工程，深入开展革命名录普查登记，完善监管、预警系统等保护设施，健全管理制度，落实管理责任。</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811" w:name="_Toc21388"/>
      <w:bookmarkStart w:id="812" w:name="_Toc57279571"/>
      <w:bookmarkStart w:id="813" w:name="_Toc4705"/>
      <w:bookmarkStart w:id="814" w:name="_Toc58861242"/>
      <w:bookmarkStart w:id="815" w:name="_Toc64542252"/>
      <w:r>
        <w:rPr>
          <w:rFonts w:hint="eastAsia" w:ascii="楷体_GB2312" w:eastAsia="楷体_GB2312"/>
          <w:color w:val="000000" w:themeColor="text1"/>
        </w:rPr>
        <w:t>第二节  传承创新优秀传统文化</w:t>
      </w:r>
      <w:bookmarkEnd w:id="809"/>
      <w:bookmarkEnd w:id="810"/>
      <w:bookmarkEnd w:id="811"/>
      <w:bookmarkEnd w:id="812"/>
      <w:bookmarkEnd w:id="813"/>
      <w:bookmarkEnd w:id="814"/>
      <w:bookmarkEnd w:id="815"/>
      <w:bookmarkStart w:id="816" w:name="_Toc57195786"/>
      <w:bookmarkStart w:id="817" w:name="_Toc57194325"/>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高标准构建“北有以汉代海昏侯国遗址为载体的汉代文化，中有以滕王阁为载体的唐宋文化，南有以八大山人纪念馆为载体的明清文化”新格局。加强历史建筑、文物古迹保护修缮利用，特别是加强重点文物保护单位、重要工业遗址等珍贵遗产资源保护利用。建设南昌文献储备库，深入推进民俗文化、民间文学、曲艺文化、建筑文化、宗教文化等具有南昌区域特色历史文化研究。</w:t>
      </w:r>
      <w:r>
        <w:rPr>
          <w:rFonts w:hint="eastAsia" w:eastAsia="仿宋_GB2312"/>
          <w:color w:val="000000" w:themeColor="text1"/>
          <w:szCs w:val="34"/>
        </w:rPr>
        <w:t>实施“城市记忆”工程，建设万寿宫全省非物质文化遗产展示中心。</w:t>
      </w:r>
      <w:r>
        <w:rPr>
          <w:rFonts w:hint="eastAsia" w:ascii="仿宋_GB2312" w:eastAsia="仿宋_GB2312"/>
          <w:color w:val="000000" w:themeColor="text1"/>
          <w:kern w:val="0"/>
        </w:rPr>
        <w:t>积极推动进贤文港毛笔制作技艺、南昌清音等一批新项目进入国家级非物质文化遗产名录。加强历史文化名镇（名村）、传统村落和文化街区保护建设，制定风貌保护规划、改造规划和旅游发展规划，注重保持建筑以及周边环境整体空间形态和内在关系，充分体现历史文化名城风貌、地方民族文化特色、历史文化元素符号。打造文化名家/名人工作室，推动一批文化街区建设。</w:t>
      </w:r>
    </w:p>
    <w:p>
      <w:pPr>
        <w:pStyle w:val="31"/>
        <w:spacing w:line="558" w:lineRule="exact"/>
        <w:ind w:firstLine="640"/>
      </w:pPr>
    </w:p>
    <w:p>
      <w:pPr>
        <w:pStyle w:val="74"/>
        <w:adjustRightInd/>
        <w:snapToGrid/>
        <w:spacing w:line="558" w:lineRule="exact"/>
        <w:rPr>
          <w:rFonts w:ascii="楷体_GB2312" w:eastAsia="楷体_GB2312"/>
          <w:color w:val="000000" w:themeColor="text1"/>
        </w:rPr>
      </w:pPr>
      <w:bookmarkStart w:id="818" w:name="_Toc64542253"/>
      <w:bookmarkStart w:id="819" w:name="_Toc58861243"/>
      <w:bookmarkStart w:id="820" w:name="_Toc30871"/>
      <w:bookmarkStart w:id="821" w:name="_Toc15041"/>
      <w:r>
        <w:rPr>
          <w:rFonts w:hint="eastAsia" w:ascii="楷体_GB2312" w:eastAsia="楷体_GB2312"/>
          <w:color w:val="000000" w:themeColor="text1"/>
        </w:rPr>
        <w:t>第三节  积极发展现代都市文化</w:t>
      </w:r>
      <w:bookmarkEnd w:id="818"/>
      <w:bookmarkEnd w:id="819"/>
      <w:bookmarkEnd w:id="820"/>
      <w:bookmarkEnd w:id="821"/>
    </w:p>
    <w:p>
      <w:pPr>
        <w:pStyle w:val="2"/>
        <w:spacing w:after="0" w:line="558" w:lineRule="exact"/>
        <w:ind w:firstLine="640" w:firstLineChars="200"/>
        <w:rPr>
          <w:rFonts w:ascii="仿宋_GB2312" w:eastAsia="仿宋_GB2312"/>
          <w:color w:val="000000" w:themeColor="text1"/>
          <w:kern w:val="0"/>
        </w:rPr>
      </w:pPr>
    </w:p>
    <w:p>
      <w:pPr>
        <w:pStyle w:val="2"/>
        <w:spacing w:after="0" w:line="558" w:lineRule="exact"/>
        <w:ind w:firstLine="640" w:firstLineChars="200"/>
        <w:rPr>
          <w:rFonts w:ascii="仿宋_GB2312" w:eastAsia="仿宋_GB2312"/>
          <w:color w:val="000000" w:themeColor="text1"/>
          <w:kern w:val="0"/>
        </w:rPr>
      </w:pPr>
      <w:r>
        <w:rPr>
          <w:rFonts w:hint="eastAsia" w:ascii="仿宋_GB2312" w:eastAsia="仿宋_GB2312"/>
          <w:color w:val="000000" w:themeColor="text1"/>
          <w:kern w:val="0"/>
        </w:rPr>
        <w:t>加快打造开放多元、兼容并蓄、动感时尚的现代都市文化形象，塑造国际水准、省会特质、时代风尚城市面貌。依托“一江两岸</w:t>
      </w:r>
      <w:r>
        <w:rPr>
          <w:rFonts w:ascii="仿宋_GB2312" w:eastAsia="仿宋_GB2312"/>
          <w:color w:val="000000" w:themeColor="text1"/>
          <w:kern w:val="0"/>
        </w:rPr>
        <w:t>灯光秀</w:t>
      </w:r>
      <w:r>
        <w:rPr>
          <w:rFonts w:hint="eastAsia" w:ascii="仿宋_GB2312" w:eastAsia="仿宋_GB2312"/>
          <w:color w:val="000000" w:themeColor="text1"/>
          <w:kern w:val="0"/>
        </w:rPr>
        <w:t>”，沿赣江两岸建设一批多元文化交汇融合的都市文化新地标。积极举办</w:t>
      </w:r>
      <w:r>
        <w:rPr>
          <w:rFonts w:ascii="仿宋_GB2312" w:eastAsia="仿宋_GB2312"/>
          <w:color w:val="000000" w:themeColor="text1"/>
          <w:kern w:val="0"/>
        </w:rPr>
        <w:t>时尚产品论坛</w:t>
      </w:r>
      <w:r>
        <w:rPr>
          <w:rFonts w:hint="eastAsia" w:ascii="仿宋_GB2312" w:eastAsia="仿宋_GB2312"/>
          <w:color w:val="000000" w:themeColor="text1"/>
          <w:kern w:val="0"/>
        </w:rPr>
        <w:t>、时尚设计大赛等</w:t>
      </w:r>
      <w:r>
        <w:rPr>
          <w:rFonts w:ascii="仿宋_GB2312" w:eastAsia="仿宋_GB2312"/>
          <w:color w:val="000000" w:themeColor="text1"/>
          <w:kern w:val="0"/>
        </w:rPr>
        <w:t>品牌活动</w:t>
      </w:r>
      <w:r>
        <w:rPr>
          <w:rFonts w:hint="eastAsia" w:ascii="仿宋_GB2312" w:eastAsia="仿宋_GB2312"/>
          <w:color w:val="000000" w:themeColor="text1"/>
          <w:kern w:val="0"/>
        </w:rPr>
        <w:t>。加快太酷云介时尚产业园二期工程等</w:t>
      </w:r>
      <w:r>
        <w:rPr>
          <w:rFonts w:ascii="仿宋_GB2312" w:eastAsia="仿宋_GB2312"/>
          <w:color w:val="000000" w:themeColor="text1"/>
          <w:kern w:val="0"/>
        </w:rPr>
        <w:t>时尚载体建设</w:t>
      </w:r>
      <w:r>
        <w:rPr>
          <w:rFonts w:hint="eastAsia" w:ascii="仿宋_GB2312" w:eastAsia="仿宋_GB2312"/>
          <w:color w:val="000000" w:themeColor="text1"/>
          <w:kern w:val="0"/>
        </w:rPr>
        <w:t>。</w:t>
      </w:r>
      <w:r>
        <w:rPr>
          <w:rFonts w:ascii="仿宋_GB2312" w:eastAsia="仿宋_GB2312"/>
          <w:color w:val="000000" w:themeColor="text1"/>
          <w:kern w:val="0"/>
        </w:rPr>
        <w:t>积极发展多元时尚文化艺术样式，推出一批能够代表</w:t>
      </w:r>
      <w:r>
        <w:rPr>
          <w:rFonts w:hint="eastAsia" w:ascii="仿宋_GB2312" w:eastAsia="仿宋_GB2312"/>
          <w:color w:val="000000" w:themeColor="text1"/>
          <w:kern w:val="0"/>
        </w:rPr>
        <w:t>南昌</w:t>
      </w:r>
      <w:r>
        <w:rPr>
          <w:rFonts w:ascii="仿宋_GB2312" w:eastAsia="仿宋_GB2312"/>
          <w:color w:val="000000" w:themeColor="text1"/>
          <w:kern w:val="0"/>
        </w:rPr>
        <w:t>时尚文化特色的艺术、音乐、文学作品以及动漫游戏等精品力作。</w:t>
      </w:r>
      <w:r>
        <w:rPr>
          <w:rFonts w:hint="eastAsia" w:ascii="仿宋_GB2312" w:eastAsia="仿宋_GB2312"/>
          <w:kern w:val="0"/>
        </w:rPr>
        <w:t>规范发展街头艺人工作。</w:t>
      </w:r>
      <w:r>
        <w:rPr>
          <w:rFonts w:hint="eastAsia" w:ascii="仿宋_GB2312" w:eastAsia="仿宋_GB2312"/>
          <w:color w:val="000000" w:themeColor="text1"/>
          <w:kern w:val="0"/>
        </w:rPr>
        <w:t>聚焦青年潮流文化发展，创建一批潮流品牌，积极举办国际军乐节、全国性动漫节、音乐节和电子竞技赛事等活动，建设青年友好城市。</w:t>
      </w:r>
    </w:p>
    <w:p>
      <w:pPr>
        <w:pStyle w:val="31"/>
        <w:spacing w:line="558" w:lineRule="exact"/>
        <w:ind w:firstLine="640"/>
        <w:rPr>
          <w:rFonts w:ascii="仿宋_GB2312"/>
          <w:color w:val="000000" w:themeColor="text1"/>
          <w:kern w:val="0"/>
        </w:rPr>
      </w:pPr>
    </w:p>
    <w:p>
      <w:pPr>
        <w:pStyle w:val="74"/>
        <w:adjustRightInd/>
        <w:snapToGrid/>
        <w:spacing w:line="558" w:lineRule="exact"/>
        <w:rPr>
          <w:rFonts w:ascii="楷体_GB2312" w:eastAsia="楷体_GB2312"/>
          <w:color w:val="000000" w:themeColor="text1"/>
        </w:rPr>
      </w:pPr>
      <w:bookmarkStart w:id="822" w:name="_Toc58861244"/>
      <w:bookmarkStart w:id="823" w:name="_Toc64542254"/>
      <w:bookmarkStart w:id="824" w:name="_Toc20118"/>
      <w:bookmarkStart w:id="825" w:name="_Toc14199"/>
      <w:r>
        <w:rPr>
          <w:rFonts w:hint="eastAsia" w:ascii="楷体_GB2312" w:eastAsia="楷体_GB2312"/>
          <w:color w:val="000000" w:themeColor="text1"/>
        </w:rPr>
        <w:t>第四节  创新文化传播和交流</w:t>
      </w:r>
      <w:bookmarkEnd w:id="822"/>
      <w:bookmarkEnd w:id="823"/>
      <w:bookmarkEnd w:id="824"/>
      <w:bookmarkEnd w:id="825"/>
    </w:p>
    <w:bookmarkEnd w:id="816"/>
    <w:bookmarkEnd w:id="817"/>
    <w:p>
      <w:pPr>
        <w:spacing w:line="558" w:lineRule="exact"/>
        <w:ind w:firstLine="640"/>
        <w:rPr>
          <w:rFonts w:ascii="仿宋_GB2312" w:eastAsia="仿宋_GB2312"/>
          <w:color w:val="000000" w:themeColor="text1"/>
          <w:kern w:val="0"/>
        </w:rPr>
      </w:pPr>
      <w:bookmarkStart w:id="826" w:name="_Toc57279573"/>
      <w:bookmarkStart w:id="827" w:name="_Toc57195787"/>
      <w:bookmarkStart w:id="828" w:name="_Toc57194326"/>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完善“南昌全媒体中心”和县级融媒体中心功能，策划重大文化主题网络宣传。打造一批新型主流媒体，讲好南昌故事，传播南昌好声音。推动文化交流与合作，通过文艺展演、影视出版、媒体传播、旅游推广、学术教育等方式，构建优秀传统文化传播交流合作完整体系。主动加强与长江中游城市群文化合作交流，共建文化交流、学术研讨平台。大力发展对外文化贸易，让更多南昌文化产品走向国际市场。</w:t>
      </w:r>
    </w:p>
    <w:p>
      <w:pPr>
        <w:pStyle w:val="31"/>
        <w:spacing w:line="558" w:lineRule="exact"/>
        <w:ind w:firstLine="640"/>
      </w:pPr>
    </w:p>
    <w:p>
      <w:pPr>
        <w:pStyle w:val="23"/>
        <w:adjustRightInd/>
        <w:snapToGrid/>
        <w:spacing w:line="558" w:lineRule="exact"/>
        <w:ind w:firstLine="641"/>
        <w:rPr>
          <w:b w:val="0"/>
          <w:color w:val="000000" w:themeColor="text1"/>
        </w:rPr>
      </w:pPr>
      <w:bookmarkStart w:id="829" w:name="_Toc58861245"/>
      <w:bookmarkStart w:id="830" w:name="_Toc19202"/>
      <w:bookmarkStart w:id="831" w:name="_Toc8425"/>
      <w:bookmarkStart w:id="832" w:name="_Toc64542255"/>
      <w:r>
        <w:rPr>
          <w:rFonts w:hint="eastAsia"/>
          <w:b w:val="0"/>
          <w:color w:val="000000" w:themeColor="text1"/>
        </w:rPr>
        <w:t>第四十一章  提升公共文化服务水平</w:t>
      </w:r>
      <w:bookmarkEnd w:id="826"/>
      <w:bookmarkEnd w:id="827"/>
      <w:bookmarkEnd w:id="828"/>
      <w:bookmarkEnd w:id="829"/>
      <w:bookmarkEnd w:id="830"/>
      <w:bookmarkEnd w:id="831"/>
      <w:bookmarkEnd w:id="832"/>
    </w:p>
    <w:p>
      <w:pPr>
        <w:spacing w:line="558" w:lineRule="exact"/>
        <w:ind w:firstLine="640"/>
        <w:rPr>
          <w:rFonts w:ascii="仿宋_GB2312" w:eastAsia="仿宋_GB2312"/>
          <w:color w:val="000000" w:themeColor="text1"/>
          <w:kern w:val="0"/>
        </w:rPr>
      </w:pPr>
      <w:bookmarkStart w:id="833" w:name="_Toc57195788"/>
      <w:bookmarkStart w:id="834" w:name="_Toc57194327"/>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完善公共文化设施建设，增强文化供给，改进服务方式，深入推进文化体制改革，推动文化服务与群众需求有效对接，创建国家公共文化服务体系示范区。</w:t>
      </w:r>
    </w:p>
    <w:p>
      <w:pPr>
        <w:pStyle w:val="31"/>
        <w:spacing w:line="558" w:lineRule="exact"/>
        <w:ind w:firstLine="640"/>
      </w:pPr>
    </w:p>
    <w:p>
      <w:pPr>
        <w:pStyle w:val="74"/>
        <w:adjustRightInd/>
        <w:snapToGrid/>
        <w:spacing w:line="558" w:lineRule="exact"/>
        <w:rPr>
          <w:rFonts w:ascii="楷体_GB2312" w:eastAsia="楷体_GB2312"/>
          <w:color w:val="000000" w:themeColor="text1"/>
        </w:rPr>
      </w:pPr>
      <w:bookmarkStart w:id="835" w:name="_Toc490"/>
      <w:bookmarkStart w:id="836" w:name="_Toc58861246"/>
      <w:bookmarkStart w:id="837" w:name="_Toc64542256"/>
      <w:bookmarkStart w:id="838" w:name="_Toc57279574"/>
      <w:bookmarkStart w:id="839" w:name="_Toc29134"/>
      <w:r>
        <w:rPr>
          <w:rFonts w:hint="eastAsia" w:ascii="楷体_GB2312" w:eastAsia="楷体_GB2312"/>
          <w:color w:val="000000" w:themeColor="text1"/>
        </w:rPr>
        <w:t>第一节  完善公共文化设施</w:t>
      </w:r>
      <w:bookmarkEnd w:id="833"/>
      <w:bookmarkEnd w:id="834"/>
      <w:bookmarkEnd w:id="835"/>
      <w:bookmarkEnd w:id="836"/>
      <w:bookmarkEnd w:id="837"/>
      <w:bookmarkEnd w:id="838"/>
      <w:bookmarkEnd w:id="839"/>
    </w:p>
    <w:p>
      <w:pPr>
        <w:spacing w:line="558" w:lineRule="exact"/>
        <w:ind w:firstLine="640"/>
        <w:rPr>
          <w:rFonts w:ascii="仿宋_GB2312" w:eastAsia="仿宋_GB2312"/>
          <w:color w:val="000000" w:themeColor="text1"/>
          <w:kern w:val="0"/>
        </w:rPr>
      </w:pPr>
      <w:bookmarkStart w:id="840" w:name="_Toc57195789"/>
      <w:bookmarkStart w:id="841" w:name="_Toc57194328"/>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实施文化设施建设提升工程，着力优化全市文艺演出场所布局，高标准规划建设南昌大剧院，筹建南昌音乐厅，统筹推进县区文化中心建设。建设一批城市文化公园、社区文化中心、农村文化礼堂、网上文化家园、企业文化俱乐部和特色文化小镇，进一步推动公共文化资源向城乡基层、企业延伸，实现基本公共文化服务设施全覆盖。支持民间博物馆、美术馆和展览馆建设，构建多元主体参与的公共文化共建共享服务网络。着力推进图书馆流动化服务，推动在重点区域、场所设立图书大篷车、24小时城市书房。推进文化设施数字化、智能化。实施</w:t>
      </w:r>
      <w:r>
        <w:rPr>
          <w:rFonts w:ascii="仿宋_GB2312" w:eastAsia="仿宋_GB2312"/>
          <w:color w:val="000000" w:themeColor="text1"/>
          <w:kern w:val="0"/>
        </w:rPr>
        <w:t>公共文化</w:t>
      </w:r>
      <w:r>
        <w:rPr>
          <w:rFonts w:hint="eastAsia" w:ascii="仿宋_GB2312" w:eastAsia="仿宋_GB2312"/>
          <w:color w:val="000000" w:themeColor="text1"/>
          <w:kern w:val="0"/>
        </w:rPr>
        <w:t>场馆</w:t>
      </w:r>
      <w:r>
        <w:rPr>
          <w:rFonts w:ascii="仿宋_GB2312" w:eastAsia="仿宋_GB2312"/>
          <w:color w:val="000000" w:themeColor="text1"/>
          <w:kern w:val="0"/>
        </w:rPr>
        <w:t>免费错时开放</w:t>
      </w:r>
      <w:r>
        <w:rPr>
          <w:rFonts w:hint="eastAsia" w:ascii="仿宋_GB2312" w:eastAsia="仿宋_GB2312"/>
          <w:color w:val="000000" w:themeColor="text1"/>
          <w:kern w:val="0"/>
        </w:rPr>
        <w:t>、</w:t>
      </w:r>
      <w:r>
        <w:rPr>
          <w:rFonts w:ascii="仿宋_GB2312" w:eastAsia="仿宋_GB2312"/>
          <w:color w:val="000000" w:themeColor="text1"/>
          <w:kern w:val="0"/>
        </w:rPr>
        <w:t>大型体育场馆免费或低收费开放。</w:t>
      </w:r>
      <w:bookmarkStart w:id="842" w:name="_Toc58861247"/>
      <w:bookmarkStart w:id="843" w:name="_Toc57279575"/>
    </w:p>
    <w:p>
      <w:pPr>
        <w:pStyle w:val="31"/>
        <w:spacing w:line="558" w:lineRule="exact"/>
        <w:ind w:firstLine="640"/>
      </w:pPr>
    </w:p>
    <w:p>
      <w:pPr>
        <w:pStyle w:val="74"/>
        <w:adjustRightInd/>
        <w:snapToGrid/>
        <w:spacing w:line="558" w:lineRule="exact"/>
        <w:rPr>
          <w:rFonts w:ascii="楷体_GB2312" w:eastAsia="楷体_GB2312"/>
          <w:color w:val="000000" w:themeColor="text1"/>
        </w:rPr>
      </w:pPr>
      <w:bookmarkStart w:id="844" w:name="_Toc9044"/>
      <w:bookmarkStart w:id="845" w:name="_Toc4775"/>
      <w:bookmarkStart w:id="846" w:name="_Toc64542257"/>
      <w:r>
        <w:rPr>
          <w:rFonts w:hint="eastAsia" w:ascii="楷体_GB2312" w:eastAsia="楷体_GB2312"/>
          <w:color w:val="000000" w:themeColor="text1"/>
        </w:rPr>
        <w:t>第二节  提升优质公共文化产品供给</w:t>
      </w:r>
      <w:bookmarkEnd w:id="840"/>
      <w:bookmarkEnd w:id="841"/>
      <w:bookmarkEnd w:id="842"/>
      <w:bookmarkEnd w:id="843"/>
      <w:bookmarkEnd w:id="844"/>
      <w:bookmarkEnd w:id="845"/>
      <w:bookmarkEnd w:id="846"/>
    </w:p>
    <w:p>
      <w:pPr>
        <w:spacing w:line="558" w:lineRule="exact"/>
        <w:ind w:firstLine="640"/>
        <w:rPr>
          <w:rFonts w:ascii="仿宋_GB2312" w:eastAsia="仿宋_GB2312"/>
          <w:color w:val="000000" w:themeColor="text1"/>
          <w:kern w:val="0"/>
        </w:rPr>
      </w:pPr>
      <w:bookmarkStart w:id="847" w:name="_Toc57195790"/>
      <w:bookmarkStart w:id="848" w:name="_Toc57194329"/>
    </w:p>
    <w:p>
      <w:pPr>
        <w:spacing w:line="560" w:lineRule="exact"/>
        <w:ind w:firstLine="640"/>
        <w:rPr>
          <w:rFonts w:ascii="仿宋_GB2312" w:eastAsia="仿宋_GB2312"/>
          <w:color w:val="000000" w:themeColor="text1"/>
          <w:kern w:val="0"/>
        </w:rPr>
      </w:pPr>
      <w:r>
        <w:rPr>
          <w:rFonts w:hint="eastAsia" w:ascii="仿宋_GB2312" w:eastAsia="仿宋_GB2312"/>
          <w:color w:val="000000" w:themeColor="text1"/>
          <w:kern w:val="0"/>
        </w:rPr>
        <w:t>深入实施重大文化惠民工程，持续开展送书、送电影、送戏等文化下乡进社区和“书香洪城”全民阅读等公益性活动。组织开展群众性节日、民俗、农民工才艺展演等活动。推进南昌市公共文化服务平台（南昌文化云）建设，实现</w:t>
      </w:r>
      <w:r>
        <w:rPr>
          <w:rFonts w:ascii="仿宋_GB2312" w:eastAsia="仿宋_GB2312"/>
          <w:color w:val="000000" w:themeColor="text1"/>
          <w:kern w:val="0"/>
        </w:rPr>
        <w:t>公共数字文化服务网络</w:t>
      </w:r>
      <w:r>
        <w:rPr>
          <w:rFonts w:hint="eastAsia" w:ascii="仿宋_GB2312" w:eastAsia="仿宋_GB2312"/>
          <w:color w:val="000000" w:themeColor="text1"/>
          <w:kern w:val="0"/>
        </w:rPr>
        <w:t>全</w:t>
      </w:r>
      <w:r>
        <w:rPr>
          <w:rFonts w:ascii="仿宋_GB2312" w:eastAsia="仿宋_GB2312"/>
          <w:color w:val="000000" w:themeColor="text1"/>
          <w:kern w:val="0"/>
        </w:rPr>
        <w:t>覆盖。</w:t>
      </w:r>
      <w:r>
        <w:rPr>
          <w:rFonts w:hint="eastAsia" w:ascii="仿宋_GB2312" w:eastAsia="仿宋_GB2312"/>
          <w:color w:val="000000" w:themeColor="text1"/>
          <w:kern w:val="0"/>
        </w:rPr>
        <w:t>引导和支持文化企业生产质优价廉公共文化产品，满足群众多层次多样化文化需求。编制南昌“文化地图”，推动文化公共设施省市共享。</w:t>
      </w:r>
    </w:p>
    <w:p>
      <w:pPr>
        <w:pStyle w:val="31"/>
        <w:spacing w:line="560" w:lineRule="exact"/>
        <w:ind w:firstLine="640"/>
      </w:pPr>
    </w:p>
    <w:p>
      <w:pPr>
        <w:pStyle w:val="74"/>
        <w:adjustRightInd/>
        <w:snapToGrid/>
        <w:spacing w:line="580" w:lineRule="exact"/>
        <w:rPr>
          <w:rFonts w:ascii="楷体_GB2312" w:eastAsia="楷体_GB2312"/>
          <w:color w:val="000000" w:themeColor="text1"/>
        </w:rPr>
      </w:pPr>
      <w:bookmarkStart w:id="849" w:name="_Toc21029"/>
      <w:bookmarkStart w:id="850" w:name="_Toc32373"/>
      <w:bookmarkStart w:id="851" w:name="_Toc58861248"/>
      <w:bookmarkStart w:id="852" w:name="_Toc57279576"/>
      <w:bookmarkStart w:id="853" w:name="_Toc64542258"/>
      <w:r>
        <w:rPr>
          <w:rFonts w:hint="eastAsia" w:ascii="楷体_GB2312" w:eastAsia="楷体_GB2312"/>
          <w:color w:val="000000" w:themeColor="text1"/>
        </w:rPr>
        <w:t>第三节  深化文化体制改革</w:t>
      </w:r>
      <w:bookmarkEnd w:id="847"/>
      <w:bookmarkEnd w:id="848"/>
      <w:bookmarkEnd w:id="849"/>
      <w:bookmarkEnd w:id="850"/>
      <w:bookmarkEnd w:id="851"/>
      <w:bookmarkEnd w:id="852"/>
      <w:bookmarkEnd w:id="853"/>
    </w:p>
    <w:p>
      <w:pPr>
        <w:spacing w:line="560" w:lineRule="exact"/>
        <w:ind w:firstLine="616"/>
        <w:rPr>
          <w:rFonts w:ascii="仿宋_GB2312" w:eastAsia="仿宋_GB2312"/>
          <w:color w:val="000000" w:themeColor="text1"/>
          <w:spacing w:val="-6"/>
          <w:kern w:val="0"/>
        </w:rPr>
      </w:pPr>
      <w:bookmarkStart w:id="854" w:name="_Toc57195791"/>
      <w:bookmarkStart w:id="855" w:name="_Toc57194330"/>
    </w:p>
    <w:p>
      <w:pPr>
        <w:spacing w:line="560" w:lineRule="exact"/>
        <w:ind w:firstLine="640"/>
        <w:rPr>
          <w:rFonts w:ascii="仿宋_GB2312" w:eastAsia="仿宋_GB2312"/>
          <w:color w:val="000000" w:themeColor="text1"/>
          <w:kern w:val="0"/>
        </w:rPr>
      </w:pPr>
      <w:r>
        <w:rPr>
          <w:rFonts w:hint="eastAsia" w:ascii="仿宋_GB2312" w:eastAsia="仿宋_GB2312"/>
          <w:color w:val="000000" w:themeColor="text1"/>
          <w:kern w:val="0"/>
        </w:rPr>
        <w:t>完善国有文化资产管理体制机制，深化公益性文化事业单位改革，推进公共文化机构法人治理结构改革。分类推进市属文化企业改革，深化国有文化院团改革和院线制改革。建立健全基本公共文化服务标准化均等化建设评价机制，完善公共文化服务评价与群众文化需求反馈机制、公共文化机构绩效考评制度。鼓励各类力量参与公共文化设施建设运营，推进重大文化设施项目所有权与经营权分离，推广公建民营、公办民助、民办公助的文化场馆运营模式。加强文化产品创新传播引导，探索文艺运作新模式。完善文化市场综合执法机制。</w:t>
      </w:r>
    </w:p>
    <w:p>
      <w:pPr>
        <w:pStyle w:val="31"/>
        <w:autoSpaceDN/>
        <w:spacing w:line="560" w:lineRule="exact"/>
        <w:ind w:firstLine="616"/>
        <w:rPr>
          <w:rFonts w:ascii="仿宋_GB2312"/>
          <w:color w:val="000000" w:themeColor="text1"/>
          <w:spacing w:val="-6"/>
          <w:kern w:val="0"/>
        </w:rPr>
      </w:pPr>
    </w:p>
    <w:p>
      <w:pPr>
        <w:pStyle w:val="23"/>
        <w:adjustRightInd/>
        <w:snapToGrid/>
        <w:spacing w:line="560" w:lineRule="exact"/>
        <w:ind w:firstLine="641"/>
        <w:rPr>
          <w:b w:val="0"/>
          <w:color w:val="000000" w:themeColor="text1"/>
        </w:rPr>
      </w:pPr>
      <w:bookmarkStart w:id="856" w:name="_Toc22462"/>
      <w:bookmarkStart w:id="857" w:name="_Toc14761"/>
      <w:bookmarkStart w:id="858" w:name="_Toc58861249"/>
      <w:bookmarkStart w:id="859" w:name="_Toc57279577"/>
      <w:bookmarkStart w:id="860" w:name="_Toc64542259"/>
      <w:r>
        <w:rPr>
          <w:rFonts w:hint="eastAsia"/>
          <w:b w:val="0"/>
          <w:color w:val="000000" w:themeColor="text1"/>
        </w:rPr>
        <w:t>第四十二章  推动文化产业高质量发展</w:t>
      </w:r>
      <w:bookmarkEnd w:id="854"/>
      <w:bookmarkEnd w:id="855"/>
      <w:bookmarkEnd w:id="856"/>
      <w:bookmarkEnd w:id="857"/>
      <w:bookmarkEnd w:id="858"/>
      <w:bookmarkEnd w:id="859"/>
      <w:bookmarkEnd w:id="860"/>
    </w:p>
    <w:p>
      <w:pPr>
        <w:spacing w:line="560" w:lineRule="exact"/>
        <w:ind w:firstLine="640"/>
        <w:rPr>
          <w:rFonts w:ascii="仿宋_GB2312" w:eastAsia="仿宋_GB2312"/>
          <w:color w:val="000000" w:themeColor="text1"/>
          <w:kern w:val="0"/>
        </w:rPr>
      </w:pPr>
      <w:bookmarkStart w:id="861" w:name="_Toc57194331"/>
      <w:bookmarkStart w:id="862" w:name="_Toc57195792"/>
    </w:p>
    <w:p>
      <w:pPr>
        <w:spacing w:line="560" w:lineRule="exact"/>
        <w:ind w:firstLine="640"/>
        <w:rPr>
          <w:rFonts w:ascii="仿宋_GB2312" w:eastAsia="仿宋_GB2312"/>
          <w:color w:val="000000" w:themeColor="text1"/>
          <w:kern w:val="0"/>
        </w:rPr>
      </w:pPr>
      <w:r>
        <w:rPr>
          <w:rFonts w:hint="eastAsia" w:ascii="仿宋_GB2312" w:eastAsia="仿宋_GB2312"/>
          <w:color w:val="000000" w:themeColor="text1"/>
          <w:kern w:val="0"/>
        </w:rPr>
        <w:t>建立健全</w:t>
      </w:r>
      <w:r>
        <w:rPr>
          <w:rFonts w:ascii="仿宋_GB2312" w:eastAsia="仿宋_GB2312"/>
          <w:color w:val="000000" w:themeColor="text1"/>
          <w:kern w:val="0"/>
        </w:rPr>
        <w:t>现代文化产业体系和市场体系，推动各类文化市场主体发展壮大，培育新型文化业态，</w:t>
      </w:r>
      <w:r>
        <w:rPr>
          <w:rFonts w:hint="eastAsia" w:ascii="仿宋_GB2312" w:eastAsia="仿宋_GB2312"/>
          <w:color w:val="000000" w:themeColor="text1"/>
          <w:kern w:val="0"/>
        </w:rPr>
        <w:t>推动文化与数字、科技、旅游深度融合发展，开创文化产业发展新局面。</w:t>
      </w:r>
    </w:p>
    <w:p>
      <w:pPr>
        <w:pStyle w:val="74"/>
        <w:adjustRightInd/>
        <w:snapToGrid/>
        <w:spacing w:line="558" w:lineRule="exact"/>
        <w:rPr>
          <w:rFonts w:ascii="楷体_GB2312" w:eastAsia="楷体_GB2312"/>
          <w:color w:val="000000" w:themeColor="text1"/>
        </w:rPr>
      </w:pPr>
      <w:bookmarkStart w:id="863" w:name="_Toc57279578"/>
      <w:bookmarkStart w:id="864" w:name="_Toc28460"/>
      <w:bookmarkStart w:id="865" w:name="_Toc58861250"/>
      <w:bookmarkStart w:id="866" w:name="_Toc3897"/>
      <w:bookmarkStart w:id="867" w:name="_Toc64542260"/>
    </w:p>
    <w:p>
      <w:pPr>
        <w:pStyle w:val="74"/>
        <w:adjustRightInd/>
        <w:snapToGrid/>
        <w:spacing w:line="558" w:lineRule="exact"/>
        <w:rPr>
          <w:rFonts w:ascii="楷体_GB2312" w:eastAsia="楷体_GB2312"/>
          <w:color w:val="000000" w:themeColor="text1"/>
        </w:rPr>
      </w:pPr>
      <w:r>
        <w:rPr>
          <w:rFonts w:hint="eastAsia" w:ascii="楷体_GB2312" w:eastAsia="楷体_GB2312"/>
          <w:color w:val="000000" w:themeColor="text1"/>
        </w:rPr>
        <w:t>第一节  培育壮大文化市场主体</w:t>
      </w:r>
      <w:bookmarkEnd w:id="861"/>
      <w:bookmarkEnd w:id="862"/>
      <w:bookmarkEnd w:id="863"/>
      <w:bookmarkEnd w:id="864"/>
      <w:bookmarkEnd w:id="865"/>
      <w:bookmarkEnd w:id="866"/>
      <w:bookmarkEnd w:id="867"/>
    </w:p>
    <w:p>
      <w:pPr>
        <w:pStyle w:val="14"/>
        <w:spacing w:after="0" w:line="558" w:lineRule="exact"/>
        <w:ind w:left="0" w:leftChars="0" w:firstLine="640"/>
      </w:pPr>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实施骨干文化企业培育和引进工程，加快成立南昌文化产业发展投资公司，培育引进一批知名文化品牌、龙头企业和上市企业，加大支持“新技术、新业态、新模式”文化企业发展，支持孵化一批小微文化企业。降低社会资本准入门槛，积极鼓励引导非公有制和混合所有制文化企业发展，推动重点龙头文化企业跨地区跨行业跨所有制兼并重组，培育多层次文化消费供给主体。</w:t>
      </w:r>
    </w:p>
    <w:p>
      <w:pPr>
        <w:pStyle w:val="31"/>
        <w:spacing w:line="558" w:lineRule="exact"/>
        <w:ind w:firstLine="640"/>
      </w:pPr>
    </w:p>
    <w:p>
      <w:pPr>
        <w:pStyle w:val="74"/>
        <w:adjustRightInd/>
        <w:snapToGrid/>
        <w:spacing w:line="558" w:lineRule="exact"/>
        <w:rPr>
          <w:rFonts w:ascii="楷体_GB2312" w:eastAsia="楷体_GB2312"/>
          <w:color w:val="000000" w:themeColor="text1"/>
        </w:rPr>
      </w:pPr>
      <w:bookmarkStart w:id="868" w:name="_Toc64542261"/>
      <w:bookmarkStart w:id="869" w:name="_Toc58861252"/>
      <w:bookmarkStart w:id="870" w:name="_Toc4839"/>
      <w:bookmarkStart w:id="871" w:name="_Toc29233"/>
      <w:bookmarkStart w:id="872" w:name="_Toc57279580"/>
      <w:bookmarkStart w:id="873" w:name="_Toc57195794"/>
      <w:bookmarkStart w:id="874" w:name="_Toc57194333"/>
      <w:r>
        <w:rPr>
          <w:rFonts w:hint="eastAsia" w:ascii="楷体_GB2312" w:eastAsia="楷体_GB2312"/>
          <w:color w:val="000000" w:themeColor="text1"/>
        </w:rPr>
        <w:t>第二节  打造文化产业高地</w:t>
      </w:r>
      <w:bookmarkEnd w:id="868"/>
      <w:bookmarkEnd w:id="869"/>
      <w:bookmarkEnd w:id="870"/>
      <w:bookmarkEnd w:id="871"/>
      <w:bookmarkEnd w:id="872"/>
      <w:bookmarkEnd w:id="873"/>
      <w:bookmarkEnd w:id="874"/>
    </w:p>
    <w:p>
      <w:pPr>
        <w:spacing w:line="558" w:lineRule="exact"/>
        <w:ind w:firstLine="616"/>
        <w:rPr>
          <w:rFonts w:ascii="仿宋_GB2312" w:eastAsia="仿宋_GB2312"/>
          <w:color w:val="000000" w:themeColor="text1"/>
          <w:spacing w:val="-6"/>
          <w:kern w:val="0"/>
        </w:rPr>
      </w:pPr>
      <w:bookmarkStart w:id="875" w:name="_Toc57194334"/>
      <w:bookmarkStart w:id="876" w:name="_Toc57195795"/>
    </w:p>
    <w:p>
      <w:pPr>
        <w:spacing w:line="558" w:lineRule="exact"/>
        <w:ind w:firstLine="616"/>
        <w:rPr>
          <w:rFonts w:ascii="仿宋_GB2312" w:eastAsia="仿宋_GB2312"/>
          <w:color w:val="000000" w:themeColor="text1"/>
          <w:spacing w:val="-6"/>
          <w:kern w:val="0"/>
        </w:rPr>
      </w:pPr>
      <w:r>
        <w:rPr>
          <w:rFonts w:hint="eastAsia" w:ascii="仿宋_GB2312" w:eastAsia="仿宋_GB2312"/>
          <w:color w:val="000000" w:themeColor="text1"/>
          <w:spacing w:val="-6"/>
          <w:kern w:val="0"/>
        </w:rPr>
        <w:t>实施文化产业提升计划，高水平培育推动环鄱阳湖、沿沪昆高速、京九铁路文化创意产业带建设。</w:t>
      </w:r>
      <w:r>
        <w:rPr>
          <w:rFonts w:hint="eastAsia" w:eastAsia="仿宋_GB2312" w:cs="仿宋_GB2312"/>
          <w:color w:val="000000" w:themeColor="text1"/>
          <w:spacing w:val="-6"/>
          <w:szCs w:val="34"/>
        </w:rPr>
        <w:t>实施数字文化产业发展战略，培育新型文化业态，大力发展以内容和创意为核心的新兴文化产业</w:t>
      </w:r>
      <w:r>
        <w:rPr>
          <w:rFonts w:ascii="仿宋_GB2312" w:eastAsia="仿宋_GB2312"/>
          <w:color w:val="000000" w:themeColor="text1"/>
          <w:spacing w:val="-6"/>
          <w:kern w:val="0"/>
        </w:rPr>
        <w:t>。</w:t>
      </w:r>
      <w:bookmarkEnd w:id="875"/>
      <w:bookmarkEnd w:id="876"/>
      <w:r>
        <w:rPr>
          <w:rFonts w:hint="eastAsia" w:ascii="仿宋_GB2312" w:eastAsia="仿宋_GB2312"/>
          <w:color w:val="000000" w:themeColor="text1"/>
          <w:spacing w:val="-6"/>
          <w:kern w:val="0"/>
        </w:rPr>
        <w:t>鼓励企业利用老旧工业厂房、闲置建筑物打造文化创意产业园区，推动现有文化创意产业园区提质升级，加快园区公共服务平台建设。实施文化旅游提升工程，培育一批“5A”“4A”级景区，建设鄱阳湖世界级生态旅游示范目的地，打造“春看草、夏看水、秋看花、冬看鸟”景观片区。全面提升文化旅游融合内涵</w:t>
      </w:r>
      <w:r>
        <w:rPr>
          <w:rFonts w:ascii="仿宋_GB2312" w:eastAsia="仿宋_GB2312"/>
          <w:color w:val="000000" w:themeColor="text1"/>
          <w:spacing w:val="-6"/>
          <w:kern w:val="0"/>
        </w:rPr>
        <w:t>，</w:t>
      </w:r>
      <w:r>
        <w:rPr>
          <w:rFonts w:hint="eastAsia" w:ascii="仿宋_GB2312" w:eastAsia="仿宋_GB2312"/>
          <w:color w:val="000000" w:themeColor="text1"/>
          <w:spacing w:val="-6"/>
          <w:kern w:val="0"/>
        </w:rPr>
        <w:t>培育文化旅游核心</w:t>
      </w:r>
      <w:r>
        <w:rPr>
          <w:rFonts w:ascii="仿宋_GB2312" w:eastAsia="仿宋_GB2312"/>
          <w:color w:val="000000" w:themeColor="text1"/>
          <w:spacing w:val="-6"/>
          <w:kern w:val="0"/>
        </w:rPr>
        <w:t>IP</w:t>
      </w:r>
      <w:r>
        <w:rPr>
          <w:rFonts w:hint="eastAsia" w:ascii="仿宋_GB2312" w:eastAsia="仿宋_GB2312"/>
          <w:color w:val="000000" w:themeColor="text1"/>
          <w:spacing w:val="-6"/>
          <w:kern w:val="0"/>
        </w:rPr>
        <w:t>，建设一批优质文化旅游产品和精品文化</w:t>
      </w:r>
      <w:r>
        <w:rPr>
          <w:rFonts w:ascii="仿宋_GB2312" w:eastAsia="仿宋_GB2312"/>
          <w:color w:val="000000" w:themeColor="text1"/>
          <w:spacing w:val="-6"/>
          <w:kern w:val="0"/>
        </w:rPr>
        <w:t>旅游线路</w:t>
      </w:r>
      <w:r>
        <w:rPr>
          <w:rFonts w:hint="eastAsia" w:ascii="仿宋_GB2312" w:eastAsia="仿宋_GB2312"/>
          <w:color w:val="000000" w:themeColor="text1"/>
          <w:spacing w:val="-6"/>
          <w:kern w:val="0"/>
        </w:rPr>
        <w:t>。</w:t>
      </w:r>
    </w:p>
    <w:p>
      <w:pPr>
        <w:pStyle w:val="2"/>
        <w:ind w:firstLine="320"/>
      </w:pP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vAlign w:val="center"/>
          </w:tcPr>
          <w:p>
            <w:pPr>
              <w:pStyle w:val="52"/>
              <w:numPr>
                <w:ilvl w:val="0"/>
                <w:numId w:val="0"/>
              </w:numPr>
              <w:spacing w:after="0" w:line="360" w:lineRule="exact"/>
              <w:jc w:val="center"/>
              <w:rPr>
                <w:rFonts w:ascii="仿宋_GB2312" w:eastAsia="仿宋_GB2312"/>
                <w:b/>
                <w:color w:val="000000" w:themeColor="text1"/>
                <w:sz w:val="28"/>
                <w:szCs w:val="28"/>
              </w:rPr>
            </w:pPr>
            <w:r>
              <w:rPr>
                <w:rFonts w:hint="eastAsia" w:ascii="黑体" w:hAnsi="黑体" w:eastAsia="黑体" w:cs="黑体"/>
                <w:bCs/>
                <w:color w:val="000000" w:themeColor="text1"/>
                <w:sz w:val="28"/>
                <w:szCs w:val="28"/>
              </w:rPr>
              <w:t>专栏32：文化强市建设重大工程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pStyle w:val="50"/>
              <w:spacing w:line="400" w:lineRule="exact"/>
              <w:ind w:firstLine="482"/>
              <w:rPr>
                <w:rFonts w:ascii="仿宋_GB2312" w:eastAsia="仿宋_GB2312" w:hAnsiTheme="minorHAnsi" w:cstheme="minorBidi"/>
                <w:b/>
                <w:bCs/>
                <w:color w:val="000000" w:themeColor="text1"/>
                <w:kern w:val="0"/>
                <w:sz w:val="24"/>
                <w:szCs w:val="24"/>
              </w:rPr>
            </w:pPr>
            <w:r>
              <w:rPr>
                <w:rFonts w:hint="eastAsia" w:ascii="仿宋_GB2312" w:eastAsia="仿宋_GB2312" w:hAnsiTheme="minorHAnsi" w:cstheme="minorBidi"/>
                <w:b/>
                <w:bCs/>
                <w:color w:val="000000" w:themeColor="text1"/>
                <w:kern w:val="0"/>
                <w:sz w:val="24"/>
                <w:szCs w:val="24"/>
              </w:rPr>
              <w:t>（</w:t>
            </w:r>
            <w:r>
              <w:rPr>
                <w:rFonts w:hint="eastAsia" w:ascii="仿宋_GB2312" w:eastAsia="仿宋_GB2312"/>
                <w:b/>
                <w:bCs/>
                <w:color w:val="000000" w:themeColor="text1"/>
                <w:kern w:val="0"/>
                <w:sz w:val="24"/>
                <w:szCs w:val="21"/>
              </w:rPr>
              <w:t>一）</w:t>
            </w:r>
            <w:r>
              <w:rPr>
                <w:rFonts w:hint="eastAsia" w:ascii="仿宋_GB2312" w:eastAsia="仿宋_GB2312" w:hAnsiTheme="minorHAnsi" w:cstheme="minorBidi"/>
                <w:b/>
                <w:bCs/>
                <w:color w:val="000000" w:themeColor="text1"/>
                <w:kern w:val="0"/>
                <w:sz w:val="24"/>
                <w:szCs w:val="24"/>
              </w:rPr>
              <w:t>红色基因传承工程</w:t>
            </w:r>
          </w:p>
          <w:p>
            <w:pPr>
              <w:pStyle w:val="50"/>
              <w:spacing w:line="400" w:lineRule="exact"/>
              <w:ind w:firstLineChars="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围绕八一南昌起义旧址、方志敏烈士纪念园、新四军军部旧址陈列馆、中共中央东南分局旧址、小平小道等，策划推出一批红色重大主题教育、研学和文化体验为主题的作品、展览等红色经典项目。系统整理发生在红土地上的革命先烈事迹，持续深入开展诵读红色家书和宣介红色经典故事等主题教育活动。</w:t>
            </w:r>
          </w:p>
          <w:p>
            <w:pPr>
              <w:pStyle w:val="50"/>
              <w:spacing w:line="400" w:lineRule="exact"/>
              <w:ind w:firstLine="482"/>
              <w:rPr>
                <w:rFonts w:ascii="仿宋_GB2312" w:eastAsia="仿宋_GB2312" w:hAnsiTheme="minorHAnsi" w:cstheme="minorBidi"/>
                <w:b/>
                <w:bCs/>
                <w:color w:val="000000" w:themeColor="text1"/>
                <w:kern w:val="0"/>
                <w:sz w:val="24"/>
                <w:szCs w:val="24"/>
              </w:rPr>
            </w:pPr>
            <w:r>
              <w:rPr>
                <w:rFonts w:hint="eastAsia" w:ascii="仿宋_GB2312" w:eastAsia="仿宋_GB2312" w:hAnsiTheme="minorHAnsi" w:cstheme="minorBidi"/>
                <w:b/>
                <w:bCs/>
                <w:color w:val="000000" w:themeColor="text1"/>
                <w:kern w:val="0"/>
                <w:sz w:val="24"/>
                <w:szCs w:val="24"/>
              </w:rPr>
              <w:t>（二）传统文化传承工程</w:t>
            </w:r>
          </w:p>
          <w:p>
            <w:pPr>
              <w:pStyle w:val="50"/>
              <w:spacing w:line="400" w:lineRule="exact"/>
              <w:ind w:firstLineChars="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推进南昌历史文化研究工程，加强对南昌地域文化的梳理研究和历史文献的整理编纂，建立南昌历史文化资源大数据库；加强对南昌历史名人研究和宣传，开展学术研讨和纪念活动。实施非遗活化保护发扬工程，组织开展非物质文化遗产濒危项目普查和传统工艺保护活动，广泛开展非物质文化遗产展示展演、代表性传承人培训、非遗“六进”等活动。实施优秀传统文化传播工程，鼓励开展文艺精品创作，挖掘南昌优秀历史文化内涵，推出一批优秀文艺作品。</w:t>
            </w:r>
          </w:p>
          <w:p>
            <w:pPr>
              <w:pStyle w:val="50"/>
              <w:spacing w:line="400" w:lineRule="exact"/>
              <w:ind w:firstLine="482"/>
              <w:rPr>
                <w:rFonts w:ascii="仿宋_GB2312" w:eastAsia="仿宋_GB2312" w:hAnsiTheme="minorHAnsi" w:cstheme="minorBidi"/>
                <w:b/>
                <w:bCs/>
                <w:color w:val="000000" w:themeColor="text1"/>
                <w:kern w:val="0"/>
                <w:sz w:val="24"/>
                <w:szCs w:val="24"/>
              </w:rPr>
            </w:pPr>
            <w:r>
              <w:rPr>
                <w:rFonts w:hint="eastAsia" w:ascii="仿宋_GB2312" w:eastAsia="仿宋_GB2312" w:hAnsiTheme="minorHAnsi" w:cstheme="minorBidi"/>
                <w:b/>
                <w:bCs/>
                <w:color w:val="000000" w:themeColor="text1"/>
                <w:kern w:val="0"/>
                <w:sz w:val="24"/>
                <w:szCs w:val="24"/>
              </w:rPr>
              <w:t>（三）文化街区（园区）打造工程</w:t>
            </w:r>
          </w:p>
          <w:p>
            <w:pPr>
              <w:pStyle w:val="50"/>
              <w:spacing w:line="400" w:lineRule="exact"/>
              <w:ind w:firstLineChars="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大力推进万寿宫历史文化街区、绳金塔历史文化街区、进贤仓历史文化街区、百花洲文化艺术街区、八大山人梅湖·象湖旅游街区、李渡烧酒文化与渡口文化街区建设，着力优化699文化创意园、樟树林文化生活公园，打造集城市形象展示、社交休闲、餐饮娱乐于一体的大型综合性历史文化片区。</w:t>
            </w:r>
          </w:p>
          <w:p>
            <w:pPr>
              <w:pStyle w:val="50"/>
              <w:spacing w:line="400" w:lineRule="exact"/>
              <w:ind w:firstLine="482"/>
              <w:rPr>
                <w:rFonts w:ascii="仿宋_GB2312" w:eastAsia="仿宋_GB2312" w:hAnsiTheme="minorHAnsi" w:cstheme="minorBidi"/>
                <w:b/>
                <w:bCs/>
                <w:color w:val="000000" w:themeColor="text1"/>
                <w:kern w:val="0"/>
                <w:sz w:val="24"/>
                <w:szCs w:val="24"/>
              </w:rPr>
            </w:pPr>
            <w:r>
              <w:rPr>
                <w:rFonts w:hint="eastAsia" w:ascii="仿宋_GB2312" w:eastAsia="仿宋_GB2312" w:hAnsiTheme="minorHAnsi" w:cstheme="minorBidi"/>
                <w:b/>
                <w:bCs/>
                <w:color w:val="000000" w:themeColor="text1"/>
                <w:kern w:val="0"/>
                <w:sz w:val="24"/>
                <w:szCs w:val="24"/>
              </w:rPr>
              <w:t>（四）文化设施建设工程</w:t>
            </w:r>
          </w:p>
          <w:p>
            <w:pPr>
              <w:pStyle w:val="50"/>
              <w:spacing w:line="400" w:lineRule="exact"/>
              <w:ind w:firstLineChars="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规划建设南昌大剧院，筹建南昌音乐厅，提升改造井冈山剧院、胜利剧场。新建南昌市档案馆、方志馆、党史馆、汽车博物馆、航空博物馆、医疗博物馆、桐青工艺博物馆、王阳明纪念馆、傅抱石艺术馆（纪念馆）、吴齐美术馆等一批文化设施，推进喻嘉言纪念馆筹建，优化革命旧址和红色场馆周边环境。推进南昌县文化中心、红谷滩区文化中心、安义县文化中心等县区公共文化设施和北京大学江西分校纪念基地、清华大学江西试验农场纪念基地建设。</w:t>
            </w:r>
          </w:p>
          <w:p>
            <w:pPr>
              <w:pStyle w:val="50"/>
              <w:spacing w:line="400" w:lineRule="exact"/>
              <w:ind w:firstLine="482"/>
              <w:rPr>
                <w:rFonts w:ascii="仿宋_GB2312" w:eastAsia="仿宋_GB2312" w:hAnsiTheme="minorHAnsi" w:cstheme="minorBidi"/>
                <w:b/>
                <w:bCs/>
                <w:color w:val="000000" w:themeColor="text1"/>
                <w:kern w:val="0"/>
                <w:sz w:val="24"/>
                <w:szCs w:val="24"/>
              </w:rPr>
            </w:pPr>
            <w:r>
              <w:rPr>
                <w:rFonts w:hint="eastAsia" w:ascii="仿宋_GB2312" w:eastAsia="仿宋_GB2312" w:hAnsiTheme="minorHAnsi" w:cstheme="minorBidi"/>
                <w:b/>
                <w:bCs/>
                <w:color w:val="000000" w:themeColor="text1"/>
                <w:kern w:val="0"/>
                <w:sz w:val="24"/>
                <w:szCs w:val="24"/>
              </w:rPr>
              <w:t>（五）文化产业提质工程</w:t>
            </w:r>
          </w:p>
          <w:p>
            <w:pPr>
              <w:pStyle w:val="50"/>
              <w:spacing w:line="400" w:lineRule="exact"/>
              <w:ind w:firstLine="48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重点发展数字传媒、动漫游戏、工艺美术、文化创意设计、广告会展、出版印刷和智慧信息等数字文化产业。加强产业支撑平台建设，打造一批文创项目孵化、文创产品交易、文化产业服务等平台，引进优质文创孵化公司落户。</w:t>
            </w:r>
          </w:p>
          <w:p>
            <w:pPr>
              <w:pStyle w:val="50"/>
              <w:spacing w:line="400" w:lineRule="exact"/>
              <w:ind w:firstLine="482"/>
              <w:rPr>
                <w:rFonts w:ascii="仿宋_GB2312" w:eastAsia="仿宋_GB2312" w:hAnsiTheme="minorHAnsi" w:cstheme="minorBidi"/>
                <w:b/>
                <w:bCs/>
                <w:color w:val="000000" w:themeColor="text1"/>
                <w:kern w:val="0"/>
                <w:sz w:val="24"/>
                <w:szCs w:val="24"/>
              </w:rPr>
            </w:pPr>
            <w:r>
              <w:rPr>
                <w:rFonts w:hint="eastAsia" w:ascii="仿宋_GB2312" w:eastAsia="仿宋_GB2312" w:hAnsiTheme="minorHAnsi" w:cstheme="minorBidi"/>
                <w:b/>
                <w:bCs/>
                <w:color w:val="000000" w:themeColor="text1"/>
                <w:kern w:val="0"/>
                <w:sz w:val="24"/>
                <w:szCs w:val="24"/>
              </w:rPr>
              <w:t>（六）文化旅游提升工程</w:t>
            </w:r>
          </w:p>
          <w:p>
            <w:pPr>
              <w:pStyle w:val="50"/>
              <w:spacing w:line="400" w:lineRule="exact"/>
              <w:ind w:firstLine="482"/>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b/>
                <w:bCs/>
                <w:color w:val="000000" w:themeColor="text1"/>
                <w:kern w:val="0"/>
                <w:sz w:val="24"/>
                <w:szCs w:val="24"/>
              </w:rPr>
              <w:t>1.旅游景区创建工程。</w:t>
            </w:r>
            <w:r>
              <w:rPr>
                <w:rFonts w:hint="eastAsia" w:ascii="仿宋_GB2312" w:eastAsia="仿宋_GB2312" w:hAnsiTheme="minorHAnsi" w:cstheme="minorBidi"/>
                <w:color w:val="000000" w:themeColor="text1"/>
                <w:kern w:val="0"/>
                <w:sz w:val="24"/>
                <w:szCs w:val="24"/>
              </w:rPr>
              <w:t>强化“天下英雄城”品牌形象，推动打造“北有海昏侯、中有滕王阁、南有八大山人”文化之城。完善文化旅游发展支撑体系，将湾里都市山水田园文化休闲度假区建设成为国家级旅游度假区和全域旅游示范区，将八大山人梅湖·象湖城市开放型景区、汉代海昏侯国遗址公园、安义古村群和万寿宫历史文化街区建设成为国家5A级旅游景区；创建小平小道、南昌军事主题公园、绳金塔、原城纪、南矶山等一批4A级景区。</w:t>
            </w:r>
          </w:p>
          <w:p>
            <w:pPr>
              <w:pStyle w:val="50"/>
              <w:spacing w:line="400" w:lineRule="exact"/>
              <w:ind w:firstLine="482"/>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b/>
                <w:bCs/>
                <w:color w:val="000000" w:themeColor="text1"/>
                <w:kern w:val="0"/>
                <w:sz w:val="24"/>
                <w:szCs w:val="24"/>
              </w:rPr>
              <w:t>2.旅游产品路线开发工程。</w:t>
            </w:r>
            <w:r>
              <w:rPr>
                <w:rFonts w:hint="eastAsia" w:ascii="仿宋_GB2312" w:eastAsia="仿宋_GB2312" w:hAnsiTheme="minorHAnsi" w:cstheme="minorBidi"/>
                <w:color w:val="000000" w:themeColor="text1"/>
                <w:kern w:val="0"/>
                <w:sz w:val="24"/>
                <w:szCs w:val="24"/>
              </w:rPr>
              <w:t>支持举办各种特色节庆活动，做强“寻梦滕王阁”大型实景演出品牌，打造文旅活动品牌。开发红色研学、乡村民宿、自驾露营等专题旅游产品。全力推出“滕王阁-西山万寿宫-汪山土库-海昏侯国遗址公园-安义古村-鄱阳湖·南矶山”“最南昌”国际精品旅游线路。</w:t>
            </w:r>
          </w:p>
          <w:p>
            <w:pPr>
              <w:spacing w:line="400" w:lineRule="exact"/>
              <w:ind w:firstLineChars="0"/>
              <w:rPr>
                <w:rFonts w:ascii="仿宋_GB2312" w:eastAsia="仿宋_GB2312"/>
                <w:color w:val="000000" w:themeColor="text1"/>
                <w:kern w:val="0"/>
                <w:sz w:val="24"/>
              </w:rPr>
            </w:pPr>
            <w:r>
              <w:rPr>
                <w:rFonts w:hint="eastAsia" w:ascii="仿宋_GB2312" w:eastAsia="仿宋_GB2312"/>
                <w:b/>
                <w:bCs/>
                <w:color w:val="000000" w:themeColor="text1"/>
                <w:kern w:val="0"/>
                <w:sz w:val="24"/>
              </w:rPr>
              <w:t>3.</w:t>
            </w:r>
            <w:r>
              <w:rPr>
                <w:rFonts w:hint="eastAsia" w:ascii="仿宋_GB2312" w:hAnsi="仿宋" w:eastAsia="仿宋_GB2312" w:cs="仿宋"/>
                <w:b/>
                <w:bCs/>
                <w:color w:val="000000" w:themeColor="text1"/>
                <w:sz w:val="24"/>
              </w:rPr>
              <w:t>中国南昌国防教育示范城。</w:t>
            </w:r>
            <w:r>
              <w:rPr>
                <w:rFonts w:hint="eastAsia" w:ascii="仿宋_GB2312" w:hAnsi="仿宋" w:eastAsia="仿宋_GB2312" w:cs="仿宋"/>
                <w:color w:val="000000" w:themeColor="text1"/>
                <w:sz w:val="24"/>
              </w:rPr>
              <w:t>在南昌军事主题公园一期的基础上，集聚全市有关国防、军事、教育等同类待建项目，着力打造一流的军事文化和国防教育主题示范园区，塑造南昌红色旅游新城市地标。</w:t>
            </w:r>
          </w:p>
        </w:tc>
      </w:tr>
    </w:tbl>
    <w:p>
      <w:pPr>
        <w:pStyle w:val="14"/>
        <w:spacing w:after="0" w:line="580" w:lineRule="exact"/>
        <w:ind w:left="0" w:leftChars="0" w:firstLine="640"/>
      </w:pPr>
      <w:bookmarkStart w:id="877" w:name="_Toc29370"/>
    </w:p>
    <w:p>
      <w:pPr>
        <w:pStyle w:val="14"/>
        <w:spacing w:after="0" w:line="580" w:lineRule="exact"/>
        <w:ind w:left="0" w:leftChars="0" w:firstLine="640"/>
      </w:pPr>
    </w:p>
    <w:p>
      <w:pPr>
        <w:pStyle w:val="14"/>
        <w:spacing w:after="0" w:line="580" w:lineRule="exact"/>
        <w:ind w:left="0" w:leftChars="0" w:firstLine="640"/>
      </w:pPr>
    </w:p>
    <w:p>
      <w:pPr>
        <w:pStyle w:val="14"/>
        <w:spacing w:after="0" w:line="580" w:lineRule="exact"/>
        <w:ind w:left="0" w:leftChars="0" w:firstLine="640"/>
      </w:pPr>
    </w:p>
    <w:p>
      <w:pPr>
        <w:pStyle w:val="14"/>
        <w:spacing w:after="0" w:line="580" w:lineRule="exact"/>
        <w:ind w:left="0" w:leftChars="0" w:firstLine="640"/>
      </w:pPr>
    </w:p>
    <w:p>
      <w:pPr>
        <w:pStyle w:val="14"/>
        <w:spacing w:after="0" w:line="580" w:lineRule="exact"/>
        <w:ind w:left="0" w:leftChars="0" w:firstLine="640"/>
      </w:pPr>
    </w:p>
    <w:p>
      <w:pPr>
        <w:pStyle w:val="14"/>
        <w:spacing w:after="0" w:line="580" w:lineRule="exact"/>
        <w:ind w:left="0" w:leftChars="0" w:firstLine="640"/>
      </w:pPr>
    </w:p>
    <w:p>
      <w:pPr>
        <w:pStyle w:val="14"/>
        <w:spacing w:after="0" w:line="580" w:lineRule="exact"/>
        <w:ind w:left="0" w:leftChars="0" w:firstLine="640"/>
      </w:pPr>
    </w:p>
    <w:p>
      <w:pPr>
        <w:pStyle w:val="14"/>
        <w:spacing w:after="0" w:line="580" w:lineRule="exact"/>
        <w:ind w:left="0" w:leftChars="0" w:firstLine="640"/>
      </w:pPr>
    </w:p>
    <w:p>
      <w:pPr>
        <w:pStyle w:val="14"/>
        <w:spacing w:after="0" w:line="580" w:lineRule="exact"/>
        <w:ind w:left="0" w:leftChars="0" w:firstLine="640"/>
      </w:pPr>
    </w:p>
    <w:p>
      <w:pPr>
        <w:pStyle w:val="14"/>
        <w:spacing w:after="0" w:line="580" w:lineRule="exact"/>
        <w:ind w:left="0" w:leftChars="0" w:firstLine="640"/>
      </w:pPr>
    </w:p>
    <w:p>
      <w:pPr>
        <w:ind w:firstLine="640"/>
      </w:pPr>
      <w:r>
        <w:rPr>
          <w:rFonts w:hint="eastAsia"/>
        </w:rPr>
        <w:br w:type="page"/>
      </w:r>
    </w:p>
    <w:p>
      <w:pPr>
        <w:pStyle w:val="29"/>
        <w:adjustRightInd/>
        <w:snapToGrid/>
        <w:spacing w:line="580" w:lineRule="exact"/>
        <w:rPr>
          <w:color w:val="000000" w:themeColor="text1"/>
        </w:rPr>
      </w:pPr>
      <w:bookmarkStart w:id="878" w:name="_Toc405"/>
      <w:bookmarkStart w:id="879" w:name="_Toc64542262"/>
    </w:p>
    <w:p>
      <w:pPr>
        <w:pStyle w:val="29"/>
        <w:adjustRightInd/>
        <w:snapToGrid/>
        <w:spacing w:line="580" w:lineRule="exact"/>
        <w:rPr>
          <w:color w:val="000000" w:themeColor="text1"/>
        </w:rPr>
      </w:pPr>
      <w:r>
        <w:rPr>
          <w:rFonts w:hint="eastAsia"/>
          <w:color w:val="000000" w:themeColor="text1"/>
        </w:rPr>
        <w:t>第十三篇  促进人的全面发展</w:t>
      </w:r>
      <w:bookmarkEnd w:id="659"/>
      <w:bookmarkEnd w:id="877"/>
      <w:bookmarkEnd w:id="878"/>
      <w:bookmarkEnd w:id="879"/>
    </w:p>
    <w:p>
      <w:pPr>
        <w:spacing w:line="580" w:lineRule="exact"/>
        <w:ind w:firstLine="640"/>
        <w:rPr>
          <w:rFonts w:ascii="仿宋_GB2312" w:eastAsia="仿宋_GB2312"/>
          <w:color w:val="000000" w:themeColor="text1"/>
          <w:kern w:val="0"/>
        </w:rPr>
      </w:pPr>
      <w:bookmarkStart w:id="880" w:name="_Toc57195802"/>
      <w:bookmarkStart w:id="881" w:name="_Toc57194341"/>
      <w:bookmarkStart w:id="882" w:name="_Toc57201803"/>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不断加快推进教育现代化，提升医疗卫生服务水平，积极应对人口老龄化问题，增强人民群众获得感、幸福感、安全感，促进人的全面发展和社会全面进步。</w:t>
      </w:r>
      <w:bookmarkStart w:id="883" w:name="_Toc57201798"/>
      <w:bookmarkStart w:id="884" w:name="_Toc57195797"/>
      <w:bookmarkStart w:id="885" w:name="_Toc58861255"/>
      <w:bookmarkStart w:id="886" w:name="_Toc57194336"/>
    </w:p>
    <w:p>
      <w:pPr>
        <w:pStyle w:val="31"/>
        <w:spacing w:line="580" w:lineRule="exact"/>
        <w:ind w:firstLine="640"/>
      </w:pPr>
    </w:p>
    <w:p>
      <w:pPr>
        <w:pStyle w:val="23"/>
        <w:adjustRightInd/>
        <w:snapToGrid/>
        <w:spacing w:line="580" w:lineRule="exact"/>
        <w:rPr>
          <w:b w:val="0"/>
          <w:color w:val="000000" w:themeColor="text1"/>
        </w:rPr>
      </w:pPr>
      <w:bookmarkStart w:id="887" w:name="_Toc64542263"/>
      <w:bookmarkStart w:id="888" w:name="_Toc14204"/>
      <w:bookmarkStart w:id="889" w:name="_Toc8219"/>
      <w:r>
        <w:rPr>
          <w:rFonts w:hint="eastAsia"/>
          <w:b w:val="0"/>
          <w:color w:val="000000" w:themeColor="text1"/>
        </w:rPr>
        <w:t>第四十三章  建设教育强市</w:t>
      </w:r>
      <w:bookmarkEnd w:id="883"/>
      <w:bookmarkEnd w:id="884"/>
      <w:bookmarkEnd w:id="885"/>
      <w:bookmarkEnd w:id="886"/>
      <w:bookmarkEnd w:id="887"/>
      <w:bookmarkEnd w:id="888"/>
      <w:bookmarkEnd w:id="889"/>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始终坚持党的教育方针，加快提升教育现代化水平，加快推进义务教育优质均衡化发展，着力推进职业教育提质创优，大力提升教师队伍素质，努力构建终身学习的教育体系，建设教育强市。</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890" w:name="_Toc64542264"/>
      <w:bookmarkStart w:id="891" w:name="_Toc57195798"/>
      <w:bookmarkStart w:id="892" w:name="_Toc57194337"/>
      <w:bookmarkStart w:id="893" w:name="_Toc23628"/>
      <w:bookmarkStart w:id="894" w:name="_Toc3599"/>
      <w:bookmarkStart w:id="895" w:name="_Toc57201799"/>
      <w:bookmarkStart w:id="896" w:name="_Toc58861256"/>
      <w:r>
        <w:rPr>
          <w:rFonts w:hint="eastAsia" w:ascii="楷体_GB2312" w:eastAsia="楷体_GB2312"/>
          <w:color w:val="000000" w:themeColor="text1"/>
        </w:rPr>
        <w:t>第一节  推进基本公共教育优质均衡发展</w:t>
      </w:r>
      <w:bookmarkEnd w:id="890"/>
      <w:bookmarkEnd w:id="891"/>
      <w:bookmarkEnd w:id="892"/>
      <w:bookmarkEnd w:id="893"/>
      <w:bookmarkEnd w:id="894"/>
      <w:bookmarkEnd w:id="895"/>
      <w:bookmarkEnd w:id="896"/>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坚持公益性和普惠性，多渠道增加普惠性幼儿园供给，扩大规模及覆盖面。加快义务教育学校标准化建设，健全中小学布点规划动态调整机制，有序扩大城镇学校学位供给，积极推进义务教育优质均衡发展，优化义务教育校内课后服务，规范校外培训机构办学行为。加快普及高中阶段教育，扎实推进普通高中多样化特色化办学，积极探索普通高中人才培养模式和管理方式创新。支持和规范民办教育。办好特殊教育，关爱儿童发展等特殊群体教育。到2025年，学前教育</w:t>
      </w:r>
      <w:r>
        <w:rPr>
          <w:rFonts w:hint="eastAsia" w:ascii="仿宋_GB2312" w:eastAsia="仿宋_GB2312"/>
          <w:color w:val="000000" w:themeColor="text1"/>
          <w:spacing w:val="-6"/>
          <w:kern w:val="0"/>
        </w:rPr>
        <w:t>全面普及，学前教育毛入园率达到90%以上，普惠性幼儿园覆盖率达到90%，义务教育巩固率达到97%以上，高中阶段毛入学率达到94.5%，积极创建“全国智慧教育示范区”。</w:t>
      </w: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897" w:name="_Toc57194338"/>
      <w:bookmarkStart w:id="898" w:name="_Toc6688"/>
      <w:bookmarkStart w:id="899" w:name="_Toc64542265"/>
      <w:bookmarkStart w:id="900" w:name="_Toc29694"/>
      <w:bookmarkStart w:id="901" w:name="_Toc57195799"/>
      <w:bookmarkStart w:id="902" w:name="_Toc58861257"/>
      <w:bookmarkStart w:id="903" w:name="_Toc57201800"/>
      <w:r>
        <w:rPr>
          <w:rFonts w:hint="eastAsia" w:ascii="楷体_GB2312" w:eastAsia="楷体_GB2312"/>
          <w:color w:val="000000" w:themeColor="text1"/>
        </w:rPr>
        <w:t>第二节  推进职业教育提质创优</w:t>
      </w:r>
      <w:bookmarkEnd w:id="897"/>
      <w:bookmarkEnd w:id="898"/>
      <w:bookmarkEnd w:id="899"/>
      <w:bookmarkEnd w:id="900"/>
      <w:bookmarkEnd w:id="901"/>
      <w:bookmarkEnd w:id="902"/>
      <w:bookmarkEnd w:id="903"/>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全面放开职业教育办学准入，加快发展现代职业教育，持续推进“双高计划”，加大“双师型”教师培养力度，提高职业学校毕业生本地就业率，打造全国职业教育高地。高标准推进中国（南昌）现代职教城项目建设，引进一批高水平职业院校和省内外高新技术企业，建设高水平专业化产教融合实训基地。推进职业教育集团化发展，鼓励大型企业参与职业教育，推广“现代学徒制”“1+X证书”制度等人才培养模式。鼓励职业学校积极开展人才培养、资源建设、合作办学、教师培训等领域国际交流合作。到2025年，全市中等职业教育总容量和招生计划均达到高中阶段学校学位总数的50%，职普比大体相当。</w:t>
      </w: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904" w:name="_Toc57195800"/>
      <w:bookmarkStart w:id="905" w:name="_Toc15531"/>
      <w:bookmarkStart w:id="906" w:name="_Toc57194339"/>
      <w:bookmarkStart w:id="907" w:name="_Toc64542266"/>
      <w:bookmarkStart w:id="908" w:name="_Toc57201801"/>
      <w:bookmarkStart w:id="909" w:name="_Toc58861258"/>
      <w:bookmarkStart w:id="910" w:name="_Toc7259"/>
      <w:r>
        <w:rPr>
          <w:rFonts w:hint="eastAsia" w:ascii="楷体_GB2312" w:eastAsia="楷体_GB2312"/>
          <w:color w:val="000000" w:themeColor="text1"/>
        </w:rPr>
        <w:t>第三节  建设高素质专业化教师队伍</w:t>
      </w:r>
      <w:bookmarkEnd w:id="904"/>
      <w:bookmarkEnd w:id="905"/>
      <w:bookmarkEnd w:id="906"/>
      <w:bookmarkEnd w:id="907"/>
      <w:bookmarkEnd w:id="908"/>
      <w:bookmarkEnd w:id="909"/>
      <w:bookmarkEnd w:id="910"/>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大力加强师德师风建设，全面提升教师思想政治素质和师德水平。稳定乡村教师队伍，提高边远乡村教师待遇。实施“教师素质提升工程”，加强与省内外高校合作，积极组织参与国培计划、省培计划。推动高等教育高质量发展，支持豫章师范学院建设特色鲜明、优势突出的本科院校。推进智慧校园建设，全面实施中小学、幼儿园“互联网+教师专业发展”全员培训和教师信息化素养提升培训。实施教育家型名师名校长培养工程，提高幼儿园和中小学中、高级教师岗位结构比例。完善教师待遇保障制度，健全中小学教师工资长效联动机制。</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911" w:name="_Toc57194340"/>
      <w:bookmarkStart w:id="912" w:name="_Toc57195801"/>
      <w:bookmarkStart w:id="913" w:name="_Toc57201802"/>
      <w:bookmarkStart w:id="914" w:name="_Toc64542267"/>
      <w:bookmarkStart w:id="915" w:name="_Toc58861259"/>
      <w:bookmarkStart w:id="916" w:name="_Toc27060"/>
      <w:bookmarkStart w:id="917" w:name="_Toc3300"/>
      <w:r>
        <w:rPr>
          <w:rFonts w:hint="eastAsia" w:ascii="楷体_GB2312" w:eastAsia="楷体_GB2312"/>
          <w:color w:val="000000" w:themeColor="text1"/>
        </w:rPr>
        <w:t>第四节  建设学习型社会</w:t>
      </w:r>
      <w:bookmarkEnd w:id="911"/>
      <w:bookmarkEnd w:id="912"/>
      <w:bookmarkEnd w:id="913"/>
      <w:bookmarkEnd w:id="914"/>
      <w:bookmarkEnd w:id="915"/>
      <w:bookmarkEnd w:id="916"/>
      <w:bookmarkEnd w:id="917"/>
    </w:p>
    <w:p>
      <w:pPr>
        <w:spacing w:line="580" w:lineRule="exact"/>
        <w:ind w:firstLine="640"/>
        <w:rPr>
          <w:rFonts w:ascii="仿宋_GB2312" w:eastAsia="仿宋_GB2312"/>
          <w:color w:val="000000" w:themeColor="text1"/>
          <w:kern w:val="0"/>
        </w:rPr>
      </w:pPr>
    </w:p>
    <w:p>
      <w:pPr>
        <w:spacing w:line="580" w:lineRule="exact"/>
        <w:ind w:firstLine="640"/>
        <w:rPr>
          <w:rFonts w:ascii="仿宋_GB2312" w:hAnsi="仿宋_GB2312" w:eastAsia="仿宋_GB2312"/>
          <w:color w:val="000000" w:themeColor="text1"/>
        </w:rPr>
      </w:pPr>
      <w:r>
        <w:rPr>
          <w:rFonts w:hint="eastAsia" w:ascii="仿宋_GB2312" w:eastAsia="仿宋_GB2312"/>
          <w:color w:val="000000" w:themeColor="text1"/>
          <w:kern w:val="0"/>
        </w:rPr>
        <w:t>完善终身学习体系，建设学习型城市。</w:t>
      </w:r>
      <w:r>
        <w:rPr>
          <w:rFonts w:hint="eastAsia" w:ascii="仿宋_GB2312" w:hAnsi="仿宋_GB2312" w:eastAsia="仿宋_GB2312"/>
          <w:color w:val="000000" w:themeColor="text1"/>
        </w:rPr>
        <w:t>推动各类学习型组织建设</w:t>
      </w:r>
      <w:r>
        <w:rPr>
          <w:rFonts w:hint="eastAsia" w:ascii="仿宋_GB2312" w:eastAsia="仿宋_GB2312"/>
          <w:color w:val="000000" w:themeColor="text1"/>
          <w:kern w:val="0"/>
        </w:rPr>
        <w:t>，积极开展青少年校外教育、老年教育、社区教育、农村居民教育和各类教育培训。</w:t>
      </w:r>
      <w:r>
        <w:rPr>
          <w:rFonts w:hint="eastAsia" w:ascii="仿宋_GB2312" w:hAnsi="仿宋_GB2312" w:eastAsia="仿宋_GB2312"/>
          <w:color w:val="000000" w:themeColor="text1"/>
        </w:rPr>
        <w:t>整合教育信息化资源，完善全民终身学习公共服务平台和终身学习账号体系，丰富内容供给。</w:t>
      </w:r>
      <w:r>
        <w:rPr>
          <w:rFonts w:hint="eastAsia" w:ascii="仿宋_GB2312" w:eastAsia="仿宋_GB2312"/>
          <w:color w:val="000000" w:themeColor="text1"/>
          <w:kern w:val="0"/>
        </w:rPr>
        <w:t>积极引入市场机制，培育终身教育多元化办学主体。</w:t>
      </w:r>
      <w:r>
        <w:rPr>
          <w:rFonts w:hint="eastAsia" w:ascii="仿宋_GB2312" w:hAnsi="仿宋_GB2312" w:eastAsia="仿宋_GB2312"/>
          <w:color w:val="000000" w:themeColor="text1"/>
        </w:rPr>
        <w:t>完善终身学习激励政策，形成全民积极向学、随时随地可学的社会环境。</w:t>
      </w:r>
    </w:p>
    <w:tbl>
      <w:tblPr>
        <w:tblStyle w:val="7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vAlign w:val="center"/>
          </w:tcPr>
          <w:p>
            <w:pPr>
              <w:pStyle w:val="52"/>
              <w:numPr>
                <w:ilvl w:val="0"/>
                <w:numId w:val="0"/>
              </w:numPr>
              <w:spacing w:after="0" w:line="360" w:lineRule="exact"/>
              <w:jc w:val="center"/>
              <w:rPr>
                <w:rFonts w:ascii="仿宋_GB2312" w:hAnsi="Times New Roman" w:eastAsia="仿宋_GB2312" w:cs="Times New Roman"/>
                <w:b/>
                <w:color w:val="000000" w:themeColor="text1"/>
                <w:sz w:val="28"/>
                <w:szCs w:val="28"/>
              </w:rPr>
            </w:pPr>
            <w:r>
              <w:rPr>
                <w:rFonts w:hint="eastAsia" w:ascii="黑体" w:hAnsi="黑体" w:eastAsia="黑体" w:cs="黑体"/>
                <w:bCs/>
                <w:color w:val="000000" w:themeColor="text1"/>
                <w:sz w:val="28"/>
                <w:szCs w:val="28"/>
              </w:rPr>
              <w:t>专栏33：教育发展重大工程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pStyle w:val="50"/>
              <w:spacing w:line="36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（一）学前教育普惠推进工程</w:t>
            </w:r>
          </w:p>
          <w:p>
            <w:pPr>
              <w:pStyle w:val="50"/>
              <w:spacing w:line="36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color w:val="000000" w:themeColor="text1"/>
                <w:kern w:val="0"/>
                <w:sz w:val="24"/>
                <w:szCs w:val="24"/>
              </w:rPr>
              <w:t>大力发展公办幼儿园，积极扶持民办普惠性幼儿园，加强城市住宅小区配套幼儿园建设，补齐农村学前教育短板</w:t>
            </w:r>
            <w:r>
              <w:rPr>
                <w:rFonts w:hint="eastAsia" w:ascii="仿宋_GB2312" w:eastAsia="仿宋_GB2312" w:hAnsiTheme="minorHAnsi" w:cstheme="minorBidi"/>
                <w:color w:val="000000" w:themeColor="text1"/>
                <w:kern w:val="0"/>
                <w:sz w:val="24"/>
                <w:szCs w:val="24"/>
              </w:rPr>
              <w:t>。</w:t>
            </w:r>
            <w:r>
              <w:rPr>
                <w:rFonts w:ascii="仿宋_GB2312" w:eastAsia="仿宋_GB2312" w:hAnsiTheme="minorHAnsi" w:cstheme="minorBidi"/>
                <w:color w:val="000000" w:themeColor="text1"/>
                <w:kern w:val="0"/>
                <w:sz w:val="24"/>
                <w:szCs w:val="24"/>
              </w:rPr>
              <w:t>到2025年，学前教育毛入园率</w:t>
            </w:r>
            <w:r>
              <w:rPr>
                <w:rFonts w:hint="eastAsia" w:ascii="仿宋_GB2312" w:eastAsia="仿宋_GB2312" w:hAnsiTheme="minorHAnsi" w:cstheme="minorBidi"/>
                <w:color w:val="000000" w:themeColor="text1"/>
                <w:kern w:val="0"/>
                <w:sz w:val="24"/>
                <w:szCs w:val="24"/>
              </w:rPr>
              <w:t>达到</w:t>
            </w:r>
            <w:r>
              <w:rPr>
                <w:rFonts w:ascii="仿宋_GB2312" w:eastAsia="仿宋_GB2312" w:hAnsiTheme="minorHAnsi" w:cstheme="minorBidi"/>
                <w:color w:val="000000" w:themeColor="text1"/>
                <w:kern w:val="0"/>
                <w:sz w:val="24"/>
                <w:szCs w:val="24"/>
              </w:rPr>
              <w:t>90%</w:t>
            </w:r>
            <w:r>
              <w:rPr>
                <w:rFonts w:hint="eastAsia" w:ascii="仿宋_GB2312" w:eastAsia="仿宋_GB2312" w:hAnsiTheme="minorHAnsi" w:cstheme="minorBidi"/>
                <w:color w:val="000000" w:themeColor="text1"/>
                <w:kern w:val="0"/>
                <w:sz w:val="24"/>
                <w:szCs w:val="24"/>
              </w:rPr>
              <w:t>以上</w:t>
            </w:r>
            <w:r>
              <w:rPr>
                <w:rFonts w:ascii="仿宋_GB2312" w:eastAsia="仿宋_GB2312" w:hAnsiTheme="minorHAnsi" w:cstheme="minorBidi"/>
                <w:color w:val="000000" w:themeColor="text1"/>
                <w:kern w:val="0"/>
                <w:sz w:val="24"/>
                <w:szCs w:val="24"/>
              </w:rPr>
              <w:t>、普惠性幼儿园覆盖率</w:t>
            </w:r>
            <w:r>
              <w:rPr>
                <w:rFonts w:hint="eastAsia" w:ascii="仿宋_GB2312" w:eastAsia="仿宋_GB2312" w:hAnsiTheme="minorHAnsi" w:cstheme="minorBidi"/>
                <w:color w:val="000000" w:themeColor="text1"/>
                <w:kern w:val="0"/>
                <w:sz w:val="24"/>
                <w:szCs w:val="24"/>
              </w:rPr>
              <w:t>达到90</w:t>
            </w:r>
            <w:r>
              <w:rPr>
                <w:rFonts w:ascii="仿宋_GB2312" w:eastAsia="仿宋_GB2312" w:hAnsiTheme="minorHAnsi" w:cstheme="minorBidi"/>
                <w:color w:val="000000" w:themeColor="text1"/>
                <w:kern w:val="0"/>
                <w:sz w:val="24"/>
                <w:szCs w:val="24"/>
              </w:rPr>
              <w:t>%目标。</w:t>
            </w:r>
          </w:p>
          <w:p>
            <w:pPr>
              <w:pStyle w:val="50"/>
              <w:spacing w:line="36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（二）义务教育优质均衡工程</w:t>
            </w:r>
          </w:p>
          <w:p>
            <w:pPr>
              <w:pStyle w:val="50"/>
              <w:spacing w:line="36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color w:val="000000" w:themeColor="text1"/>
                <w:kern w:val="0"/>
                <w:sz w:val="24"/>
                <w:szCs w:val="24"/>
              </w:rPr>
              <w:t>普遍建立集团化办学机制</w:t>
            </w:r>
            <w:r>
              <w:rPr>
                <w:rFonts w:hint="eastAsia" w:ascii="仿宋_GB2312" w:eastAsia="仿宋_GB2312" w:hAnsiTheme="minorHAnsi" w:cstheme="minorBidi"/>
                <w:color w:val="000000" w:themeColor="text1"/>
                <w:kern w:val="0"/>
                <w:sz w:val="24"/>
                <w:szCs w:val="24"/>
              </w:rPr>
              <w:t>，</w:t>
            </w:r>
            <w:r>
              <w:rPr>
                <w:rFonts w:ascii="仿宋_GB2312" w:eastAsia="仿宋_GB2312" w:hAnsiTheme="minorHAnsi" w:cstheme="minorBidi"/>
                <w:color w:val="000000" w:themeColor="text1"/>
                <w:kern w:val="0"/>
                <w:sz w:val="24"/>
                <w:szCs w:val="24"/>
              </w:rPr>
              <w:t>进一步扩增城区学校优质教育资源。加强城乡一体化集团化办学，支持涉农县区向农村学校扩充优质教育资源，带动农村薄弱学校发展</w:t>
            </w:r>
            <w:r>
              <w:rPr>
                <w:rFonts w:hint="eastAsia" w:ascii="仿宋_GB2312" w:eastAsia="仿宋_GB2312" w:hAnsiTheme="minorHAnsi" w:cstheme="minorBidi"/>
                <w:color w:val="000000" w:themeColor="text1"/>
                <w:kern w:val="0"/>
                <w:sz w:val="24"/>
                <w:szCs w:val="24"/>
              </w:rPr>
              <w:t>。</w:t>
            </w:r>
            <w:r>
              <w:rPr>
                <w:rFonts w:ascii="仿宋_GB2312" w:eastAsia="仿宋_GB2312" w:hAnsiTheme="minorHAnsi" w:cstheme="minorBidi"/>
                <w:color w:val="000000" w:themeColor="text1"/>
                <w:kern w:val="0"/>
                <w:sz w:val="24"/>
                <w:szCs w:val="24"/>
              </w:rPr>
              <w:t>到2025年，全市义务教育优质均衡发展的县域单位占比达到40%</w:t>
            </w:r>
            <w:r>
              <w:rPr>
                <w:rFonts w:hint="eastAsia" w:ascii="仿宋_GB2312" w:eastAsia="仿宋_GB2312" w:hAnsiTheme="minorHAnsi" w:cstheme="minorBidi"/>
                <w:color w:val="000000" w:themeColor="text1"/>
                <w:kern w:val="0"/>
                <w:sz w:val="24"/>
                <w:szCs w:val="24"/>
              </w:rPr>
              <w:t>。</w:t>
            </w:r>
          </w:p>
          <w:p>
            <w:pPr>
              <w:pStyle w:val="50"/>
              <w:spacing w:line="36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（三）高中教育特色发展工程</w:t>
            </w:r>
          </w:p>
          <w:p>
            <w:pPr>
              <w:pStyle w:val="50"/>
              <w:spacing w:line="360" w:lineRule="exact"/>
              <w:ind w:firstLine="48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推进高中阶段学校考试招生制度改革，确保2024年形成基于初中学业水平考试、结合综合素质评价的高中阶段学校考试招生录取模式。到2025年，形成一批在全省具有领先地位和示范性的省级特色普通高中，发展一批市级特色普通高中。</w:t>
            </w:r>
          </w:p>
          <w:p>
            <w:pPr>
              <w:pStyle w:val="50"/>
              <w:spacing w:line="36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（四）职业教育深度融合工程</w:t>
            </w:r>
          </w:p>
          <w:p>
            <w:pPr>
              <w:pStyle w:val="50"/>
              <w:spacing w:line="360" w:lineRule="exact"/>
              <w:ind w:firstLine="48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依托职教产业园打造人才培育高地，打造集人才培养和输送基地、职业教育校企合作基地、技术创新孵化基地于一体的中国（南昌）现代职教城。对通过认证进入国家目录的产教融合建设企业给予“金融+财政+土地+信用”的组合式激励。</w:t>
            </w:r>
          </w:p>
          <w:p>
            <w:pPr>
              <w:pStyle w:val="50"/>
              <w:spacing w:line="36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（五）终身教育体系完善工程</w:t>
            </w:r>
          </w:p>
          <w:p>
            <w:pPr>
              <w:pStyle w:val="50"/>
              <w:spacing w:line="360" w:lineRule="exact"/>
              <w:ind w:firstLine="48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广泛普及终身学习理念，使之成为居民普遍的精神追求和生活方式。到2025年，完成全市社区教育三级办学网络标准化建设，建立健全社区教育师资队伍和保障机制，推动社区教育教研平台建设，丰富社区教育课程内容。以信息技术为支撑，整合社区教育资源，构建灵活、开放的终身学习公共服务体系。</w:t>
            </w:r>
          </w:p>
          <w:p>
            <w:pPr>
              <w:pStyle w:val="50"/>
              <w:spacing w:line="36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（六）教师队伍素质提升工程</w:t>
            </w:r>
          </w:p>
          <w:p>
            <w:pPr>
              <w:pStyle w:val="50"/>
              <w:spacing w:line="360" w:lineRule="exact"/>
              <w:ind w:firstLine="48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深入推进校长教师交流轮岗，按时保质完成年度任务，摸清年度应交流轮岗人员数量和名单，按照不低于10%比例的要求落实交流轮岗对象，“十四五”期间，争取实现5000人次的交流。严格落实幼儿园、中小学和中等职业学校按照年度公用经费预算总额的5%安排教师培训经费的规定要求，市财政每年安排不少于500万专项经费用于市本级培训并逐年增长。</w:t>
            </w:r>
          </w:p>
          <w:p>
            <w:pPr>
              <w:pStyle w:val="50"/>
              <w:spacing w:line="36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（七）网点建设长远规划工程</w:t>
            </w:r>
          </w:p>
          <w:p>
            <w:pPr>
              <w:pStyle w:val="50"/>
              <w:spacing w:line="360" w:lineRule="exact"/>
              <w:ind w:firstLine="48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“十四五”期间，全市中小学校园基本建设领域规划实施新建、改建、扩建项目105个，计划新增用地面积330.5万平方米，新增校舍建筑面积287.2万平方米，规划建设普通班级数3405个。</w:t>
            </w:r>
          </w:p>
        </w:tc>
      </w:tr>
    </w:tbl>
    <w:p>
      <w:pPr>
        <w:pStyle w:val="2"/>
        <w:spacing w:after="0" w:line="480" w:lineRule="exact"/>
        <w:ind w:firstLine="320"/>
      </w:pPr>
      <w:bookmarkStart w:id="918" w:name="_Toc4203"/>
    </w:p>
    <w:p>
      <w:pPr>
        <w:pStyle w:val="23"/>
        <w:adjustRightInd/>
        <w:snapToGrid/>
        <w:spacing w:line="558" w:lineRule="exact"/>
        <w:rPr>
          <w:b w:val="0"/>
          <w:color w:val="000000" w:themeColor="text1"/>
        </w:rPr>
      </w:pPr>
      <w:bookmarkStart w:id="919" w:name="_Toc12289"/>
      <w:bookmarkStart w:id="920" w:name="_Toc64542268"/>
      <w:r>
        <w:rPr>
          <w:rFonts w:hint="eastAsia"/>
          <w:b w:val="0"/>
          <w:color w:val="000000" w:themeColor="text1"/>
        </w:rPr>
        <w:t>第四十四章  着力推进健康南昌</w:t>
      </w:r>
      <w:bookmarkEnd w:id="880"/>
      <w:bookmarkEnd w:id="881"/>
      <w:bookmarkEnd w:id="882"/>
      <w:r>
        <w:rPr>
          <w:rFonts w:hint="eastAsia"/>
          <w:b w:val="0"/>
          <w:color w:val="000000" w:themeColor="text1"/>
        </w:rPr>
        <w:t>建设</w:t>
      </w:r>
      <w:bookmarkEnd w:id="918"/>
      <w:bookmarkEnd w:id="919"/>
      <w:bookmarkEnd w:id="920"/>
      <w:r>
        <w:rPr>
          <w:rFonts w:hint="eastAsia"/>
          <w:b w:val="0"/>
          <w:color w:val="000000" w:themeColor="text1"/>
        </w:rPr>
        <w:tab/>
      </w:r>
    </w:p>
    <w:p>
      <w:pPr>
        <w:spacing w:line="558" w:lineRule="exact"/>
        <w:ind w:firstLine="640"/>
        <w:rPr>
          <w:rFonts w:ascii="仿宋_GB2312" w:eastAsia="仿宋_GB2312"/>
          <w:color w:val="000000" w:themeColor="text1"/>
          <w:kern w:val="0"/>
        </w:rPr>
      </w:pPr>
      <w:bookmarkStart w:id="921" w:name="_Toc57201807"/>
      <w:bookmarkStart w:id="922" w:name="_Toc57194345"/>
      <w:bookmarkStart w:id="923" w:name="_Toc57195806"/>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坚持把人民群众生命安全和身体健康放在战略位置，扩大公共卫生服务、养老服务、生育服务优质供给，全方位全周期保障人民健康。</w:t>
      </w:r>
    </w:p>
    <w:p>
      <w:pPr>
        <w:pStyle w:val="2"/>
        <w:spacing w:after="0" w:line="480" w:lineRule="exact"/>
        <w:ind w:firstLine="0" w:firstLineChars="0"/>
      </w:pPr>
    </w:p>
    <w:p>
      <w:pPr>
        <w:pStyle w:val="74"/>
        <w:adjustRightInd/>
        <w:snapToGrid/>
        <w:spacing w:line="580" w:lineRule="exact"/>
        <w:rPr>
          <w:rFonts w:ascii="楷体_GB2312" w:eastAsia="楷体_GB2312"/>
          <w:color w:val="000000" w:themeColor="text1"/>
        </w:rPr>
      </w:pPr>
      <w:bookmarkStart w:id="924" w:name="_Toc64542269"/>
      <w:bookmarkStart w:id="925" w:name="_Toc58861261"/>
      <w:bookmarkStart w:id="926" w:name="_Toc4800"/>
      <w:bookmarkStart w:id="927" w:name="_Toc4213"/>
    </w:p>
    <w:p>
      <w:pPr>
        <w:pStyle w:val="74"/>
        <w:adjustRightInd/>
        <w:snapToGrid/>
        <w:spacing w:line="580" w:lineRule="exact"/>
        <w:rPr>
          <w:rFonts w:ascii="楷体_GB2312" w:eastAsia="楷体_GB2312"/>
          <w:color w:val="000000" w:themeColor="text1"/>
        </w:rPr>
      </w:pPr>
    </w:p>
    <w:p>
      <w:pPr>
        <w:pStyle w:val="74"/>
        <w:adjustRightInd/>
        <w:snapToGrid/>
        <w:spacing w:line="580" w:lineRule="exact"/>
        <w:rPr>
          <w:rFonts w:ascii="楷体_GB2312" w:eastAsia="楷体_GB2312"/>
          <w:color w:val="000000" w:themeColor="text1"/>
        </w:rPr>
      </w:pPr>
    </w:p>
    <w:p>
      <w:pPr>
        <w:pStyle w:val="74"/>
        <w:adjustRightInd/>
        <w:snapToGrid/>
        <w:spacing w:line="580" w:lineRule="exact"/>
        <w:rPr>
          <w:rFonts w:ascii="楷体_GB2312" w:eastAsia="楷体_GB2312"/>
          <w:color w:val="000000" w:themeColor="text1"/>
        </w:rPr>
      </w:pPr>
      <w:r>
        <w:rPr>
          <w:rFonts w:hint="eastAsia" w:ascii="楷体_GB2312" w:eastAsia="楷体_GB2312"/>
          <w:color w:val="000000" w:themeColor="text1"/>
        </w:rPr>
        <w:t>第一节  健全公共卫生服务体系</w:t>
      </w:r>
      <w:bookmarkEnd w:id="924"/>
      <w:bookmarkEnd w:id="925"/>
      <w:bookmarkEnd w:id="926"/>
      <w:bookmarkEnd w:id="927"/>
    </w:p>
    <w:p>
      <w:pPr>
        <w:spacing w:line="480" w:lineRule="exact"/>
        <w:ind w:firstLine="640"/>
        <w:rPr>
          <w:rFonts w:ascii="仿宋_GB2312" w:eastAsia="仿宋_GB2312"/>
          <w:color w:val="000000" w:themeColor="text1"/>
          <w:kern w:val="0"/>
        </w:rPr>
      </w:pPr>
      <w:bookmarkStart w:id="928" w:name="_Toc58861262"/>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改革疾病预防控制体系，每个县区建成1个符合标准的疾控机构。落实医疗机构公共卫生责任，创新医防协同机制。建立稳定的公共卫生事业投入机制，健全医疗救治、科技支撑、物资保障体系，强化数字化防疫能力，完善突发公共卫生事件监测预警处置机制。实施公共卫生防控救治能力提升工程，进一步完善急救待命点设置，提高院前救治能力。统筹省市优质医疗资源扩容和区域均衡布置，基本实现城乡优质医疗卫生资源配置均衡。实</w:t>
      </w:r>
      <w:r>
        <w:rPr>
          <w:rFonts w:hint="eastAsia" w:ascii="仿宋_GB2312" w:eastAsia="仿宋_GB2312"/>
          <w:color w:val="000000" w:themeColor="text1"/>
          <w:spacing w:val="-6"/>
          <w:kern w:val="0"/>
        </w:rPr>
        <w:t>施妇幼健康和计划生育服务保障工程，提高优生优育服务水平。建立高效有序、协同发展的医养结合服务体系。加强职业健康关怀，做好尘肺病患者分类救治工作，加强尘肺病患者医保保障力度。基本消除血吸虫病危害，增加艾滋病防治宣传及特殊药物免费供应。</w:t>
      </w:r>
    </w:p>
    <w:p>
      <w:pPr>
        <w:spacing w:line="580" w:lineRule="exact"/>
        <w:ind w:firstLine="640"/>
      </w:pPr>
      <w:bookmarkStart w:id="929" w:name="_Toc31462"/>
    </w:p>
    <w:p>
      <w:pPr>
        <w:pStyle w:val="74"/>
        <w:adjustRightInd/>
        <w:snapToGrid/>
        <w:spacing w:line="580" w:lineRule="exact"/>
        <w:rPr>
          <w:rFonts w:ascii="楷体_GB2312" w:eastAsia="楷体_GB2312"/>
          <w:color w:val="000000" w:themeColor="text1"/>
        </w:rPr>
      </w:pPr>
      <w:bookmarkStart w:id="930" w:name="_Toc18304"/>
      <w:bookmarkStart w:id="931" w:name="_Toc64542270"/>
      <w:r>
        <w:rPr>
          <w:rFonts w:hint="eastAsia" w:ascii="楷体_GB2312" w:eastAsia="楷体_GB2312"/>
          <w:color w:val="000000" w:themeColor="text1"/>
        </w:rPr>
        <w:t>第二节  深化医药卫生体制改革</w:t>
      </w:r>
      <w:bookmarkEnd w:id="928"/>
      <w:bookmarkEnd w:id="929"/>
      <w:bookmarkEnd w:id="930"/>
      <w:bookmarkEnd w:id="931"/>
    </w:p>
    <w:p>
      <w:pPr>
        <w:spacing w:line="580" w:lineRule="exact"/>
        <w:ind w:firstLine="640"/>
        <w:rPr>
          <w:rFonts w:ascii="仿宋_GB2312" w:eastAsia="仿宋_GB2312"/>
          <w:color w:val="000000" w:themeColor="text1"/>
          <w:kern w:val="0"/>
        </w:rPr>
      </w:pPr>
    </w:p>
    <w:p>
      <w:pPr>
        <w:spacing w:line="580" w:lineRule="exact"/>
        <w:ind w:firstLine="632"/>
        <w:rPr>
          <w:rFonts w:ascii="仿宋_GB2312" w:eastAsia="仿宋_GB2312"/>
          <w:color w:val="000000" w:themeColor="text1"/>
          <w:spacing w:val="-2"/>
          <w:kern w:val="0"/>
        </w:rPr>
      </w:pPr>
      <w:r>
        <w:rPr>
          <w:rFonts w:hint="eastAsia" w:ascii="仿宋_GB2312" w:eastAsia="仿宋_GB2312"/>
          <w:color w:val="000000" w:themeColor="text1"/>
          <w:spacing w:val="-2"/>
          <w:kern w:val="0"/>
        </w:rPr>
        <w:t>继续深化医药卫生体制改革和城市公立医院综合改革，全面建立现代医院管理制度，构建优质高效医疗卫生服务体系。大力促进优质医疗资源下沉，形成科学有效医联体运行机制。加快建设分级诊疗体系，建立不同级别医疗机构分工协作机制。建立全科医生激励机制，逐步推进基层卫生专业技术人员职称改革，大力推进县域医共体改革，鼓励有条件的县区实行区域内编制总量管理，统筹调剂使用。持续推进基本医疗保险支付方式改革，实施以按病种付费为主的多元复合式基本医疗保险支付方式，有序推进按人头付费、按床日付费支付方式改革。构建信用就医体系，建立统一结算平台。</w:t>
      </w:r>
    </w:p>
    <w:p>
      <w:pPr>
        <w:pStyle w:val="2"/>
        <w:ind w:firstLine="320"/>
      </w:pPr>
    </w:p>
    <w:p>
      <w:pPr>
        <w:pStyle w:val="74"/>
        <w:adjustRightInd/>
        <w:snapToGrid/>
        <w:spacing w:line="580" w:lineRule="exact"/>
        <w:rPr>
          <w:rFonts w:ascii="楷体_GB2312" w:eastAsia="楷体_GB2312"/>
          <w:color w:val="000000" w:themeColor="text1"/>
        </w:rPr>
      </w:pPr>
      <w:bookmarkStart w:id="932" w:name="_Toc22652"/>
      <w:bookmarkStart w:id="933" w:name="_Toc64542271"/>
      <w:bookmarkStart w:id="934" w:name="_Toc7315"/>
      <w:r>
        <w:rPr>
          <w:rFonts w:hint="eastAsia" w:ascii="楷体_GB2312" w:eastAsia="楷体_GB2312"/>
          <w:color w:val="000000" w:themeColor="text1"/>
        </w:rPr>
        <w:t>第三节  提升整体医疗卫生服务水平</w:t>
      </w:r>
      <w:bookmarkEnd w:id="932"/>
      <w:bookmarkEnd w:id="933"/>
      <w:bookmarkEnd w:id="934"/>
    </w:p>
    <w:p>
      <w:pPr>
        <w:spacing w:line="560" w:lineRule="exact"/>
        <w:ind w:firstLine="640"/>
        <w:rPr>
          <w:rFonts w:ascii="仿宋_GB2312" w:eastAsia="仿宋_GB2312"/>
          <w:color w:val="000000" w:themeColor="text1"/>
          <w:kern w:val="0"/>
        </w:rPr>
      </w:pPr>
    </w:p>
    <w:p>
      <w:pPr>
        <w:spacing w:line="560" w:lineRule="exact"/>
        <w:ind w:firstLine="640"/>
        <w:rPr>
          <w:rFonts w:ascii="仿宋_GB2312" w:eastAsia="仿宋_GB2312"/>
          <w:color w:val="000000" w:themeColor="text1"/>
          <w:kern w:val="0"/>
        </w:rPr>
      </w:pPr>
      <w:r>
        <w:rPr>
          <w:rFonts w:hint="eastAsia" w:ascii="仿宋_GB2312" w:eastAsia="仿宋_GB2312"/>
          <w:color w:val="000000" w:themeColor="text1"/>
          <w:kern w:val="0"/>
        </w:rPr>
        <w:t>加强医院服务能力建设，加快推进卒中、创伤急救、胸痛等中心建设，重点提升儿童、重症医学、母婴危重救治、康复、精神病等医疗服务水平。加强基层卫生服务能力建设，大力提升基层门诊、急诊急救、住院、检查检验、中医药、康复等医疗服务能力。每3至10万人口或每个街道办事处设置一个社区卫生服务中心，打造15分钟社区卫生服务圈。支持社会办医，鼓励有经验的执业医师开办诊所。推广远程医疗服务，稳步发展互联网医院。完善家庭医生服务体系。拓宽人才培养渠道，加强培训基地建设。</w:t>
      </w:r>
    </w:p>
    <w:p>
      <w:pPr>
        <w:pStyle w:val="31"/>
        <w:spacing w:line="560" w:lineRule="exact"/>
        <w:ind w:firstLine="640"/>
      </w:pPr>
    </w:p>
    <w:p>
      <w:pPr>
        <w:pStyle w:val="74"/>
        <w:adjustRightInd/>
        <w:snapToGrid/>
        <w:spacing w:line="580" w:lineRule="exact"/>
        <w:rPr>
          <w:rFonts w:ascii="楷体_GB2312" w:eastAsia="楷体_GB2312"/>
          <w:color w:val="000000" w:themeColor="text1"/>
        </w:rPr>
      </w:pPr>
      <w:bookmarkStart w:id="935" w:name="_Toc64542272"/>
      <w:bookmarkStart w:id="936" w:name="_Toc29310"/>
      <w:bookmarkStart w:id="937" w:name="_Toc57195805"/>
      <w:bookmarkStart w:id="938" w:name="_Toc1345"/>
      <w:bookmarkStart w:id="939" w:name="_Toc57201806"/>
      <w:bookmarkStart w:id="940" w:name="_Toc57194344"/>
      <w:bookmarkStart w:id="941" w:name="_Toc58861263"/>
      <w:r>
        <w:rPr>
          <w:rFonts w:hint="eastAsia" w:ascii="楷体_GB2312" w:eastAsia="楷体_GB2312"/>
          <w:color w:val="000000" w:themeColor="text1"/>
        </w:rPr>
        <w:t>第四节  推动中医药传承发展</w:t>
      </w:r>
      <w:bookmarkEnd w:id="935"/>
      <w:bookmarkEnd w:id="936"/>
      <w:bookmarkEnd w:id="937"/>
      <w:bookmarkEnd w:id="938"/>
      <w:bookmarkEnd w:id="939"/>
      <w:bookmarkEnd w:id="940"/>
      <w:bookmarkEnd w:id="941"/>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充分发挥中医药独特优势，加快推进中医药在传承创新中高质量发展。加快推进二级及以上公立综合医院、妇幼保健机构、专科医院标准化中医科、中药房建设，有效发挥中医专科特色优势。推动中医医疗机构与医疗养老机构的深度融合，建立中医医疗养老产业联盟。逐步将中医“治未病”纳入社区健康医疗服务范围。推广应用以热敏灸为代表的中医康复治疗，规范发展中医养生保健机构。重点加强中医药知识产权保护，提升中医药研发能力，打造中国中医药特色高地。打造喻嘉言中医药文化名片，促进中医药文化传承与传播，支持将中医药知识纳入中小学卫生健康教育课程。加强中西医结合，全面提升中西医医疗服务质量。</w:t>
      </w:r>
    </w:p>
    <w:p>
      <w:pPr>
        <w:pStyle w:val="74"/>
        <w:adjustRightInd/>
        <w:snapToGrid/>
        <w:spacing w:line="580" w:lineRule="exact"/>
        <w:rPr>
          <w:rFonts w:ascii="楷体_GB2312" w:eastAsia="楷体_GB2312"/>
          <w:color w:val="000000" w:themeColor="text1"/>
        </w:rPr>
      </w:pPr>
      <w:bookmarkStart w:id="942" w:name="_Toc58861264"/>
      <w:bookmarkStart w:id="943" w:name="_Toc26131"/>
      <w:bookmarkStart w:id="944" w:name="_Toc22388"/>
      <w:bookmarkStart w:id="945" w:name="_Toc64542273"/>
    </w:p>
    <w:p>
      <w:pPr>
        <w:pStyle w:val="74"/>
        <w:adjustRightInd/>
        <w:snapToGrid/>
        <w:spacing w:line="580" w:lineRule="exact"/>
        <w:rPr>
          <w:rFonts w:ascii="楷体_GB2312" w:eastAsia="楷体_GB2312"/>
          <w:color w:val="000000" w:themeColor="text1"/>
        </w:rPr>
      </w:pPr>
      <w:r>
        <w:rPr>
          <w:rFonts w:hint="eastAsia" w:ascii="楷体_GB2312" w:eastAsia="楷体_GB2312"/>
          <w:color w:val="000000" w:themeColor="text1"/>
        </w:rPr>
        <w:t>第五节  开展爱国卫生和全民健身运动</w:t>
      </w:r>
      <w:bookmarkEnd w:id="942"/>
      <w:bookmarkEnd w:id="943"/>
      <w:bookmarkEnd w:id="944"/>
      <w:bookmarkEnd w:id="945"/>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spacing w:val="-6"/>
          <w:kern w:val="0"/>
        </w:rPr>
      </w:pPr>
      <w:r>
        <w:rPr>
          <w:rFonts w:hint="eastAsia" w:ascii="仿宋_GB2312" w:eastAsia="仿宋_GB2312"/>
          <w:color w:val="000000" w:themeColor="text1"/>
          <w:kern w:val="0"/>
        </w:rPr>
        <w:t>深入开展爱国卫生运动，巩固和发展国家卫生城市成果。以疫情防控为契机，形成全民动员参与爱国卫生运动新机制。严厉打击非法捕杀和交易野生动物行为，坚决革除滥食野生动物等陋习。推广分餐公筷、垃圾分类投放等文明健康生活方式。广泛开展全民健身运动，构建完善的公共体育服务体系。充分释放南昌国体中心等体育场馆设施的功能，打造集体育赛事、观赏、培训和健身等功能于一体的综合体育基地。</w:t>
      </w:r>
      <w:r>
        <w:rPr>
          <w:rFonts w:ascii="仿宋_GB2312" w:eastAsia="仿宋_GB2312"/>
          <w:color w:val="000000" w:themeColor="text1"/>
          <w:kern w:val="0"/>
        </w:rPr>
        <w:t>完善体育健身设施</w:t>
      </w:r>
      <w:r>
        <w:rPr>
          <w:rFonts w:hint="eastAsia" w:ascii="仿宋_GB2312" w:eastAsia="仿宋_GB2312"/>
          <w:color w:val="000000" w:themeColor="text1"/>
          <w:kern w:val="0"/>
        </w:rPr>
        <w:t>建设</w:t>
      </w:r>
      <w:r>
        <w:rPr>
          <w:rFonts w:ascii="仿宋_GB2312" w:eastAsia="仿宋_GB2312"/>
          <w:color w:val="000000" w:themeColor="text1"/>
          <w:kern w:val="0"/>
        </w:rPr>
        <w:t>，推进街边镶嵌式健身点和社区健身中心建设，合理利用城市公园、公共绿地、广场、拆迁改造地块及空置场地建设体育健身设施，逐步实现</w:t>
      </w:r>
      <w:r>
        <w:rPr>
          <w:rFonts w:hint="eastAsia" w:ascii="仿宋_GB2312" w:eastAsia="仿宋_GB2312"/>
          <w:color w:val="000000" w:themeColor="text1"/>
          <w:kern w:val="0"/>
        </w:rPr>
        <w:t>“</w:t>
      </w:r>
      <w:r>
        <w:rPr>
          <w:rFonts w:ascii="仿宋_GB2312" w:eastAsia="仿宋_GB2312"/>
          <w:color w:val="000000" w:themeColor="text1"/>
          <w:kern w:val="0"/>
        </w:rPr>
        <w:t>公园体育化</w:t>
      </w:r>
      <w:r>
        <w:rPr>
          <w:rFonts w:hint="eastAsia" w:ascii="仿宋_GB2312" w:eastAsia="仿宋_GB2312"/>
          <w:color w:val="000000" w:themeColor="text1"/>
          <w:kern w:val="0"/>
        </w:rPr>
        <w:t>”</w:t>
      </w:r>
      <w:r>
        <w:rPr>
          <w:rFonts w:ascii="仿宋_GB2312" w:eastAsia="仿宋_GB2312"/>
          <w:color w:val="000000" w:themeColor="text1"/>
          <w:kern w:val="0"/>
        </w:rPr>
        <w:t>。</w:t>
      </w:r>
      <w:r>
        <w:rPr>
          <w:rFonts w:hint="eastAsia" w:ascii="仿宋_GB2312" w:eastAsia="仿宋_GB2312"/>
          <w:color w:val="000000" w:themeColor="text1"/>
          <w:kern w:val="0"/>
        </w:rPr>
        <w:t>全面提升</w:t>
      </w:r>
      <w:r>
        <w:rPr>
          <w:rFonts w:ascii="仿宋_GB2312" w:eastAsia="仿宋_GB2312"/>
          <w:color w:val="000000" w:themeColor="text1"/>
          <w:kern w:val="0"/>
        </w:rPr>
        <w:t>社区15分钟健身圈</w:t>
      </w:r>
      <w:r>
        <w:rPr>
          <w:rFonts w:hint="eastAsia" w:ascii="仿宋_GB2312" w:eastAsia="仿宋_GB2312"/>
          <w:color w:val="000000" w:themeColor="text1"/>
          <w:kern w:val="0"/>
        </w:rPr>
        <w:t>服务能力</w:t>
      </w:r>
      <w:r>
        <w:rPr>
          <w:rFonts w:ascii="仿宋_GB2312" w:eastAsia="仿宋_GB2312"/>
          <w:color w:val="000000" w:themeColor="text1"/>
          <w:kern w:val="0"/>
        </w:rPr>
        <w:t>，每个街道（乡镇）至少建设1处公益性篮球场或羽毛球场。</w:t>
      </w:r>
      <w:r>
        <w:rPr>
          <w:rFonts w:hint="eastAsia" w:ascii="仿宋_GB2312" w:eastAsia="仿宋_GB2312"/>
          <w:color w:val="000000" w:themeColor="text1"/>
          <w:kern w:val="0"/>
        </w:rPr>
        <w:t>积极推进政府购买全民健身公共服务，</w:t>
      </w:r>
      <w:r>
        <w:rPr>
          <w:rFonts w:ascii="仿宋_GB2312" w:eastAsia="仿宋_GB2312"/>
          <w:color w:val="000000" w:themeColor="text1"/>
          <w:kern w:val="0"/>
        </w:rPr>
        <w:t>鼓励社会力量建设小型多样的足球场地，提倡学校与社会共建共享</w:t>
      </w:r>
      <w:r>
        <w:rPr>
          <w:rFonts w:hint="eastAsia" w:ascii="仿宋_GB2312" w:eastAsia="仿宋_GB2312"/>
          <w:color w:val="000000" w:themeColor="text1"/>
          <w:kern w:val="0"/>
        </w:rPr>
        <w:t>包括</w:t>
      </w:r>
      <w:r>
        <w:rPr>
          <w:rFonts w:ascii="仿宋_GB2312" w:eastAsia="仿宋_GB2312"/>
          <w:color w:val="000000" w:themeColor="text1"/>
          <w:kern w:val="0"/>
        </w:rPr>
        <w:t>足球场地</w:t>
      </w:r>
      <w:r>
        <w:rPr>
          <w:rFonts w:hint="eastAsia" w:ascii="仿宋_GB2312" w:eastAsia="仿宋_GB2312"/>
          <w:color w:val="000000" w:themeColor="text1"/>
          <w:kern w:val="0"/>
        </w:rPr>
        <w:t>在内的体育设施</w:t>
      </w:r>
      <w:r>
        <w:rPr>
          <w:rFonts w:ascii="仿宋_GB2312" w:eastAsia="仿宋_GB2312"/>
          <w:color w:val="000000" w:themeColor="text1"/>
          <w:kern w:val="0"/>
        </w:rPr>
        <w:t>。</w:t>
      </w:r>
      <w:r>
        <w:rPr>
          <w:rFonts w:hint="eastAsia" w:ascii="仿宋_GB2312" w:eastAsia="仿宋_GB2312"/>
          <w:color w:val="000000" w:themeColor="text1"/>
          <w:kern w:val="0"/>
        </w:rPr>
        <w:t>办好“滕王阁杯”青少年体育联赛，鼓励举办不同层次和类型的群众性体育比赛。大力</w:t>
      </w:r>
      <w:r>
        <w:rPr>
          <w:rFonts w:hint="eastAsia" w:ascii="仿宋_GB2312" w:eastAsia="仿宋_GB2312"/>
          <w:color w:val="000000" w:themeColor="text1"/>
          <w:spacing w:val="-6"/>
          <w:kern w:val="0"/>
        </w:rPr>
        <w:t>发展健步走等群众喜闻乐见和有发展空间的运动项目。积极探索体教融合、体医融合。以青少年为重点，开展国民体质监测和干预，全面提升青少年健康素养。</w:t>
      </w:r>
    </w:p>
    <w:p>
      <w:pPr>
        <w:pStyle w:val="2"/>
        <w:ind w:firstLine="320"/>
      </w:pPr>
    </w:p>
    <w:p>
      <w:pPr>
        <w:pStyle w:val="2"/>
        <w:ind w:firstLine="320"/>
      </w:pPr>
    </w:p>
    <w:p>
      <w:pPr>
        <w:pStyle w:val="2"/>
        <w:ind w:firstLine="320"/>
      </w:pPr>
    </w:p>
    <w:tbl>
      <w:tblPr>
        <w:tblStyle w:val="7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vAlign w:val="center"/>
          </w:tcPr>
          <w:p>
            <w:pPr>
              <w:pStyle w:val="52"/>
              <w:numPr>
                <w:ilvl w:val="0"/>
                <w:numId w:val="0"/>
              </w:numPr>
              <w:spacing w:after="0" w:line="360" w:lineRule="exact"/>
              <w:jc w:val="center"/>
              <w:rPr>
                <w:rFonts w:ascii="仿宋_GB2312" w:hAnsi="Times New Roman" w:eastAsia="仿宋_GB2312" w:cs="Times New Roman"/>
                <w:b/>
                <w:color w:val="000000" w:themeColor="text1"/>
                <w:sz w:val="28"/>
                <w:szCs w:val="28"/>
              </w:rPr>
            </w:pPr>
            <w:r>
              <w:rPr>
                <w:rFonts w:hint="eastAsia" w:ascii="黑体" w:hAnsi="黑体" w:eastAsia="黑体" w:cs="黑体"/>
                <w:bCs/>
                <w:color w:val="000000" w:themeColor="text1"/>
                <w:sz w:val="28"/>
                <w:szCs w:val="28"/>
              </w:rPr>
              <w:t>专栏34：健康南昌重大工程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9071" w:type="dxa"/>
          </w:tcPr>
          <w:p>
            <w:pPr>
              <w:pStyle w:val="50"/>
              <w:spacing w:line="36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（一）公共卫生应急管理体系建设工程</w:t>
            </w:r>
          </w:p>
          <w:p>
            <w:pPr>
              <w:pStyle w:val="50"/>
              <w:spacing w:line="360" w:lineRule="exact"/>
              <w:ind w:firstLine="48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推进南昌市卫生应急指挥与检验中心建设，加快医疗机构实验室和城市检测基地建设，提升最大检测能力，建成生物安全防护三级实验室和动物实验室。加快新建南昌急救中心，推进发热门诊（诊室）、传染病病区建设，补齐公共卫生应急能力短板。2</w:t>
            </w:r>
            <w:r>
              <w:rPr>
                <w:rFonts w:ascii="仿宋_GB2312" w:eastAsia="仿宋_GB2312" w:hAnsiTheme="minorHAnsi" w:cstheme="minorBidi"/>
                <w:color w:val="000000" w:themeColor="text1"/>
                <w:kern w:val="0"/>
                <w:sz w:val="24"/>
                <w:szCs w:val="24"/>
              </w:rPr>
              <w:t>021</w:t>
            </w:r>
            <w:r>
              <w:rPr>
                <w:rFonts w:hint="eastAsia" w:ascii="仿宋_GB2312" w:eastAsia="仿宋_GB2312" w:hAnsiTheme="minorHAnsi" w:cstheme="minorBidi"/>
                <w:color w:val="000000" w:themeColor="text1"/>
                <w:kern w:val="0"/>
                <w:sz w:val="24"/>
                <w:szCs w:val="24"/>
              </w:rPr>
              <w:t>年至2</w:t>
            </w:r>
            <w:r>
              <w:rPr>
                <w:rFonts w:ascii="仿宋_GB2312" w:eastAsia="仿宋_GB2312" w:hAnsiTheme="minorHAnsi" w:cstheme="minorBidi"/>
                <w:color w:val="000000" w:themeColor="text1"/>
                <w:kern w:val="0"/>
                <w:sz w:val="24"/>
                <w:szCs w:val="24"/>
              </w:rPr>
              <w:t>025</w:t>
            </w:r>
            <w:r>
              <w:rPr>
                <w:rFonts w:hint="eastAsia" w:ascii="仿宋_GB2312" w:eastAsia="仿宋_GB2312" w:hAnsiTheme="minorHAnsi" w:cstheme="minorBidi"/>
                <w:color w:val="000000" w:themeColor="text1"/>
                <w:kern w:val="0"/>
                <w:sz w:val="24"/>
                <w:szCs w:val="24"/>
              </w:rPr>
              <w:t>年期间，急救待命点达到3</w:t>
            </w:r>
            <w:r>
              <w:rPr>
                <w:rFonts w:ascii="仿宋_GB2312" w:eastAsia="仿宋_GB2312" w:hAnsiTheme="minorHAnsi" w:cstheme="minorBidi"/>
                <w:color w:val="000000" w:themeColor="text1"/>
                <w:kern w:val="0"/>
                <w:sz w:val="24"/>
                <w:szCs w:val="24"/>
              </w:rPr>
              <w:t>5</w:t>
            </w:r>
            <w:r>
              <w:rPr>
                <w:rFonts w:hint="eastAsia" w:ascii="仿宋_GB2312" w:eastAsia="仿宋_GB2312" w:hAnsiTheme="minorHAnsi" w:cstheme="minorBidi"/>
                <w:color w:val="000000" w:themeColor="text1"/>
                <w:kern w:val="0"/>
                <w:sz w:val="24"/>
                <w:szCs w:val="24"/>
              </w:rPr>
              <w:t>个。</w:t>
            </w:r>
          </w:p>
          <w:p>
            <w:pPr>
              <w:pStyle w:val="50"/>
              <w:spacing w:line="36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（二）妇幼保健能力提升工程</w:t>
            </w:r>
          </w:p>
          <w:p>
            <w:pPr>
              <w:pStyle w:val="50"/>
              <w:spacing w:line="360" w:lineRule="exact"/>
              <w:ind w:firstLine="48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加强妇幼保健机构基础设施建设，推进南昌市第三医院（南昌市妇幼保健院）抚河园区改扩建项目，新建进贤县、新建区妇幼保健大楼和西湖区妇幼保健院业务用房，确保市、县两级均有1所标准化妇幼保健机构。</w:t>
            </w:r>
          </w:p>
          <w:p>
            <w:pPr>
              <w:pStyle w:val="50"/>
              <w:spacing w:line="36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（三）中医药传承创新工程</w:t>
            </w:r>
          </w:p>
          <w:p>
            <w:pPr>
              <w:pStyle w:val="50"/>
              <w:spacing w:line="360" w:lineRule="exact"/>
              <w:ind w:firstLine="48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做大做强中医医院，支持南昌市洪都中医院中医传承项目建设，扩大洪都中医院服务辐射范围，打造成省内一流、国内知名中医医院。加快推进江西省中西医结合医院瑶湖院区项目，建成全省最大中西医结合治疗新发传染病感染大楼和中西医结合治疗急危重症监护病房。</w:t>
            </w:r>
          </w:p>
          <w:p>
            <w:pPr>
              <w:pStyle w:val="50"/>
              <w:spacing w:line="36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（四）健康服务能力提升工程</w:t>
            </w:r>
          </w:p>
          <w:p>
            <w:pPr>
              <w:pStyle w:val="50"/>
              <w:spacing w:line="360" w:lineRule="exact"/>
              <w:ind w:firstLine="48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以全市12个全省医学领先学科为重点，建立市级临床重点专科项目库，提升临床重点专科知名度和影响力。积极推进与中山大学深度合作，推动我市医疗水平跨越式提升。</w:t>
            </w:r>
          </w:p>
          <w:p>
            <w:pPr>
              <w:pStyle w:val="50"/>
              <w:spacing w:line="36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（五）全民健身</w:t>
            </w:r>
          </w:p>
          <w:p>
            <w:pPr>
              <w:pStyle w:val="50"/>
              <w:spacing w:line="360" w:lineRule="exact"/>
              <w:ind w:firstLine="48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新建或改扩建八一体育公园，在红谷滩规划建设体育健康文化总部和体育运动中心。持续推进社会足球场地建设，建设青少年足球基地，每万人拥有足球场地数量达到0.8块。</w:t>
            </w:r>
          </w:p>
          <w:p>
            <w:pPr>
              <w:pStyle w:val="50"/>
              <w:spacing w:line="36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（六）体育赛事</w:t>
            </w:r>
          </w:p>
          <w:p>
            <w:pPr>
              <w:pStyle w:val="50"/>
              <w:spacing w:line="360" w:lineRule="exact"/>
              <w:ind w:firstLine="48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打造南昌国际马拉松赛等精品赛事。积极承接中国梅岭越野挑战赛、世界名校赛艇邀请赛、全国象棋男子甲级联赛等特色赛事活动。</w:t>
            </w:r>
          </w:p>
        </w:tc>
      </w:tr>
      <w:bookmarkEnd w:id="921"/>
      <w:bookmarkEnd w:id="922"/>
      <w:bookmarkEnd w:id="923"/>
    </w:tbl>
    <w:p>
      <w:pPr>
        <w:pStyle w:val="2"/>
        <w:spacing w:after="0" w:line="580" w:lineRule="exact"/>
        <w:ind w:firstLine="320"/>
      </w:pPr>
      <w:bookmarkStart w:id="946" w:name="_Toc57201809"/>
      <w:bookmarkStart w:id="947" w:name="_Toc30919"/>
      <w:bookmarkStart w:id="948" w:name="_Toc57194347"/>
      <w:bookmarkStart w:id="949" w:name="_Toc57195808"/>
    </w:p>
    <w:p>
      <w:pPr>
        <w:pStyle w:val="23"/>
        <w:adjustRightInd/>
        <w:snapToGrid/>
        <w:spacing w:line="580" w:lineRule="exact"/>
        <w:rPr>
          <w:b w:val="0"/>
          <w:color w:val="000000" w:themeColor="text1"/>
        </w:rPr>
      </w:pPr>
      <w:bookmarkStart w:id="950" w:name="_Toc64542274"/>
      <w:bookmarkStart w:id="951" w:name="_Toc12359"/>
      <w:r>
        <w:rPr>
          <w:rFonts w:hint="eastAsia"/>
          <w:b w:val="0"/>
          <w:color w:val="000000" w:themeColor="text1"/>
        </w:rPr>
        <w:t>第四十五章  积极应对人口老龄化</w:t>
      </w:r>
      <w:bookmarkEnd w:id="946"/>
      <w:bookmarkEnd w:id="947"/>
      <w:bookmarkEnd w:id="948"/>
      <w:bookmarkEnd w:id="949"/>
      <w:bookmarkEnd w:id="950"/>
      <w:bookmarkEnd w:id="951"/>
    </w:p>
    <w:p>
      <w:pPr>
        <w:spacing w:line="580" w:lineRule="exact"/>
        <w:ind w:firstLine="640"/>
        <w:rPr>
          <w:rFonts w:ascii="仿宋_GB2312" w:eastAsia="仿宋_GB2312"/>
          <w:color w:val="000000" w:themeColor="text1"/>
          <w:kern w:val="0"/>
        </w:rPr>
      </w:pPr>
      <w:bookmarkStart w:id="952" w:name="_Toc57195813"/>
      <w:bookmarkStart w:id="953" w:name="_Toc57201814"/>
      <w:bookmarkStart w:id="954" w:name="_Toc57194352"/>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落实国家人口长期发展战略，以“一老一小”为重点，完善人口服务体系，健全人口发展配套政策，促进人口结构优化和长期均衡发展。</w:t>
      </w:r>
    </w:p>
    <w:p>
      <w:pPr>
        <w:pStyle w:val="2"/>
        <w:ind w:firstLine="320"/>
        <w:rPr>
          <w:rFonts w:hint="eastAsia"/>
        </w:rPr>
      </w:pPr>
    </w:p>
    <w:p>
      <w:pPr>
        <w:pStyle w:val="74"/>
        <w:adjustRightInd/>
        <w:snapToGrid/>
        <w:spacing w:line="580" w:lineRule="exact"/>
        <w:rPr>
          <w:rFonts w:ascii="楷体_GB2312" w:eastAsia="楷体_GB2312"/>
          <w:color w:val="000000" w:themeColor="text1"/>
        </w:rPr>
      </w:pPr>
      <w:bookmarkStart w:id="955" w:name="_Toc58861267"/>
      <w:bookmarkStart w:id="956" w:name="_Toc57194348"/>
      <w:bookmarkStart w:id="957" w:name="_Toc64542275"/>
      <w:bookmarkStart w:id="958" w:name="_Toc27836"/>
      <w:bookmarkStart w:id="959" w:name="_Toc20483"/>
      <w:bookmarkStart w:id="960" w:name="_Toc57201810"/>
      <w:bookmarkStart w:id="961" w:name="_Toc57195809"/>
      <w:r>
        <w:rPr>
          <w:rFonts w:hint="eastAsia" w:ascii="楷体_GB2312" w:eastAsia="楷体_GB2312"/>
          <w:color w:val="000000" w:themeColor="text1"/>
        </w:rPr>
        <w:t>第一节  推动实现适度生育水平</w:t>
      </w:r>
      <w:bookmarkEnd w:id="955"/>
      <w:bookmarkEnd w:id="956"/>
      <w:bookmarkEnd w:id="957"/>
      <w:bookmarkEnd w:id="958"/>
      <w:bookmarkEnd w:id="959"/>
      <w:bookmarkEnd w:id="960"/>
      <w:bookmarkEnd w:id="961"/>
    </w:p>
    <w:p>
      <w:pPr>
        <w:spacing w:line="580" w:lineRule="exact"/>
        <w:ind w:firstLine="616"/>
        <w:rPr>
          <w:rFonts w:ascii="仿宋_GB2312" w:eastAsia="仿宋_GB2312"/>
          <w:color w:val="000000" w:themeColor="text1"/>
          <w:spacing w:val="-6"/>
          <w:kern w:val="0"/>
        </w:rPr>
      </w:pPr>
    </w:p>
    <w:p>
      <w:pPr>
        <w:spacing w:line="580" w:lineRule="exact"/>
        <w:ind w:firstLine="616"/>
        <w:rPr>
          <w:rFonts w:ascii="仿宋_GB2312" w:eastAsia="仿宋_GB2312"/>
          <w:color w:val="000000" w:themeColor="text1"/>
          <w:spacing w:val="-6"/>
          <w:kern w:val="0"/>
        </w:rPr>
      </w:pPr>
      <w:r>
        <w:rPr>
          <w:rFonts w:hint="eastAsia" w:ascii="仿宋_GB2312" w:eastAsia="仿宋_GB2312"/>
          <w:color w:val="000000" w:themeColor="text1"/>
          <w:spacing w:val="-6"/>
          <w:kern w:val="0"/>
        </w:rPr>
        <w:t>优化生育政策，增强生育政策包容性，减轻家庭生育、养育、教育负担，提高适龄群体生育意愿，激发人口增长潜力。提高人口健康素质，加强出生缺陷综合防治，加大婚检、孕检、产前筛查和新生儿筛查力度，提高生育质量。推进生育保险和基本医疗保险合并实施，确保职工生育期间的待遇不降低。加大对失独家庭的关爱和帮扶支持力度。推进人口大数据研究应用，建立人口预测预报制度，制定积极的人口吸纳政策。</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962" w:name="_Toc57201811"/>
      <w:bookmarkStart w:id="963" w:name="_Toc57195810"/>
      <w:bookmarkStart w:id="964" w:name="_Toc772"/>
      <w:bookmarkStart w:id="965" w:name="_Toc64542276"/>
      <w:bookmarkStart w:id="966" w:name="_Toc58861268"/>
      <w:bookmarkStart w:id="967" w:name="_Toc21812"/>
      <w:bookmarkStart w:id="968" w:name="_Toc57194349"/>
      <w:r>
        <w:rPr>
          <w:rFonts w:hint="eastAsia" w:ascii="楷体_GB2312" w:eastAsia="楷体_GB2312"/>
          <w:color w:val="000000" w:themeColor="text1"/>
        </w:rPr>
        <w:t>第二节  健全婴幼儿发展政策</w:t>
      </w:r>
      <w:bookmarkEnd w:id="962"/>
      <w:bookmarkEnd w:id="963"/>
      <w:bookmarkEnd w:id="964"/>
      <w:bookmarkEnd w:id="965"/>
      <w:bookmarkEnd w:id="966"/>
      <w:bookmarkEnd w:id="967"/>
      <w:bookmarkEnd w:id="968"/>
    </w:p>
    <w:p>
      <w:pPr>
        <w:spacing w:line="580" w:lineRule="exact"/>
        <w:ind w:firstLine="640"/>
        <w:rPr>
          <w:rFonts w:ascii="仿宋_GB2312" w:eastAsia="仿宋_GB2312"/>
          <w:color w:val="000000" w:themeColor="text1"/>
          <w:kern w:val="0"/>
        </w:rPr>
      </w:pPr>
    </w:p>
    <w:p>
      <w:pPr>
        <w:spacing w:line="580" w:lineRule="exact"/>
        <w:ind w:firstLine="616"/>
        <w:rPr>
          <w:rFonts w:ascii="仿宋_GB2312" w:eastAsia="仿宋_GB2312"/>
          <w:color w:val="000000" w:themeColor="text1"/>
          <w:spacing w:val="-6"/>
          <w:kern w:val="0"/>
        </w:rPr>
      </w:pPr>
      <w:r>
        <w:rPr>
          <w:rFonts w:hint="eastAsia" w:ascii="仿宋_GB2312" w:eastAsia="仿宋_GB2312"/>
          <w:color w:val="000000" w:themeColor="text1"/>
          <w:spacing w:val="-6"/>
          <w:kern w:val="0"/>
        </w:rPr>
        <w:t>坚持政府引导、家庭为主、多方参与模式，加快建立3岁以下婴幼儿照护服务体系。鼓励公办幼儿园开设托班，解决2-3岁婴幼儿的入托需求。支持社会力量兴办托育机构，提供全日托、半日托、临时托、计时托等多样化、多层次服务。鼓励机关企事业单位向职工提供福利性托育服务，有条件向社会开放。积极开办街道、社区托育点，为居民提供就近的婴幼儿照护服务。到2025年，全市至少累计完成100家婴幼儿照护服务机构建设，其中普惠性机构在60%以上。</w:t>
      </w:r>
    </w:p>
    <w:p>
      <w:pPr>
        <w:pStyle w:val="2"/>
        <w:ind w:firstLine="320"/>
      </w:pPr>
    </w:p>
    <w:p>
      <w:pPr>
        <w:pStyle w:val="74"/>
        <w:adjustRightInd/>
        <w:snapToGrid/>
        <w:spacing w:line="580" w:lineRule="exact"/>
        <w:rPr>
          <w:rFonts w:ascii="楷体_GB2312" w:eastAsia="楷体_GB2312"/>
          <w:color w:val="000000" w:themeColor="text1"/>
        </w:rPr>
      </w:pPr>
      <w:bookmarkStart w:id="969" w:name="_Toc58861269"/>
      <w:bookmarkStart w:id="970" w:name="_Toc57195811"/>
      <w:bookmarkStart w:id="971" w:name="_Toc15331"/>
      <w:bookmarkStart w:id="972" w:name="_Toc57194350"/>
      <w:bookmarkStart w:id="973" w:name="_Toc14886"/>
      <w:bookmarkStart w:id="974" w:name="_Toc57201812"/>
      <w:bookmarkStart w:id="975" w:name="_Toc64542277"/>
      <w:r>
        <w:rPr>
          <w:rFonts w:hint="eastAsia" w:ascii="楷体_GB2312" w:eastAsia="楷体_GB2312"/>
          <w:color w:val="000000" w:themeColor="text1"/>
        </w:rPr>
        <w:t>第三节  完善养老服务体系</w:t>
      </w:r>
      <w:bookmarkEnd w:id="969"/>
      <w:bookmarkEnd w:id="970"/>
      <w:bookmarkEnd w:id="971"/>
      <w:bookmarkEnd w:id="972"/>
      <w:bookmarkEnd w:id="973"/>
      <w:bookmarkEnd w:id="974"/>
      <w:bookmarkEnd w:id="975"/>
    </w:p>
    <w:p>
      <w:pPr>
        <w:spacing w:line="580" w:lineRule="exact"/>
        <w:ind w:firstLine="616"/>
        <w:rPr>
          <w:rFonts w:ascii="仿宋_GB2312" w:eastAsia="仿宋_GB2312"/>
          <w:color w:val="000000" w:themeColor="text1"/>
          <w:spacing w:val="-6"/>
          <w:kern w:val="0"/>
        </w:rPr>
      </w:pPr>
    </w:p>
    <w:p>
      <w:pPr>
        <w:spacing w:line="580" w:lineRule="exact"/>
        <w:ind w:firstLine="616"/>
        <w:rPr>
          <w:rFonts w:ascii="仿宋_GB2312" w:eastAsia="仿宋_GB2312"/>
          <w:color w:val="000000" w:themeColor="text1"/>
          <w:spacing w:val="-6"/>
          <w:kern w:val="0"/>
        </w:rPr>
      </w:pPr>
      <w:r>
        <w:rPr>
          <w:rFonts w:hint="eastAsia" w:ascii="仿宋_GB2312" w:eastAsia="仿宋_GB2312"/>
          <w:color w:val="000000" w:themeColor="text1"/>
          <w:spacing w:val="-6"/>
          <w:kern w:val="0"/>
        </w:rPr>
        <w:t>推动养老事业和养老产业协同发展，发展普惠型养老服务和互助性养老，支持家庭承担养老功能，构建居家社区机构相协调、医养康养相结合的养老服务体系。着力发展社区居家养老服务，支持养老院连锁经营居家和社区养老设施。大力实施嵌入式养老机构建设及提升改造项目、智慧养老项目。构建满足农村老年人需求的农村养老服务体系，全面推广“党建+颐养之家”养老模式，实施全市颐养之家提升改造、全市敬老院提升改造项目。发展银发经济，培育养老新业态。全面放开养老服务市场，推进南昌市养老产业园项目，打造养老服务综合体。建立长期护理保险制度，筹建长期护理保险基金，推动家庭养老病床纳入医保报销。加强人口老龄化国情教育，大幅提升关爱老年人的意识和老年人的自爱意识。</w:t>
      </w:r>
    </w:p>
    <w:p>
      <w:pPr>
        <w:pStyle w:val="2"/>
        <w:ind w:firstLine="320"/>
      </w:pPr>
      <w:bookmarkStart w:id="976" w:name="_Toc11825"/>
    </w:p>
    <w:p>
      <w:pPr>
        <w:ind w:firstLine="640"/>
      </w:pPr>
      <w:r>
        <w:rPr>
          <w:rFonts w:hint="eastAsia"/>
        </w:rPr>
        <w:br w:type="page"/>
      </w:r>
    </w:p>
    <w:p>
      <w:pPr>
        <w:pStyle w:val="29"/>
        <w:adjustRightInd/>
        <w:snapToGrid/>
        <w:spacing w:line="580" w:lineRule="exact"/>
        <w:rPr>
          <w:color w:val="000000" w:themeColor="text1"/>
        </w:rPr>
      </w:pPr>
      <w:bookmarkStart w:id="977" w:name="_Toc64542278"/>
      <w:bookmarkStart w:id="978" w:name="_Toc16912"/>
    </w:p>
    <w:p>
      <w:pPr>
        <w:pStyle w:val="29"/>
        <w:adjustRightInd/>
        <w:snapToGrid/>
        <w:spacing w:line="580" w:lineRule="exact"/>
        <w:rPr>
          <w:color w:val="000000" w:themeColor="text1"/>
        </w:rPr>
      </w:pPr>
      <w:r>
        <w:rPr>
          <w:rFonts w:hint="eastAsia"/>
          <w:color w:val="000000" w:themeColor="text1"/>
        </w:rPr>
        <w:t>第十四篇  增进民生福祉</w:t>
      </w:r>
      <w:bookmarkEnd w:id="952"/>
      <w:bookmarkEnd w:id="953"/>
      <w:bookmarkEnd w:id="954"/>
      <w:bookmarkEnd w:id="976"/>
      <w:bookmarkEnd w:id="977"/>
      <w:bookmarkEnd w:id="978"/>
    </w:p>
    <w:p>
      <w:pPr>
        <w:spacing w:line="580" w:lineRule="exact"/>
        <w:ind w:firstLine="640"/>
        <w:rPr>
          <w:rFonts w:ascii="仿宋_GB2312" w:eastAsia="仿宋_GB2312"/>
          <w:color w:val="000000" w:themeColor="text1"/>
          <w:kern w:val="0"/>
        </w:rPr>
      </w:pPr>
      <w:bookmarkStart w:id="979" w:name="_Toc57194353"/>
      <w:bookmarkStart w:id="980" w:name="_Toc57201815"/>
      <w:bookmarkStart w:id="981" w:name="_Toc57195814"/>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坚持尽力而为，量力而行。健全基本公共服务体系，加强普惠性、基础性、兜底性民生建设，使改革发展成果更多更公平惠及全体人民，切实增进民生福祉。</w:t>
      </w:r>
    </w:p>
    <w:p>
      <w:pPr>
        <w:pStyle w:val="31"/>
        <w:autoSpaceDN/>
        <w:spacing w:line="580" w:lineRule="exact"/>
        <w:ind w:firstLine="640"/>
      </w:pPr>
    </w:p>
    <w:p>
      <w:pPr>
        <w:pStyle w:val="23"/>
        <w:adjustRightInd/>
        <w:snapToGrid/>
        <w:spacing w:line="580" w:lineRule="exact"/>
        <w:rPr>
          <w:b w:val="0"/>
          <w:color w:val="000000" w:themeColor="text1"/>
        </w:rPr>
      </w:pPr>
      <w:bookmarkStart w:id="982" w:name="_Toc10271"/>
      <w:bookmarkStart w:id="983" w:name="_Toc64542279"/>
      <w:bookmarkStart w:id="984" w:name="_Toc29026"/>
      <w:r>
        <w:rPr>
          <w:rFonts w:hint="eastAsia"/>
          <w:b w:val="0"/>
          <w:color w:val="000000" w:themeColor="text1"/>
        </w:rPr>
        <w:t>第四十六章  健全公共服务制度体系</w:t>
      </w:r>
      <w:bookmarkEnd w:id="979"/>
      <w:bookmarkEnd w:id="980"/>
      <w:bookmarkEnd w:id="981"/>
      <w:bookmarkEnd w:id="982"/>
      <w:bookmarkEnd w:id="983"/>
      <w:bookmarkEnd w:id="984"/>
    </w:p>
    <w:p>
      <w:pPr>
        <w:spacing w:line="580" w:lineRule="exact"/>
        <w:ind w:firstLine="616"/>
        <w:rPr>
          <w:rFonts w:ascii="仿宋_GB2312" w:eastAsia="仿宋_GB2312"/>
          <w:color w:val="000000" w:themeColor="text1"/>
          <w:spacing w:val="-6"/>
          <w:kern w:val="0"/>
        </w:rPr>
      </w:pPr>
      <w:bookmarkStart w:id="985" w:name="_Toc57201820"/>
      <w:bookmarkStart w:id="986" w:name="_Toc57195819"/>
      <w:bookmarkStart w:id="987" w:name="_Toc57194358"/>
      <w:bookmarkStart w:id="988" w:name="_Toc57194361"/>
      <w:bookmarkStart w:id="989" w:name="_Toc57195822"/>
      <w:bookmarkStart w:id="990" w:name="_Toc57201823"/>
    </w:p>
    <w:p>
      <w:pPr>
        <w:spacing w:line="580" w:lineRule="exact"/>
        <w:ind w:firstLine="616"/>
        <w:rPr>
          <w:rFonts w:ascii="仿宋_GB2312" w:eastAsia="仿宋_GB2312"/>
          <w:color w:val="000000" w:themeColor="text1"/>
          <w:spacing w:val="-6"/>
          <w:kern w:val="0"/>
        </w:rPr>
      </w:pPr>
      <w:r>
        <w:rPr>
          <w:rFonts w:hint="eastAsia" w:ascii="仿宋_GB2312" w:eastAsia="仿宋_GB2312"/>
          <w:color w:val="000000" w:themeColor="text1"/>
          <w:spacing w:val="-6"/>
          <w:kern w:val="0"/>
        </w:rPr>
        <w:t>坚持经济发展就业导向，建立健全有利于更充分更高质量就业的促进机制，构筑高质量发展的民生根本和社会稳定基石。</w:t>
      </w: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991" w:name="_Toc15380"/>
      <w:bookmarkStart w:id="992" w:name="_Toc64542280"/>
      <w:bookmarkStart w:id="993" w:name="_Toc24908"/>
      <w:r>
        <w:rPr>
          <w:rFonts w:hint="eastAsia" w:ascii="楷体_GB2312" w:eastAsia="楷体_GB2312"/>
          <w:color w:val="000000" w:themeColor="text1"/>
        </w:rPr>
        <w:t>第一节  实施更加积极的就业政策</w:t>
      </w:r>
      <w:bookmarkEnd w:id="985"/>
      <w:bookmarkEnd w:id="986"/>
      <w:bookmarkEnd w:id="987"/>
      <w:bookmarkEnd w:id="991"/>
      <w:bookmarkEnd w:id="992"/>
      <w:bookmarkEnd w:id="993"/>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提升经济发展的就业导向、就业容量和就业质量，切实保障劳动者待遇和权益。完善与就业容量挂钩的产业政策，支持吸纳就业能力强的服务业、中小微企业、个体工商户发展，放宽灵活就业的各类政策，引导零工经济、小店经济、夜间经济等就业形式规范发展。加强就业需求调查分析，建立完善规模裁员和失业风险预警机制，</w:t>
      </w:r>
      <w:r>
        <w:rPr>
          <w:rFonts w:hint="eastAsia" w:ascii="仿宋_GB2312" w:hAnsi="仿宋_GB2312" w:eastAsia="仿宋_GB2312" w:cs="仿宋_GB2312"/>
          <w:color w:val="000000" w:themeColor="text1"/>
          <w:szCs w:val="32"/>
        </w:rPr>
        <w:t>健全就业监测分析机制，开展常态化就业形势分析。</w:t>
      </w:r>
      <w:r>
        <w:rPr>
          <w:rFonts w:hint="eastAsia" w:ascii="仿宋_GB2312" w:eastAsia="仿宋_GB2312"/>
          <w:color w:val="000000" w:themeColor="text1"/>
          <w:kern w:val="0"/>
        </w:rPr>
        <w:t>继续组织开展“就业援助月”“春风、夏雨、秋实、冬暖行动”“民营企业招聘周”“金秋招聘月”“高校毕业生就业服务月”等系列公共就业人才服务专项活动，促进高校毕业生留在本地工作，支持退役军人等重点群体多渠道就业创业。完善困难人群就业援助机制，扩大公益性岗位安置，帮扶残疾人、零就业家庭成员等特殊困难群体就业。到2</w:t>
      </w:r>
      <w:r>
        <w:rPr>
          <w:rFonts w:ascii="仿宋_GB2312" w:eastAsia="仿宋_GB2312"/>
          <w:color w:val="000000" w:themeColor="text1"/>
          <w:kern w:val="0"/>
        </w:rPr>
        <w:t>025</w:t>
      </w:r>
      <w:r>
        <w:rPr>
          <w:rFonts w:hint="eastAsia" w:ascii="仿宋_GB2312" w:eastAsia="仿宋_GB2312"/>
          <w:color w:val="000000" w:themeColor="text1"/>
          <w:kern w:val="0"/>
        </w:rPr>
        <w:t>年，累计城镇新增就业人数达到</w:t>
      </w:r>
      <w:r>
        <w:rPr>
          <w:rFonts w:ascii="仿宋_GB2312" w:eastAsia="仿宋_GB2312"/>
          <w:color w:val="000000" w:themeColor="text1"/>
          <w:kern w:val="0"/>
        </w:rPr>
        <w:t>45万人</w:t>
      </w:r>
      <w:r>
        <w:rPr>
          <w:rFonts w:hint="eastAsia" w:ascii="仿宋_GB2312" w:eastAsia="仿宋_GB2312"/>
          <w:color w:val="000000" w:themeColor="text1"/>
          <w:kern w:val="0"/>
        </w:rPr>
        <w:t>以上</w:t>
      </w:r>
      <w:r>
        <w:rPr>
          <w:rFonts w:ascii="仿宋_GB2312" w:eastAsia="仿宋_GB2312"/>
          <w:color w:val="000000" w:themeColor="text1"/>
          <w:kern w:val="0"/>
        </w:rPr>
        <w:t>。</w:t>
      </w:r>
    </w:p>
    <w:p>
      <w:pPr>
        <w:pStyle w:val="31"/>
        <w:autoSpaceDN/>
        <w:spacing w:line="580" w:lineRule="exact"/>
        <w:ind w:firstLine="640"/>
        <w:rPr>
          <w:rFonts w:ascii="仿宋_GB2312"/>
          <w:color w:val="000000" w:themeColor="text1"/>
          <w:kern w:val="0"/>
        </w:rPr>
      </w:pPr>
    </w:p>
    <w:p>
      <w:pPr>
        <w:pStyle w:val="74"/>
        <w:adjustRightInd/>
        <w:snapToGrid/>
        <w:spacing w:line="580" w:lineRule="exact"/>
        <w:rPr>
          <w:rFonts w:ascii="楷体_GB2312" w:eastAsia="楷体_GB2312"/>
          <w:color w:val="000000" w:themeColor="text1"/>
        </w:rPr>
      </w:pPr>
      <w:bookmarkStart w:id="994" w:name="_Toc58861274"/>
      <w:bookmarkStart w:id="995" w:name="_Toc12070"/>
      <w:bookmarkStart w:id="996" w:name="_Toc57195820"/>
      <w:bookmarkStart w:id="997" w:name="_Toc57201821"/>
      <w:bookmarkStart w:id="998" w:name="_Toc57194359"/>
      <w:bookmarkStart w:id="999" w:name="_Toc3483"/>
      <w:bookmarkStart w:id="1000" w:name="_Toc64542281"/>
      <w:r>
        <w:rPr>
          <w:rFonts w:hint="eastAsia" w:ascii="楷体_GB2312" w:eastAsia="楷体_GB2312"/>
          <w:color w:val="000000" w:themeColor="text1"/>
        </w:rPr>
        <w:t>第二节  加快公共就业服务能力建设</w:t>
      </w:r>
      <w:bookmarkEnd w:id="994"/>
      <w:bookmarkEnd w:id="995"/>
      <w:bookmarkEnd w:id="996"/>
      <w:bookmarkEnd w:id="997"/>
      <w:bookmarkEnd w:id="998"/>
      <w:bookmarkEnd w:id="999"/>
      <w:bookmarkEnd w:id="1000"/>
    </w:p>
    <w:p>
      <w:pPr>
        <w:spacing w:line="580" w:lineRule="exact"/>
        <w:ind w:firstLine="640"/>
        <w:rPr>
          <w:rFonts w:ascii="仿宋_GB2312" w:hAnsi="仿宋_GB2312" w:eastAsia="仿宋_GB2312" w:cs="仿宋_GB2312"/>
          <w:color w:val="000000" w:themeColor="text1"/>
          <w:szCs w:val="32"/>
        </w:rPr>
      </w:pPr>
    </w:p>
    <w:p>
      <w:pPr>
        <w:spacing w:line="580" w:lineRule="exact"/>
        <w:ind w:firstLine="640"/>
        <w:rPr>
          <w:rFonts w:ascii="仿宋_GB2312" w:eastAsia="仿宋_GB2312"/>
          <w:color w:val="000000" w:themeColor="text1"/>
          <w:kern w:val="0"/>
        </w:rPr>
      </w:pPr>
      <w:r>
        <w:rPr>
          <w:rFonts w:hint="eastAsia" w:ascii="仿宋_GB2312" w:hAnsi="仿宋_GB2312" w:eastAsia="仿宋_GB2312" w:cs="仿宋_GB2312"/>
          <w:color w:val="000000" w:themeColor="text1"/>
          <w:szCs w:val="32"/>
        </w:rPr>
        <w:t>构造城乡均衡全方位公共就业服务体系，深入推进稳就业行动，加强重点群体就业帮扶，开展职业技能提升行动，多举措提高就业和创业培训质量，加大援企稳岗综合支持力度。</w:t>
      </w:r>
      <w:r>
        <w:rPr>
          <w:rFonts w:hint="eastAsia" w:ascii="仿宋_GB2312" w:eastAsia="仿宋_GB2312"/>
          <w:color w:val="000000" w:themeColor="text1"/>
          <w:kern w:val="0"/>
        </w:rPr>
        <w:t>加大职业培训和再就业培训力度，提高劳动者适应技术变革和产业转型能力。促进创业带动就业、多渠道灵活就业，优化自主创业环境，支持发展新就业形态。加强就业失业动态监测，完善失业风险预警和快速响应工作机制。完善基层劳动关系协调机制，构建和谐劳动关系。</w:t>
      </w: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1001" w:name="_Toc57194360"/>
      <w:bookmarkStart w:id="1002" w:name="_Toc29564"/>
      <w:bookmarkStart w:id="1003" w:name="_Toc27787"/>
      <w:bookmarkStart w:id="1004" w:name="_Toc57201822"/>
      <w:bookmarkStart w:id="1005" w:name="_Toc57195821"/>
      <w:bookmarkStart w:id="1006" w:name="_Toc64542282"/>
      <w:bookmarkStart w:id="1007" w:name="_Toc58861275"/>
      <w:r>
        <w:rPr>
          <w:rFonts w:hint="eastAsia" w:ascii="楷体_GB2312" w:eastAsia="楷体_GB2312"/>
          <w:color w:val="000000" w:themeColor="text1"/>
        </w:rPr>
        <w:t>第三节  形成合理有序的收入分配格局</w:t>
      </w:r>
      <w:bookmarkEnd w:id="1001"/>
      <w:bookmarkEnd w:id="1002"/>
      <w:bookmarkEnd w:id="1003"/>
      <w:bookmarkEnd w:id="1004"/>
      <w:bookmarkEnd w:id="1005"/>
      <w:bookmarkEnd w:id="1006"/>
      <w:bookmarkEnd w:id="1007"/>
    </w:p>
    <w:p>
      <w:pPr>
        <w:spacing w:line="580" w:lineRule="exact"/>
        <w:ind w:firstLine="640"/>
        <w:rPr>
          <w:rFonts w:ascii="仿宋_GB2312" w:eastAsia="仿宋_GB2312"/>
          <w:color w:val="000000" w:themeColor="text1"/>
          <w:kern w:val="0"/>
        </w:rPr>
      </w:pPr>
    </w:p>
    <w:p>
      <w:pPr>
        <w:spacing w:line="560" w:lineRule="exact"/>
        <w:ind w:firstLine="640"/>
        <w:rPr>
          <w:rFonts w:ascii="仿宋_GB2312" w:eastAsia="仿宋_GB2312"/>
          <w:color w:val="000000" w:themeColor="text1"/>
          <w:kern w:val="0"/>
        </w:rPr>
      </w:pPr>
      <w:r>
        <w:rPr>
          <w:rFonts w:hint="eastAsia" w:ascii="仿宋_GB2312" w:eastAsia="仿宋_GB2312"/>
          <w:color w:val="000000" w:themeColor="text1"/>
          <w:kern w:val="0"/>
        </w:rPr>
        <w:t>坚持按劳分配为主体、多种分配方式并存，提高劳动报酬在初次分配中的比重。健全工资决定、正常增长和支付保障机制，完善最低工资标准和工资指导线。健全各类生产要素由市场评价贡献、按贡献决定报酬的机制，强化以增加知识价值为导向的收入分配政策。探索通过土地、资本等要素使用权、收益权增加中低收入群体要素收入，多渠道增加城乡居民财产性收入。完善再分配机制，加大税收、社保、转移支付等调节力度和精准性，发挥慈善等第三次分配作用。实施中等收入群体培育行动，使更多普通劳动者通过自身努力进入中等收入群体。</w:t>
      </w:r>
    </w:p>
    <w:p>
      <w:pPr>
        <w:spacing w:line="520" w:lineRule="exact"/>
        <w:ind w:firstLine="640"/>
        <w:rPr>
          <w:rFonts w:ascii="Times New Roman" w:hAnsi="Times New Roman" w:eastAsia="仿宋_GB2312" w:cs="Times New Roman"/>
          <w:color w:val="000000" w:themeColor="text1"/>
          <w:szCs w:val="34"/>
        </w:rPr>
      </w:pPr>
    </w:p>
    <w:p>
      <w:pPr>
        <w:pStyle w:val="23"/>
        <w:adjustRightInd/>
        <w:snapToGrid/>
        <w:spacing w:line="580" w:lineRule="exact"/>
        <w:rPr>
          <w:b w:val="0"/>
          <w:color w:val="000000" w:themeColor="text1"/>
        </w:rPr>
      </w:pPr>
      <w:bookmarkStart w:id="1008" w:name="_Toc9372"/>
      <w:bookmarkStart w:id="1009" w:name="_Toc17984"/>
      <w:bookmarkStart w:id="1010" w:name="_Toc64542283"/>
      <w:r>
        <w:rPr>
          <w:rFonts w:hint="eastAsia"/>
          <w:b w:val="0"/>
          <w:color w:val="000000" w:themeColor="text1"/>
        </w:rPr>
        <w:t>第四十七章  健全多层次社会保障体系</w:t>
      </w:r>
      <w:bookmarkEnd w:id="988"/>
      <w:bookmarkEnd w:id="989"/>
      <w:bookmarkEnd w:id="990"/>
      <w:bookmarkEnd w:id="1008"/>
      <w:bookmarkEnd w:id="1009"/>
      <w:bookmarkEnd w:id="1010"/>
    </w:p>
    <w:p>
      <w:pPr>
        <w:spacing w:line="520" w:lineRule="exact"/>
        <w:ind w:firstLine="640"/>
        <w:rPr>
          <w:rFonts w:ascii="Times New Roman" w:hAnsi="Times New Roman" w:eastAsia="仿宋_GB2312" w:cs="Times New Roman"/>
          <w:color w:val="000000" w:themeColor="text1"/>
          <w:szCs w:val="34"/>
        </w:rPr>
      </w:pPr>
      <w:bookmarkStart w:id="1011" w:name="_Toc57194366"/>
      <w:bookmarkStart w:id="1012" w:name="_Toc57195827"/>
      <w:bookmarkStart w:id="1013" w:name="_Toc57201828"/>
    </w:p>
    <w:p>
      <w:pPr>
        <w:spacing w:line="560" w:lineRule="exact"/>
        <w:ind w:firstLine="616"/>
        <w:rPr>
          <w:rFonts w:ascii="仿宋_GB2312" w:eastAsia="仿宋_GB2312"/>
          <w:color w:val="000000" w:themeColor="text1"/>
          <w:spacing w:val="-6"/>
          <w:kern w:val="0"/>
        </w:rPr>
      </w:pPr>
      <w:r>
        <w:rPr>
          <w:rFonts w:hint="eastAsia" w:ascii="仿宋_GB2312" w:eastAsia="仿宋_GB2312"/>
          <w:color w:val="000000" w:themeColor="text1"/>
          <w:spacing w:val="-6"/>
          <w:kern w:val="0"/>
        </w:rPr>
        <w:t>按照兜底线、织密网、建机制的要求，建成覆盖全民、统筹城乡、权责清晰、保障适度、可持续的多层次社会保障体系。</w:t>
      </w:r>
    </w:p>
    <w:p>
      <w:pPr>
        <w:spacing w:line="560" w:lineRule="exact"/>
        <w:ind w:firstLine="640"/>
        <w:rPr>
          <w:rFonts w:ascii="Times New Roman" w:hAnsi="Times New Roman" w:eastAsia="仿宋_GB2312" w:cs="Times New Roman"/>
          <w:color w:val="000000" w:themeColor="text1"/>
          <w:szCs w:val="34"/>
        </w:rPr>
      </w:pPr>
    </w:p>
    <w:p>
      <w:pPr>
        <w:pStyle w:val="74"/>
        <w:adjustRightInd/>
        <w:snapToGrid/>
        <w:spacing w:line="560" w:lineRule="exact"/>
        <w:rPr>
          <w:rFonts w:ascii="楷体_GB2312" w:eastAsia="楷体_GB2312"/>
          <w:color w:val="000000" w:themeColor="text1"/>
        </w:rPr>
      </w:pPr>
      <w:bookmarkStart w:id="1014" w:name="_Toc57194362"/>
      <w:bookmarkStart w:id="1015" w:name="_Toc17001"/>
      <w:bookmarkStart w:id="1016" w:name="_Toc57201824"/>
      <w:bookmarkStart w:id="1017" w:name="_Toc16226"/>
      <w:bookmarkStart w:id="1018" w:name="_Toc58861277"/>
      <w:bookmarkStart w:id="1019" w:name="_Toc57195823"/>
      <w:bookmarkStart w:id="1020" w:name="_Toc64542284"/>
      <w:r>
        <w:rPr>
          <w:rFonts w:hint="eastAsia" w:ascii="楷体_GB2312" w:eastAsia="楷体_GB2312"/>
          <w:color w:val="000000" w:themeColor="text1"/>
        </w:rPr>
        <w:t>第一节  改革完善社会保险制度</w:t>
      </w:r>
      <w:bookmarkEnd w:id="1014"/>
      <w:bookmarkEnd w:id="1015"/>
      <w:bookmarkEnd w:id="1016"/>
      <w:bookmarkEnd w:id="1017"/>
      <w:bookmarkEnd w:id="1018"/>
      <w:bookmarkEnd w:id="1019"/>
      <w:bookmarkEnd w:id="1020"/>
    </w:p>
    <w:p>
      <w:pPr>
        <w:spacing w:line="560" w:lineRule="exact"/>
        <w:ind w:firstLine="640"/>
        <w:rPr>
          <w:rFonts w:ascii="Times New Roman" w:hAnsi="Times New Roman" w:eastAsia="仿宋_GB2312" w:cs="Times New Roman"/>
          <w:color w:val="000000" w:themeColor="text1"/>
          <w:szCs w:val="34"/>
        </w:rPr>
      </w:pPr>
    </w:p>
    <w:p>
      <w:pPr>
        <w:spacing w:line="560" w:lineRule="exact"/>
        <w:ind w:firstLine="640"/>
        <w:rPr>
          <w:rFonts w:ascii="Times New Roman" w:hAnsi="Times New Roman" w:eastAsia="仿宋_GB2312" w:cs="Times New Roman"/>
          <w:color w:val="000000" w:themeColor="text1"/>
          <w:szCs w:val="34"/>
        </w:rPr>
      </w:pPr>
      <w:r>
        <w:rPr>
          <w:rFonts w:hint="eastAsia" w:ascii="Times New Roman" w:hAnsi="Times New Roman" w:eastAsia="仿宋_GB2312" w:cs="Times New Roman"/>
          <w:color w:val="000000" w:themeColor="text1"/>
          <w:szCs w:val="34"/>
        </w:rPr>
        <w:t>深入实施全民参保计划，全面落实社保关系转移接续。贯彻落实国家统筹有关政策，稳步实施渐进式延迟退休制度。完善社会保险体系，大力发展企业年金、职业年金、个人储蓄性养老保险和商业养老保险。加快构建以基本医疗保险为主体，医疗救助托底，补充医疗保险、</w:t>
      </w:r>
      <w:r>
        <w:rPr>
          <w:rFonts w:hint="eastAsia" w:ascii="Times New Roman" w:hAnsi="Times New Roman" w:eastAsia="仿宋_GB2312" w:cs="仿宋_GB2312"/>
          <w:color w:val="000000" w:themeColor="text1"/>
          <w:szCs w:val="34"/>
        </w:rPr>
        <w:t>商业健康保险</w:t>
      </w:r>
      <w:r>
        <w:rPr>
          <w:rFonts w:hint="eastAsia" w:ascii="Times New Roman" w:hAnsi="Times New Roman" w:eastAsia="仿宋_GB2312" w:cs="Times New Roman"/>
          <w:color w:val="000000" w:themeColor="text1"/>
          <w:szCs w:val="34"/>
        </w:rPr>
        <w:t>、慈善捐赠、医疗互助共同发展的医疗保障制度体系，健全合理分担、动态调整的基本医保筹资机制，</w:t>
      </w:r>
      <w:r>
        <w:rPr>
          <w:rFonts w:hint="eastAsia" w:ascii="Times New Roman" w:hAnsi="Times New Roman" w:eastAsia="仿宋_GB2312" w:cs="仿宋_GB2312"/>
          <w:color w:val="000000" w:themeColor="text1"/>
          <w:szCs w:val="34"/>
        </w:rPr>
        <w:t>推进医保关系跨地区转移接续，</w:t>
      </w:r>
      <w:r>
        <w:rPr>
          <w:rFonts w:hint="eastAsia" w:ascii="Times New Roman" w:hAnsi="Times New Roman" w:eastAsia="仿宋_GB2312" w:cs="Times New Roman"/>
          <w:color w:val="000000" w:themeColor="text1"/>
          <w:szCs w:val="34"/>
        </w:rPr>
        <w:t>全面落实异地就医直接结算制度。</w:t>
      </w:r>
    </w:p>
    <w:p>
      <w:pPr>
        <w:pStyle w:val="2"/>
        <w:ind w:firstLine="320"/>
      </w:pPr>
    </w:p>
    <w:p>
      <w:pPr>
        <w:pStyle w:val="74"/>
        <w:adjustRightInd/>
        <w:snapToGrid/>
        <w:spacing w:line="560" w:lineRule="exact"/>
        <w:rPr>
          <w:rFonts w:ascii="楷体_GB2312" w:eastAsia="楷体_GB2312"/>
          <w:color w:val="000000" w:themeColor="text1"/>
        </w:rPr>
      </w:pPr>
      <w:bookmarkStart w:id="1021" w:name="_Toc57195824"/>
      <w:bookmarkStart w:id="1022" w:name="_Toc64542285"/>
      <w:bookmarkStart w:id="1023" w:name="_Toc8523"/>
      <w:bookmarkStart w:id="1024" w:name="_Toc13640"/>
      <w:bookmarkStart w:id="1025" w:name="_Toc57201825"/>
      <w:bookmarkStart w:id="1026" w:name="_Toc57194363"/>
      <w:bookmarkStart w:id="1027" w:name="_Toc58861278"/>
    </w:p>
    <w:p>
      <w:pPr>
        <w:pStyle w:val="74"/>
        <w:adjustRightInd/>
        <w:snapToGrid/>
        <w:spacing w:line="560" w:lineRule="exact"/>
        <w:rPr>
          <w:rFonts w:ascii="楷体_GB2312" w:eastAsia="楷体_GB2312"/>
          <w:color w:val="000000" w:themeColor="text1"/>
        </w:rPr>
      </w:pPr>
      <w:r>
        <w:rPr>
          <w:rFonts w:hint="eastAsia" w:ascii="楷体_GB2312" w:eastAsia="楷体_GB2312"/>
          <w:color w:val="000000" w:themeColor="text1"/>
        </w:rPr>
        <w:t>第二节  优化社会救助和慈善制度</w:t>
      </w:r>
      <w:bookmarkEnd w:id="1021"/>
      <w:bookmarkEnd w:id="1022"/>
      <w:bookmarkEnd w:id="1023"/>
      <w:bookmarkEnd w:id="1024"/>
      <w:bookmarkEnd w:id="1025"/>
      <w:bookmarkEnd w:id="1026"/>
      <w:bookmarkEnd w:id="1027"/>
    </w:p>
    <w:p>
      <w:pPr>
        <w:pStyle w:val="74"/>
        <w:adjustRightInd/>
        <w:snapToGrid/>
        <w:spacing w:line="560" w:lineRule="exact"/>
        <w:rPr>
          <w:rFonts w:ascii="楷体_GB2312" w:eastAsia="楷体_GB2312"/>
          <w:color w:val="000000" w:themeColor="text1"/>
        </w:rPr>
      </w:pPr>
    </w:p>
    <w:p>
      <w:pPr>
        <w:spacing w:line="560" w:lineRule="exact"/>
        <w:ind w:firstLine="640"/>
        <w:rPr>
          <w:rFonts w:ascii="Times New Roman" w:hAnsi="Times New Roman" w:eastAsia="仿宋_GB2312" w:cs="Times New Roman"/>
          <w:color w:val="000000" w:themeColor="text1"/>
          <w:szCs w:val="34"/>
        </w:rPr>
      </w:pPr>
      <w:r>
        <w:rPr>
          <w:rFonts w:hint="eastAsia" w:ascii="Times New Roman" w:hAnsi="Times New Roman" w:eastAsia="仿宋_GB2312" w:cs="Times New Roman"/>
          <w:color w:val="000000" w:themeColor="text1"/>
          <w:szCs w:val="34"/>
        </w:rPr>
        <w:t>完善社会救助、社会福利、慈善事业、优抚安置等制度，健全分层分类的社会救助体系。加快建设“三大类、六小类”</w:t>
      </w:r>
      <w:r>
        <w:rPr>
          <w:rFonts w:ascii="Times New Roman" w:hAnsi="Times New Roman" w:cs="Times New Roman"/>
          <w:szCs w:val="34"/>
        </w:rPr>
        <w:footnoteReference w:id="18"/>
      </w:r>
      <w:r>
        <w:rPr>
          <w:rFonts w:hint="eastAsia" w:ascii="Times New Roman" w:hAnsi="Times New Roman" w:eastAsia="仿宋_GB2312" w:cs="Times New Roman"/>
          <w:color w:val="000000" w:themeColor="text1"/>
          <w:szCs w:val="34"/>
        </w:rPr>
        <w:t>社会福利设施体系。加强社会福利机构行业管理。推动临时救助制度覆盖所有基本生活暂时陷入困境的城乡群众。加强和改进流浪乞讨人员救助管理，做好重大疫情等突发公共事件困难群众急难救助工作。推进城镇困难群众解困脱困，加强城乡救助体系统筹，逐步实现常住地救助申领。发挥好红十字会人道救助重要作用。引导社会工作专业力量开展社会救济、社会互助活动，开展“时间银行”等志愿活动。促进慈善事业发展，规范发展互联网捐赠平台，加强福利彩票和公益金管理。</w:t>
      </w:r>
      <w:bookmarkStart w:id="1028" w:name="_Toc58861279"/>
      <w:bookmarkStart w:id="1029" w:name="_Toc57201826"/>
      <w:bookmarkStart w:id="1030" w:name="_Toc57194364"/>
      <w:bookmarkStart w:id="1031" w:name="_Toc57195825"/>
    </w:p>
    <w:p>
      <w:pPr>
        <w:spacing w:line="540" w:lineRule="exact"/>
        <w:ind w:firstLine="640"/>
        <w:rPr>
          <w:rFonts w:ascii="Times New Roman" w:hAnsi="Times New Roman" w:eastAsia="仿宋_GB2312" w:cs="Times New Roman"/>
          <w:color w:val="000000" w:themeColor="text1"/>
          <w:szCs w:val="34"/>
        </w:rPr>
      </w:pPr>
      <w:bookmarkStart w:id="1032" w:name="_Toc23816"/>
    </w:p>
    <w:p>
      <w:pPr>
        <w:pStyle w:val="74"/>
        <w:adjustRightInd/>
        <w:snapToGrid/>
        <w:spacing w:line="580" w:lineRule="exact"/>
        <w:rPr>
          <w:rFonts w:ascii="楷体_GB2312" w:eastAsia="楷体_GB2312"/>
          <w:color w:val="000000" w:themeColor="text1"/>
        </w:rPr>
      </w:pPr>
      <w:bookmarkStart w:id="1033" w:name="_Toc64542286"/>
      <w:bookmarkStart w:id="1034" w:name="_Toc28370"/>
      <w:r>
        <w:rPr>
          <w:rFonts w:hint="eastAsia" w:ascii="楷体_GB2312" w:eastAsia="楷体_GB2312"/>
          <w:color w:val="000000" w:themeColor="text1"/>
        </w:rPr>
        <w:t>第三节  完善住房保障体系</w:t>
      </w:r>
      <w:bookmarkEnd w:id="1028"/>
      <w:bookmarkEnd w:id="1029"/>
      <w:bookmarkEnd w:id="1030"/>
      <w:bookmarkEnd w:id="1031"/>
      <w:bookmarkEnd w:id="1032"/>
      <w:bookmarkEnd w:id="1033"/>
      <w:bookmarkEnd w:id="1034"/>
    </w:p>
    <w:p>
      <w:pPr>
        <w:spacing w:line="540" w:lineRule="exact"/>
        <w:ind w:firstLine="640"/>
        <w:rPr>
          <w:rFonts w:ascii="Times New Roman" w:hAnsi="Times New Roman" w:eastAsia="仿宋_GB2312" w:cs="Times New Roman"/>
          <w:color w:val="000000" w:themeColor="text1"/>
          <w:szCs w:val="34"/>
        </w:rPr>
      </w:pPr>
    </w:p>
    <w:p>
      <w:pPr>
        <w:spacing w:line="560" w:lineRule="exact"/>
        <w:ind w:firstLine="620"/>
        <w:rPr>
          <w:rFonts w:ascii="仿宋_GB2312" w:eastAsia="仿宋_GB2312"/>
          <w:color w:val="000000" w:themeColor="text1"/>
          <w:spacing w:val="-5"/>
          <w:kern w:val="0"/>
        </w:rPr>
      </w:pPr>
      <w:r>
        <w:rPr>
          <w:rFonts w:hint="eastAsia" w:ascii="仿宋_GB2312" w:eastAsia="仿宋_GB2312"/>
          <w:color w:val="000000" w:themeColor="text1"/>
          <w:spacing w:val="-5"/>
          <w:kern w:val="0"/>
        </w:rPr>
        <w:t>坚守“房住不炒”定位，完善房地产市场管理机制，加强公租房管理，加快建立多主体供给、多渠道保障、租购并举的住房制度。实施保障性安居提升工程，鼓励社会力量和民间资本进入住房保障领域。完善住房保障政策，实现包括户籍在乡镇的所有城镇特困人员、城镇最低生活保障对象和支出型贫困低收入家庭应保尽保，优先保障符合条件的孤老病残、优抚对象、退役军人、计划生育特困家庭、进城农村建档立卡贫困人员等群体。强化住房保障年审和动态审核、公租房退出管理，确保有进有出、有序保障。探索利用集体建设用地和企事业单位自有闲置土地建设租赁房，完善长租房政策。</w:t>
      </w:r>
    </w:p>
    <w:p>
      <w:pPr>
        <w:pStyle w:val="2"/>
        <w:ind w:firstLine="320"/>
        <w:rPr>
          <w:rFonts w:hint="eastAsia"/>
        </w:rPr>
      </w:pPr>
    </w:p>
    <w:p>
      <w:pPr>
        <w:pStyle w:val="74"/>
        <w:adjustRightInd/>
        <w:snapToGrid/>
        <w:spacing w:line="558" w:lineRule="exact"/>
        <w:rPr>
          <w:rFonts w:ascii="楷体_GB2312" w:eastAsia="楷体_GB2312"/>
          <w:color w:val="000000" w:themeColor="text1"/>
        </w:rPr>
      </w:pPr>
      <w:bookmarkStart w:id="1035" w:name="_Toc58861280"/>
      <w:bookmarkStart w:id="1036" w:name="_Toc57195826"/>
      <w:bookmarkStart w:id="1037" w:name="_Toc57194365"/>
      <w:bookmarkStart w:id="1038" w:name="_Toc20134"/>
      <w:bookmarkStart w:id="1039" w:name="_Toc346"/>
      <w:bookmarkStart w:id="1040" w:name="_Toc57201827"/>
      <w:bookmarkStart w:id="1041" w:name="_Toc64542287"/>
      <w:r>
        <w:rPr>
          <w:rFonts w:hint="eastAsia" w:ascii="楷体_GB2312" w:eastAsia="楷体_GB2312"/>
          <w:color w:val="000000" w:themeColor="text1"/>
        </w:rPr>
        <w:t>第四节  健全退役军人工作体系和保障制度</w:t>
      </w:r>
      <w:bookmarkEnd w:id="1035"/>
      <w:bookmarkEnd w:id="1036"/>
      <w:bookmarkEnd w:id="1037"/>
      <w:bookmarkEnd w:id="1038"/>
      <w:bookmarkEnd w:id="1039"/>
      <w:bookmarkEnd w:id="1040"/>
      <w:bookmarkEnd w:id="1041"/>
    </w:p>
    <w:p>
      <w:pPr>
        <w:spacing w:line="558" w:lineRule="exact"/>
        <w:ind w:firstLine="640"/>
        <w:rPr>
          <w:rFonts w:ascii="仿宋_GB2312" w:eastAsia="仿宋_GB2312"/>
          <w:color w:val="000000" w:themeColor="text1"/>
          <w:szCs w:val="32"/>
        </w:rPr>
      </w:pPr>
    </w:p>
    <w:p>
      <w:pPr>
        <w:spacing w:line="558" w:lineRule="exact"/>
        <w:ind w:firstLine="640"/>
        <w:rPr>
          <w:rFonts w:ascii="仿宋_GB2312" w:eastAsia="仿宋_GB2312"/>
          <w:color w:val="000000" w:themeColor="text1"/>
          <w:szCs w:val="32"/>
        </w:rPr>
      </w:pPr>
      <w:r>
        <w:rPr>
          <w:rFonts w:hint="eastAsia" w:ascii="仿宋_GB2312" w:eastAsia="仿宋_GB2312"/>
          <w:color w:val="000000" w:themeColor="text1"/>
          <w:szCs w:val="32"/>
        </w:rPr>
        <w:t>大力推广“尊崇工作法”，建立抚恤优待量化标准体系。</w:t>
      </w:r>
      <w:r>
        <w:rPr>
          <w:rFonts w:hint="eastAsia" w:ascii="仿宋_GB2312" w:eastAsia="仿宋_GB2312"/>
          <w:color w:val="000000" w:themeColor="text1"/>
          <w:kern w:val="0"/>
        </w:rPr>
        <w:t>健全信息收集机制、基金扶持机制、创业补贴、金融支持及税收减免机制、沟通联系机制、宣传引导机制等服务机制，全面、准确掌握市内退役军人情况。深化退役军人安置制度改革，加大教育培训和就业扶持力度，拓展就业领域，提升就业安置质量。建立健全新型待遇保障体系，完善和落实优待政策，合理提高退役军人和其他优抚对象待遇标准，做好随调配偶子女工作安排、落户和教育等工作，</w:t>
      </w:r>
      <w:r>
        <w:rPr>
          <w:rFonts w:hint="eastAsia" w:ascii="仿宋_GB2312" w:eastAsia="仿宋_GB2312"/>
          <w:color w:val="000000" w:themeColor="text1"/>
          <w:szCs w:val="32"/>
        </w:rPr>
        <w:t>精心打造退役军人之家、退役军人就业创业园等重大项目，出台创业孵化支持政策。建立困难退役军人关爱帮扶基金，</w:t>
      </w:r>
      <w:r>
        <w:rPr>
          <w:rFonts w:hint="eastAsia" w:ascii="仿宋_GB2312" w:eastAsia="仿宋_GB2312"/>
          <w:color w:val="000000" w:themeColor="text1"/>
          <w:kern w:val="0"/>
        </w:rPr>
        <w:t>完善离退休军人及伤病残退役军人移交安置、收治休养制度。加强退役军人保险制度衔接。大力弘扬英烈精神，加强烈士纪念设施的新建和提升改造。</w:t>
      </w:r>
      <w:r>
        <w:rPr>
          <w:rFonts w:hint="eastAsia" w:ascii="仿宋_GB2312" w:eastAsia="仿宋_GB2312"/>
          <w:color w:val="000000" w:themeColor="text1"/>
          <w:szCs w:val="32"/>
        </w:rPr>
        <w:t>加强全民国防教育，深化双拥建设，完善军人荣誉体系建设，巩固军政军民团结，全力实现全国双拥模范城“十连冠”。</w:t>
      </w:r>
    </w:p>
    <w:p>
      <w:pPr>
        <w:spacing w:line="580" w:lineRule="exact"/>
        <w:ind w:firstLine="640"/>
      </w:pPr>
      <w:bookmarkStart w:id="1042" w:name="_Toc11167"/>
    </w:p>
    <w:p>
      <w:pPr>
        <w:pStyle w:val="23"/>
        <w:adjustRightInd/>
        <w:snapToGrid/>
        <w:spacing w:line="580" w:lineRule="exact"/>
        <w:rPr>
          <w:b w:val="0"/>
          <w:color w:val="000000" w:themeColor="text1"/>
        </w:rPr>
      </w:pPr>
      <w:bookmarkStart w:id="1043" w:name="_Toc64542288"/>
      <w:bookmarkStart w:id="1044" w:name="_Toc12130"/>
    </w:p>
    <w:p>
      <w:pPr>
        <w:pStyle w:val="23"/>
        <w:adjustRightInd/>
        <w:snapToGrid/>
        <w:spacing w:line="580" w:lineRule="exact"/>
        <w:rPr>
          <w:b w:val="0"/>
          <w:color w:val="000000" w:themeColor="text1"/>
        </w:rPr>
      </w:pPr>
    </w:p>
    <w:p>
      <w:pPr>
        <w:pStyle w:val="23"/>
        <w:adjustRightInd/>
        <w:snapToGrid/>
        <w:spacing w:line="580" w:lineRule="exact"/>
        <w:rPr>
          <w:b w:val="0"/>
          <w:color w:val="000000" w:themeColor="text1"/>
        </w:rPr>
      </w:pPr>
      <w:r>
        <w:rPr>
          <w:rFonts w:hint="eastAsia"/>
          <w:b w:val="0"/>
          <w:color w:val="000000" w:themeColor="text1"/>
        </w:rPr>
        <w:t>第四十八章  关爱重点特殊人群</w:t>
      </w:r>
      <w:bookmarkEnd w:id="1011"/>
      <w:bookmarkEnd w:id="1012"/>
      <w:bookmarkEnd w:id="1013"/>
      <w:bookmarkEnd w:id="1042"/>
      <w:bookmarkEnd w:id="1043"/>
      <w:bookmarkEnd w:id="1044"/>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促进男女平等和妇女全面发展，提升未成年人关爱服务水平，加强家庭建设，提高残疾人发展能力，落实妇女、未成年人和残疾人基本权益。</w:t>
      </w: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1045" w:name="_Toc57194367"/>
      <w:bookmarkStart w:id="1046" w:name="_Toc64542289"/>
      <w:bookmarkStart w:id="1047" w:name="_Toc58861282"/>
      <w:bookmarkStart w:id="1048" w:name="_Toc26961"/>
      <w:bookmarkStart w:id="1049" w:name="_Toc57201829"/>
      <w:bookmarkStart w:id="1050" w:name="_Toc57195828"/>
      <w:bookmarkStart w:id="1051" w:name="_Toc16436"/>
      <w:r>
        <w:rPr>
          <w:rFonts w:hint="eastAsia" w:ascii="楷体_GB2312" w:eastAsia="楷体_GB2312"/>
          <w:color w:val="000000" w:themeColor="text1"/>
        </w:rPr>
        <w:t>第一节  促进男女平等和妇女全面发展</w:t>
      </w:r>
      <w:bookmarkEnd w:id="1045"/>
      <w:bookmarkEnd w:id="1046"/>
      <w:bookmarkEnd w:id="1047"/>
      <w:bookmarkEnd w:id="1048"/>
      <w:bookmarkEnd w:id="1049"/>
      <w:bookmarkEnd w:id="1050"/>
      <w:bookmarkEnd w:id="1051"/>
    </w:p>
    <w:p>
      <w:pPr>
        <w:pStyle w:val="50"/>
        <w:spacing w:line="580" w:lineRule="exact"/>
        <w:ind w:firstLine="640"/>
        <w:rPr>
          <w:rFonts w:ascii="仿宋_GB2312" w:eastAsia="仿宋_GB2312" w:hAnsiTheme="minorHAnsi" w:cstheme="minorBidi"/>
          <w:color w:val="000000" w:themeColor="text1"/>
          <w:kern w:val="0"/>
          <w:sz w:val="32"/>
          <w:szCs w:val="24"/>
        </w:rPr>
      </w:pPr>
      <w:bookmarkStart w:id="1052" w:name="_Toc57194368"/>
      <w:bookmarkStart w:id="1053" w:name="_Toc57201830"/>
      <w:bookmarkStart w:id="1054" w:name="_Toc57195829"/>
    </w:p>
    <w:p>
      <w:pPr>
        <w:pStyle w:val="50"/>
        <w:spacing w:line="580" w:lineRule="exact"/>
        <w:ind w:firstLine="640"/>
        <w:rPr>
          <w:rFonts w:ascii="仿宋_GB2312" w:hAnsi="仿宋" w:eastAsia="仿宋_GB2312" w:cs="仿宋"/>
          <w:color w:val="000000" w:themeColor="text1"/>
          <w:sz w:val="32"/>
          <w:szCs w:val="32"/>
        </w:rPr>
      </w:pPr>
      <w:r>
        <w:rPr>
          <w:rFonts w:ascii="仿宋_GB2312" w:eastAsia="仿宋_GB2312" w:hAnsiTheme="minorHAnsi" w:cstheme="minorBidi"/>
          <w:color w:val="000000" w:themeColor="text1"/>
          <w:kern w:val="0"/>
          <w:sz w:val="32"/>
          <w:szCs w:val="24"/>
        </w:rPr>
        <w:t>坚持在发展中保障妇女权益，靠发展改善妇女民生，拓宽妇女就业渠道，实现妇女事业和经济社会同步发展。</w:t>
      </w:r>
      <w:r>
        <w:rPr>
          <w:rFonts w:hint="eastAsia" w:ascii="仿宋_GB2312" w:eastAsia="仿宋_GB2312" w:hAnsiTheme="minorHAnsi" w:cstheme="minorBidi"/>
          <w:color w:val="000000" w:themeColor="text1"/>
          <w:kern w:val="0"/>
          <w:sz w:val="32"/>
          <w:szCs w:val="24"/>
        </w:rPr>
        <w:t>保障妇女享有卫生健康服务，扩大农村妇女和城镇低收入家庭妇女宫颈癌、乳腺癌检查范围。保障妇女享有受教育权利，持续提高受教育年限和综合能力素质。保障妇女平等享有经济权益，消除就业性别歧视，依法享有产假和生育津贴。保障农村妇女土地权益，纠正与法律法规相冲突的村规民约，确保农村妇女享有与男子平等的土地承包经营权、宅基地使用权和集体收益分配权。保障妇女平等享有政治权利，推动妇女广泛参加社会事务和民主管理。提高留守妇女关爱服务水平，严厉打击侵害妇女和女童人身权利的违法犯罪行为。</w:t>
      </w:r>
      <w:r>
        <w:rPr>
          <w:rFonts w:hint="eastAsia" w:ascii="仿宋_GB2312" w:hAnsi="仿宋" w:eastAsia="仿宋_GB2312" w:cs="仿宋"/>
          <w:color w:val="000000" w:themeColor="text1"/>
          <w:sz w:val="32"/>
          <w:szCs w:val="32"/>
        </w:rPr>
        <w:t>深入推进家庭家教家风建设，大力实施“幸福家庭成长计划”，开展“最美家庭”“五好家庭”创建活动，建设适应城乡发展、满足家长和儿童需求的家庭教育指导服务体系。</w:t>
      </w:r>
    </w:p>
    <w:p>
      <w:pPr>
        <w:pStyle w:val="50"/>
        <w:spacing w:line="580" w:lineRule="exact"/>
        <w:ind w:firstLine="0" w:firstLineChars="0"/>
        <w:rPr>
          <w:rFonts w:ascii="仿宋_GB2312" w:hAnsi="仿宋" w:eastAsia="仿宋_GB2312" w:cs="仿宋"/>
          <w:color w:val="000000" w:themeColor="text1"/>
          <w:sz w:val="32"/>
          <w:szCs w:val="32"/>
        </w:rPr>
      </w:pPr>
    </w:p>
    <w:p>
      <w:pPr>
        <w:pStyle w:val="74"/>
        <w:adjustRightInd/>
        <w:snapToGrid/>
        <w:spacing w:line="580" w:lineRule="exact"/>
        <w:rPr>
          <w:rFonts w:ascii="楷体_GB2312" w:eastAsia="楷体_GB2312"/>
          <w:color w:val="000000" w:themeColor="text1"/>
        </w:rPr>
      </w:pPr>
      <w:bookmarkStart w:id="1055" w:name="_Toc6561"/>
      <w:bookmarkStart w:id="1056" w:name="_Toc58861283"/>
      <w:bookmarkStart w:id="1057" w:name="_Toc13356"/>
      <w:bookmarkStart w:id="1058" w:name="_Toc64542290"/>
      <w:r>
        <w:rPr>
          <w:rFonts w:hint="eastAsia" w:ascii="楷体_GB2312" w:eastAsia="楷体_GB2312"/>
          <w:color w:val="000000" w:themeColor="text1"/>
        </w:rPr>
        <w:t>第二节  提升儿童关爱服务水平</w:t>
      </w:r>
      <w:bookmarkEnd w:id="1052"/>
      <w:bookmarkEnd w:id="1053"/>
      <w:bookmarkEnd w:id="1054"/>
      <w:bookmarkEnd w:id="1055"/>
      <w:bookmarkEnd w:id="1056"/>
      <w:bookmarkEnd w:id="1057"/>
      <w:bookmarkEnd w:id="1058"/>
    </w:p>
    <w:p>
      <w:pPr>
        <w:pStyle w:val="50"/>
        <w:spacing w:line="580" w:lineRule="exact"/>
        <w:ind w:firstLine="640"/>
        <w:rPr>
          <w:rFonts w:ascii="仿宋_GB2312" w:eastAsia="仿宋_GB2312" w:hAnsiTheme="minorHAnsi" w:cstheme="minorBidi"/>
          <w:color w:val="000000" w:themeColor="text1"/>
          <w:kern w:val="0"/>
          <w:sz w:val="32"/>
          <w:szCs w:val="24"/>
        </w:rPr>
      </w:pPr>
    </w:p>
    <w:p>
      <w:pPr>
        <w:pStyle w:val="50"/>
        <w:spacing w:line="580" w:lineRule="exact"/>
        <w:ind w:firstLine="640"/>
        <w:rPr>
          <w:rFonts w:ascii="仿宋_GB2312" w:eastAsia="仿宋_GB2312" w:hAnsiTheme="minorHAnsi" w:cstheme="minorBidi"/>
          <w:color w:val="000000" w:themeColor="text1"/>
          <w:spacing w:val="-6"/>
          <w:kern w:val="0"/>
          <w:sz w:val="32"/>
          <w:szCs w:val="24"/>
        </w:rPr>
      </w:pPr>
      <w:r>
        <w:rPr>
          <w:rFonts w:hint="eastAsia" w:ascii="仿宋_GB2312" w:eastAsia="仿宋_GB2312" w:hAnsiTheme="minorHAnsi" w:cstheme="minorBidi"/>
          <w:color w:val="000000" w:themeColor="text1"/>
          <w:kern w:val="0"/>
          <w:sz w:val="32"/>
          <w:szCs w:val="24"/>
        </w:rPr>
        <w:t>优化儿童发展环境，切实保障儿童生存权、发展权、受保护权和参与权。完善儿童健康服务体系，预防和控制儿童疾病，有效控制儿童肥胖和近视。保障儿童公平受教育权利，加强儿童心理健康教育和服务。加强困境儿童分类保障，完善农村留守儿童关爱服务体系。完善孤儿、艾滋病病毒感染儿童、事实无人抚养儿童保障机制。严格规范儿童收养政策，全面提升儿童福利服务水平。成立市级儿童福利院，乡镇层面以乡镇（街道）社工站为</w:t>
      </w:r>
      <w:r>
        <w:rPr>
          <w:rFonts w:hint="eastAsia" w:ascii="仿宋_GB2312" w:eastAsia="仿宋_GB2312" w:hAnsiTheme="minorHAnsi" w:cstheme="minorBidi"/>
          <w:color w:val="000000" w:themeColor="text1"/>
          <w:spacing w:val="-6"/>
          <w:kern w:val="0"/>
          <w:sz w:val="32"/>
          <w:szCs w:val="24"/>
        </w:rPr>
        <w:t>中心，连接村级“儿童之家”，在乡村形成“一极多翼”关爱体系。</w:t>
      </w:r>
    </w:p>
    <w:p>
      <w:pPr>
        <w:pStyle w:val="50"/>
        <w:spacing w:line="580" w:lineRule="exact"/>
        <w:ind w:firstLine="616"/>
        <w:rPr>
          <w:rFonts w:ascii="仿宋_GB2312" w:eastAsia="仿宋_GB2312" w:hAnsiTheme="minorHAnsi" w:cstheme="minorBidi"/>
          <w:color w:val="000000" w:themeColor="text1"/>
          <w:spacing w:val="-6"/>
          <w:kern w:val="0"/>
          <w:sz w:val="32"/>
          <w:szCs w:val="24"/>
        </w:rPr>
      </w:pPr>
    </w:p>
    <w:p>
      <w:pPr>
        <w:pStyle w:val="74"/>
        <w:adjustRightInd/>
        <w:snapToGrid/>
        <w:spacing w:line="580" w:lineRule="exact"/>
        <w:rPr>
          <w:rFonts w:ascii="楷体_GB2312" w:eastAsia="楷体_GB2312"/>
          <w:color w:val="000000" w:themeColor="text1"/>
        </w:rPr>
      </w:pPr>
      <w:bookmarkStart w:id="1059" w:name="_Toc15073"/>
      <w:bookmarkStart w:id="1060" w:name="_Toc23416"/>
      <w:bookmarkStart w:id="1061" w:name="_Toc64542291"/>
      <w:bookmarkStart w:id="1062" w:name="_Toc58861284"/>
      <w:r>
        <w:rPr>
          <w:rFonts w:hint="eastAsia" w:ascii="楷体_GB2312" w:eastAsia="楷体_GB2312"/>
          <w:color w:val="000000" w:themeColor="text1"/>
        </w:rPr>
        <w:t>第三节  引领青少年高质量发展</w:t>
      </w:r>
      <w:bookmarkEnd w:id="1059"/>
      <w:bookmarkEnd w:id="1060"/>
      <w:bookmarkEnd w:id="1061"/>
      <w:bookmarkEnd w:id="1062"/>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推进《江西省中长期青年发展规划（2018-2025年）》全面落实，促进青少年全面发展。实施红色基因代代传工程，每年覆盖1万名以上青少年接受爱国主义和社会主义核心价值观教育。鼓励和帮助青少年成长成才、建功立业，打造“青英创业”系列品牌，每年定期举办青英人才创业大赛，每年至少培育出20个优秀创业项目。加强服务青少年发展阵地建设，努力构建青少年宫学前教育公共服务体系，实现青少年宫县区全覆盖，建立全国（南昌）八一少年军校基地，打造旗帜鲜明、青年喜爱的“网上共青团”。实行特殊家庭青少年成长关爱行动。完善未成年人监护制度和司法保护制度，加强学校及周边社会治安综合治理，严厉打击侵害未成年人权益的违法犯罪行为。加强青少年心理健康指导，开展青少年生命教育和挫折教育，有效预防青少年犯罪。动员青少年广泛参与志愿服务和社会公益活动。</w:t>
      </w:r>
    </w:p>
    <w:p>
      <w:pPr>
        <w:pStyle w:val="2"/>
        <w:ind w:firstLine="320"/>
      </w:pPr>
    </w:p>
    <w:p>
      <w:pPr>
        <w:pStyle w:val="74"/>
        <w:adjustRightInd/>
        <w:snapToGrid/>
        <w:spacing w:line="580" w:lineRule="exact"/>
        <w:rPr>
          <w:rFonts w:ascii="楷体_GB2312" w:eastAsia="楷体_GB2312"/>
          <w:color w:val="000000" w:themeColor="text1"/>
        </w:rPr>
      </w:pPr>
      <w:bookmarkStart w:id="1063" w:name="_Toc64542292"/>
      <w:bookmarkStart w:id="1064" w:name="_Toc21231"/>
      <w:bookmarkStart w:id="1065" w:name="_Toc57194370"/>
      <w:bookmarkStart w:id="1066" w:name="_Toc58861286"/>
      <w:bookmarkStart w:id="1067" w:name="_Toc57195831"/>
      <w:bookmarkStart w:id="1068" w:name="_Toc57201832"/>
      <w:bookmarkStart w:id="1069" w:name="_Toc6905"/>
      <w:r>
        <w:rPr>
          <w:rFonts w:hint="eastAsia" w:ascii="楷体_GB2312" w:eastAsia="楷体_GB2312"/>
          <w:color w:val="000000" w:themeColor="text1"/>
        </w:rPr>
        <w:t>第四节  提高残疾人发展能力</w:t>
      </w:r>
      <w:bookmarkEnd w:id="1063"/>
      <w:bookmarkEnd w:id="1064"/>
      <w:bookmarkEnd w:id="1065"/>
      <w:bookmarkEnd w:id="1066"/>
      <w:bookmarkEnd w:id="1067"/>
      <w:bookmarkEnd w:id="1068"/>
      <w:bookmarkEnd w:id="1069"/>
    </w:p>
    <w:p>
      <w:pPr>
        <w:pStyle w:val="50"/>
        <w:spacing w:line="580" w:lineRule="exact"/>
        <w:ind w:firstLine="640"/>
        <w:rPr>
          <w:rFonts w:ascii="仿宋_GB2312" w:eastAsia="仿宋_GB2312" w:hAnsiTheme="minorHAnsi" w:cstheme="minorBidi"/>
          <w:color w:val="000000" w:themeColor="text1"/>
          <w:kern w:val="0"/>
          <w:sz w:val="32"/>
          <w:szCs w:val="24"/>
        </w:rPr>
      </w:pPr>
    </w:p>
    <w:p>
      <w:pPr>
        <w:pStyle w:val="50"/>
        <w:spacing w:line="580" w:lineRule="exact"/>
        <w:ind w:firstLine="640"/>
        <w:rPr>
          <w:rFonts w:ascii="仿宋_GB2312" w:eastAsia="仿宋_GB2312" w:hAnsiTheme="minorHAnsi" w:cstheme="minorBidi"/>
          <w:color w:val="000000" w:themeColor="text1"/>
          <w:kern w:val="0"/>
          <w:sz w:val="32"/>
          <w:szCs w:val="24"/>
        </w:rPr>
      </w:pPr>
      <w:r>
        <w:rPr>
          <w:rFonts w:hint="eastAsia" w:ascii="仿宋_GB2312" w:eastAsia="仿宋_GB2312" w:hAnsiTheme="minorHAnsi" w:cstheme="minorBidi"/>
          <w:color w:val="000000" w:themeColor="text1"/>
          <w:kern w:val="0"/>
          <w:sz w:val="32"/>
          <w:szCs w:val="24"/>
        </w:rPr>
        <w:t>奋力实施残疾人工作“龙腾”策略，实施“福康工程”</w:t>
      </w:r>
      <w:r>
        <w:rPr>
          <w:rStyle w:val="38"/>
          <w:rFonts w:ascii="仿宋_GB2312" w:eastAsia="仿宋_GB2312" w:hAnsiTheme="minorHAnsi" w:cstheme="minorBidi"/>
          <w:color w:val="000000" w:themeColor="text1"/>
          <w:kern w:val="0"/>
          <w:sz w:val="32"/>
          <w:szCs w:val="24"/>
        </w:rPr>
        <w:footnoteReference w:id="19"/>
      </w:r>
      <w:r>
        <w:rPr>
          <w:rFonts w:hint="eastAsia" w:ascii="仿宋_GB2312" w:eastAsia="仿宋_GB2312" w:hAnsiTheme="minorHAnsi" w:cstheme="minorBidi"/>
          <w:color w:val="000000" w:themeColor="text1"/>
          <w:kern w:val="0"/>
          <w:sz w:val="32"/>
          <w:szCs w:val="24"/>
        </w:rPr>
        <w:t>，健全残疾人关爱服务体系。稳步推进残疾预防科学化，优化残疾人康复服务，促进康复服务市场化发展，提高康复辅助器具适配率，努力实现“人人享有康复”的目标。完善残疾人就业创业支持体系，加强残疾人劳动权益保障，优先为残疾人提供职业技能培训。推进适龄残疾儿童和少年教育全覆盖。加快发展残疾人照护和托养服务，提升县区残疾人综合服务能力。不断满足残疾人的精神文化需要。加强残疾人服务设施和无障碍环境建设，支持困难残疾人家庭无障碍设施改造。完善残疾人帮扶制度，帮助残疾人普遍参加基本医疗和基本养老保险，健全困难残疾人生活补贴和重度残疾人护理补贴标准动态调整机制。</w:t>
      </w:r>
    </w:p>
    <w:p>
      <w:pPr>
        <w:pStyle w:val="50"/>
        <w:spacing w:line="580" w:lineRule="exact"/>
        <w:ind w:firstLine="640"/>
        <w:rPr>
          <w:rFonts w:ascii="仿宋_GB2312" w:eastAsia="仿宋_GB2312" w:hAnsiTheme="minorHAnsi" w:cstheme="minorBidi"/>
          <w:color w:val="000000" w:themeColor="text1"/>
          <w:kern w:val="0"/>
          <w:sz w:val="32"/>
          <w:szCs w:val="24"/>
        </w:rPr>
      </w:pPr>
    </w:p>
    <w:tbl>
      <w:tblPr>
        <w:tblStyle w:val="3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shd w:val="clear" w:color="auto" w:fill="auto"/>
            <w:vAlign w:val="center"/>
          </w:tcPr>
          <w:p>
            <w:pPr>
              <w:pStyle w:val="52"/>
              <w:numPr>
                <w:ilvl w:val="0"/>
                <w:numId w:val="0"/>
              </w:numPr>
              <w:spacing w:after="0" w:line="360" w:lineRule="exact"/>
              <w:jc w:val="center"/>
              <w:rPr>
                <w:rFonts w:ascii="仿宋_GB2312" w:eastAsia="仿宋_GB2312"/>
                <w:b/>
                <w:color w:val="000000"/>
                <w:sz w:val="28"/>
                <w:szCs w:val="28"/>
              </w:rPr>
            </w:pPr>
            <w:r>
              <w:rPr>
                <w:rFonts w:hint="eastAsia" w:ascii="黑体" w:hAnsi="黑体" w:eastAsia="黑体" w:cs="黑体"/>
                <w:bCs/>
                <w:color w:val="000000" w:themeColor="text1"/>
                <w:sz w:val="28"/>
                <w:szCs w:val="28"/>
              </w:rPr>
              <w:t>专栏35：富民惠民安民六大行动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shd w:val="clear" w:color="auto" w:fill="auto"/>
          </w:tcPr>
          <w:p>
            <w:pPr>
              <w:pStyle w:val="51"/>
              <w:spacing w:line="400" w:lineRule="exact"/>
              <w:ind w:firstLine="482"/>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sz w:val="24"/>
              </w:rPr>
              <w:t>（一）高质量就业行动</w:t>
            </w:r>
          </w:p>
          <w:p>
            <w:pPr>
              <w:pStyle w:val="51"/>
              <w:spacing w:line="400" w:lineRule="exact"/>
              <w:ind w:firstLine="480"/>
              <w:rPr>
                <w:rFonts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实施高校毕业生等青年群体就业计划、职业技能提升行动、就业创业公共服务能力提升行动，加快建设就业形势监测预警体系。拓宽特殊人群就业渠道。</w:t>
            </w:r>
          </w:p>
          <w:p>
            <w:pPr>
              <w:pStyle w:val="51"/>
              <w:numPr>
                <w:ilvl w:val="0"/>
                <w:numId w:val="14"/>
              </w:numPr>
              <w:spacing w:line="400" w:lineRule="exact"/>
              <w:ind w:firstLine="482" w:firstLineChars="0"/>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中等收入群体培育行动</w:t>
            </w:r>
          </w:p>
          <w:p>
            <w:pPr>
              <w:pStyle w:val="51"/>
              <w:spacing w:line="400" w:lineRule="exact"/>
              <w:ind w:firstLine="480"/>
              <w:rPr>
                <w:rFonts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优化收入分配结构，扩大中等收入群体，扎实推进共同富裕。提高各种社会保</w:t>
            </w:r>
          </w:p>
          <w:p>
            <w:pPr>
              <w:pStyle w:val="51"/>
              <w:spacing w:line="400" w:lineRule="exact"/>
              <w:ind w:firstLine="0" w:firstLineChars="0"/>
              <w:rPr>
                <w:rFonts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险制度的保障水平和覆盖率，通过社会政策为低收入群体托底。精准扶助重点人群，有针对性地解决困难群体的实际问题，持续培育新成长的中等收入群体。</w:t>
            </w:r>
          </w:p>
          <w:p>
            <w:pPr>
              <w:pStyle w:val="51"/>
              <w:numPr>
                <w:ilvl w:val="0"/>
                <w:numId w:val="14"/>
              </w:numPr>
              <w:spacing w:line="400" w:lineRule="exact"/>
              <w:ind w:firstLine="482"/>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住房保障行动</w:t>
            </w:r>
          </w:p>
          <w:p>
            <w:pPr>
              <w:pStyle w:val="51"/>
              <w:spacing w:line="400" w:lineRule="exact"/>
              <w:ind w:firstLine="480"/>
              <w:rPr>
                <w:rFonts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 xml:space="preserve"> 完善公租房管理机制，规范退出机制，健全监督机制。提高租赁补贴比例。落</w:t>
            </w:r>
          </w:p>
          <w:p>
            <w:pPr>
              <w:pStyle w:val="51"/>
              <w:spacing w:line="400" w:lineRule="exact"/>
              <w:ind w:firstLine="0" w:firstLineChars="0"/>
              <w:rPr>
                <w:rFonts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实人才公寓建设计划，继续推进旧改安置房建设。加强住房租赁市场管理，增加租赁房源供应，加大住房租赁税收支持。完善公积金制度，探索拓宽使用与支持渠道。</w:t>
            </w:r>
          </w:p>
          <w:p>
            <w:pPr>
              <w:pStyle w:val="51"/>
              <w:numPr>
                <w:ilvl w:val="0"/>
                <w:numId w:val="14"/>
              </w:numPr>
              <w:spacing w:line="400" w:lineRule="exact"/>
              <w:ind w:firstLine="482"/>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社会救助行动</w:t>
            </w:r>
          </w:p>
          <w:p>
            <w:pPr>
              <w:pStyle w:val="51"/>
              <w:spacing w:line="400" w:lineRule="exact"/>
              <w:ind w:firstLine="480"/>
              <w:rPr>
                <w:rFonts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改革完善社会救助制度，建立救助标准动态调整机制，健全分类动态管理机制。积极发展服务型救助，鼓励发展实物救助。优化社会救助服务程序，完善救助事项“掌上办”，推进社会救助事项申请办理向移动端延伸。</w:t>
            </w:r>
          </w:p>
          <w:p>
            <w:pPr>
              <w:pStyle w:val="51"/>
              <w:numPr>
                <w:ilvl w:val="0"/>
                <w:numId w:val="14"/>
              </w:numPr>
              <w:spacing w:line="400" w:lineRule="exact"/>
              <w:ind w:firstLine="482"/>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慈善公益行动</w:t>
            </w:r>
          </w:p>
          <w:p>
            <w:pPr>
              <w:pStyle w:val="51"/>
              <w:spacing w:line="400" w:lineRule="exact"/>
              <w:ind w:firstLine="480"/>
              <w:rPr>
                <w:rFonts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建立政府救助与慈善救助衔接机制，建立公益慈善救助项目库，为捐赠方和救助对象提供供需服务。对在慈善救助领域作出突出贡献的集体和个人给予表彰奖励。加强对慈善机构和互联网公开募捐平台监管。</w:t>
            </w:r>
          </w:p>
          <w:p>
            <w:pPr>
              <w:pStyle w:val="51"/>
              <w:numPr>
                <w:ilvl w:val="0"/>
                <w:numId w:val="14"/>
              </w:numPr>
              <w:spacing w:line="400" w:lineRule="exact"/>
              <w:ind w:firstLine="482"/>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sz w:val="24"/>
              </w:rPr>
              <w:t>高质量助残行动</w:t>
            </w:r>
          </w:p>
          <w:p>
            <w:pPr>
              <w:pStyle w:val="51"/>
              <w:spacing w:line="400" w:lineRule="exact"/>
              <w:ind w:firstLine="480"/>
              <w:rPr>
                <w:rFonts w:ascii="仿宋_GB2312" w:hAnsi="Calibri" w:eastAsia="仿宋_GB2312"/>
                <w:color w:val="000000"/>
                <w:kern w:val="0"/>
              </w:rPr>
            </w:pPr>
            <w:r>
              <w:rPr>
                <w:rFonts w:hint="eastAsia" w:ascii="仿宋_GB2312" w:hAnsi="仿宋_GB2312" w:eastAsia="仿宋_GB2312" w:cs="仿宋_GB2312"/>
                <w:bCs/>
                <w:color w:val="000000"/>
                <w:sz w:val="24"/>
              </w:rPr>
              <w:t>完善残疾人创业孵化基地，创建残疾人创业培训实训基地。</w:t>
            </w:r>
            <w:r>
              <w:rPr>
                <w:rFonts w:hint="eastAsia" w:ascii="仿宋_GB2312" w:hAnsi="仿宋_GB2312" w:eastAsia="仿宋_GB2312" w:cs="仿宋_GB2312"/>
                <w:sz w:val="24"/>
              </w:rPr>
              <w:t>加强农村残疾人种植业、养殖业实用技术培训。加强残疾人康复服务设施建设，加快</w:t>
            </w:r>
            <w:r>
              <w:rPr>
                <w:rFonts w:hint="eastAsia" w:ascii="仿宋_GB2312" w:hAnsi="仿宋_GB2312" w:eastAsia="仿宋_GB2312" w:cs="仿宋_GB2312"/>
                <w:bCs/>
                <w:color w:val="000000"/>
                <w:sz w:val="24"/>
              </w:rPr>
              <w:t>“互联网+残疾人服务”平台建设。</w:t>
            </w:r>
            <w:r>
              <w:rPr>
                <w:rFonts w:hint="eastAsia" w:ascii="仿宋_GB2312" w:hAnsi="仿宋_GB2312" w:eastAsia="仿宋_GB2312" w:cs="仿宋_GB2312"/>
                <w:sz w:val="24"/>
              </w:rPr>
              <w:t>加大残疾儿童助学力度，加快</w:t>
            </w:r>
            <w:r>
              <w:rPr>
                <w:rFonts w:hint="eastAsia" w:ascii="仿宋_GB2312" w:hAnsi="仿宋_GB2312" w:eastAsia="仿宋_GB2312" w:cs="仿宋_GB2312"/>
                <w:bCs/>
                <w:color w:val="000000"/>
                <w:sz w:val="24"/>
              </w:rPr>
              <w:t>残疾人文化产业发展，提升无障碍环境建设管理水平。</w:t>
            </w:r>
          </w:p>
        </w:tc>
      </w:tr>
      <w:bookmarkEnd w:id="660"/>
      <w:bookmarkEnd w:id="661"/>
    </w:tbl>
    <w:p>
      <w:pPr>
        <w:pStyle w:val="2"/>
        <w:spacing w:after="0" w:line="580" w:lineRule="exact"/>
        <w:ind w:firstLine="0" w:firstLineChars="0"/>
      </w:pPr>
      <w:bookmarkStart w:id="1070" w:name="_Toc21928"/>
      <w:bookmarkStart w:id="1071" w:name="_Toc57195852"/>
      <w:bookmarkStart w:id="1072" w:name="_Toc57194391"/>
    </w:p>
    <w:p>
      <w:pPr>
        <w:pStyle w:val="2"/>
        <w:spacing w:after="0" w:line="580" w:lineRule="exact"/>
        <w:ind w:firstLine="0" w:firstLineChars="0"/>
      </w:pPr>
    </w:p>
    <w:p>
      <w:pPr>
        <w:pStyle w:val="2"/>
        <w:spacing w:after="0" w:line="580" w:lineRule="exact"/>
        <w:ind w:firstLine="0" w:firstLineChars="0"/>
      </w:pPr>
    </w:p>
    <w:p>
      <w:pPr>
        <w:ind w:firstLine="640"/>
      </w:pPr>
      <w:r>
        <w:rPr>
          <w:rFonts w:hint="eastAsia"/>
        </w:rPr>
        <w:br w:type="page"/>
      </w:r>
    </w:p>
    <w:p>
      <w:pPr>
        <w:pStyle w:val="29"/>
        <w:adjustRightInd/>
        <w:snapToGrid/>
        <w:spacing w:line="580" w:lineRule="exact"/>
        <w:rPr>
          <w:color w:val="000000" w:themeColor="text1"/>
        </w:rPr>
      </w:pPr>
      <w:bookmarkStart w:id="1073" w:name="_Toc2522"/>
      <w:bookmarkStart w:id="1074" w:name="_Toc64542293"/>
    </w:p>
    <w:p>
      <w:pPr>
        <w:pStyle w:val="29"/>
        <w:adjustRightInd/>
        <w:snapToGrid/>
        <w:spacing w:line="580" w:lineRule="exact"/>
        <w:rPr>
          <w:color w:val="000000" w:themeColor="text1"/>
        </w:rPr>
      </w:pPr>
      <w:r>
        <w:rPr>
          <w:rFonts w:hint="eastAsia"/>
          <w:color w:val="000000" w:themeColor="text1"/>
        </w:rPr>
        <w:t>第十五篇  建设更高水平的平安南昌</w:t>
      </w:r>
      <w:bookmarkEnd w:id="1070"/>
      <w:bookmarkEnd w:id="1073"/>
      <w:bookmarkEnd w:id="1074"/>
    </w:p>
    <w:p>
      <w:pPr>
        <w:spacing w:line="580" w:lineRule="exact"/>
        <w:ind w:firstLine="640"/>
        <w:rPr>
          <w:rFonts w:ascii="仿宋_GB2312" w:eastAsia="仿宋_GB2312"/>
          <w:color w:val="000000" w:themeColor="text1"/>
          <w:kern w:val="0"/>
        </w:rPr>
      </w:pPr>
      <w:bookmarkStart w:id="1075" w:name="_Toc57195841"/>
      <w:bookmarkStart w:id="1076" w:name="_Toc57194380"/>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全面贯彻落实总体国家安全观，切实把安全发展贯穿于全市发展各领域全过程，加强和改进市域社会治理，形成共建共治共享的良好局面，打造“昌治久安”市域社会治理体系样板。</w:t>
      </w:r>
    </w:p>
    <w:p>
      <w:pPr>
        <w:pStyle w:val="31"/>
        <w:spacing w:line="580" w:lineRule="exact"/>
        <w:ind w:firstLine="640"/>
      </w:pPr>
    </w:p>
    <w:p>
      <w:pPr>
        <w:pStyle w:val="23"/>
        <w:adjustRightInd/>
        <w:snapToGrid/>
        <w:spacing w:line="580" w:lineRule="exact"/>
        <w:rPr>
          <w:b w:val="0"/>
          <w:color w:val="000000" w:themeColor="text1"/>
        </w:rPr>
      </w:pPr>
      <w:bookmarkStart w:id="1077" w:name="_Toc64542294"/>
      <w:bookmarkStart w:id="1078" w:name="_Toc58861296"/>
      <w:bookmarkStart w:id="1079" w:name="_Toc16295"/>
      <w:bookmarkStart w:id="1080" w:name="_Toc16012"/>
      <w:bookmarkStart w:id="1081" w:name="_Toc57194372"/>
      <w:bookmarkStart w:id="1082" w:name="_Toc58861288"/>
      <w:bookmarkStart w:id="1083" w:name="_Toc57195833"/>
      <w:r>
        <w:rPr>
          <w:rFonts w:hint="eastAsia"/>
          <w:b w:val="0"/>
          <w:color w:val="000000" w:themeColor="text1"/>
        </w:rPr>
        <w:t>第四十九章  健全公共安全体制机制</w:t>
      </w:r>
      <w:bookmarkEnd w:id="1077"/>
      <w:bookmarkEnd w:id="1078"/>
      <w:bookmarkEnd w:id="1079"/>
      <w:bookmarkEnd w:id="1080"/>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统筹发展与安全，筑牢国家安全屏障，防范和化解影响现代化进程的各种风险，守住不发生系统性风险底线。</w:t>
      </w:r>
    </w:p>
    <w:p>
      <w:pPr>
        <w:pStyle w:val="31"/>
        <w:spacing w:line="580" w:lineRule="exact"/>
        <w:ind w:firstLine="0" w:firstLineChars="0"/>
      </w:pPr>
    </w:p>
    <w:p>
      <w:pPr>
        <w:pStyle w:val="74"/>
        <w:adjustRightInd/>
        <w:snapToGrid/>
        <w:spacing w:line="580" w:lineRule="exact"/>
        <w:rPr>
          <w:rFonts w:ascii="楷体_GB2312" w:eastAsia="楷体_GB2312"/>
          <w:color w:val="000000" w:themeColor="text1"/>
        </w:rPr>
      </w:pPr>
      <w:bookmarkStart w:id="1084" w:name="_Toc58861297"/>
      <w:bookmarkStart w:id="1085" w:name="_Toc64542295"/>
      <w:bookmarkStart w:id="1086" w:name="_Toc18212"/>
      <w:bookmarkStart w:id="1087" w:name="_Toc27493"/>
      <w:r>
        <w:rPr>
          <w:rFonts w:hint="eastAsia" w:ascii="楷体_GB2312" w:eastAsia="楷体_GB2312"/>
          <w:color w:val="000000" w:themeColor="text1"/>
        </w:rPr>
        <w:t>第一节  加强国家安全体系和能力建设</w:t>
      </w:r>
      <w:bookmarkEnd w:id="1084"/>
      <w:bookmarkEnd w:id="1085"/>
      <w:bookmarkEnd w:id="1086"/>
      <w:bookmarkEnd w:id="1087"/>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坚持维护集中统一、高效权威的国家安全领导体制，健全完善贯彻落实总体国家安全观的地方工作体系和制度体系。强化“大安全”工作格局，进一步完善重点领域专项工作机制，提高防范抵御国家安全风险能力。落实国家安全审查和监管制度，加强国家安全执法。推进国家安全宣传教育常态化长效化，增强全市人民国家安全意识，巩固国家安全人民防线。坚定维护国家政权安全、制度安全、意识形态安全，全面加强网络安全、信息安全、数据安全保障体系和能力建设。全面深入持久开展民族团结进步创建工作，铸牢中华民族共同体意识，抵御宗教渗透，制止非法宗教活动。严密防范和严厉打击敌对势力渗透、破坏、颠覆、分裂活动。推进反恐处突训练基地和监管场所建设，锻造一支训练有素、本领高强的反恐精英队伍。提升外事工作社会化水平，强化涉外安全意识。军地合力加强动员能力建设，深化民兵调整改革，建强后备力量，支持部队拓展社会化保障，推进经济建设与国防建设协调发展。</w:t>
      </w:r>
    </w:p>
    <w:p>
      <w:pPr>
        <w:pStyle w:val="31"/>
        <w:spacing w:line="580" w:lineRule="exact"/>
        <w:ind w:firstLine="640"/>
      </w:pPr>
    </w:p>
    <w:p>
      <w:pPr>
        <w:pStyle w:val="74"/>
        <w:adjustRightInd/>
        <w:snapToGrid/>
        <w:spacing w:line="580" w:lineRule="exact"/>
        <w:rPr>
          <w:rFonts w:ascii="楷体_GB2312" w:eastAsia="楷体_GB2312"/>
          <w:color w:val="000000" w:themeColor="text1"/>
        </w:rPr>
      </w:pPr>
      <w:bookmarkStart w:id="1088" w:name="_Toc25966"/>
      <w:bookmarkStart w:id="1089" w:name="_Toc15935"/>
      <w:bookmarkStart w:id="1090" w:name="_Toc64542296"/>
      <w:bookmarkStart w:id="1091" w:name="_Toc58861298"/>
      <w:r>
        <w:rPr>
          <w:rFonts w:hint="eastAsia" w:ascii="楷体_GB2312" w:eastAsia="楷体_GB2312"/>
          <w:color w:val="000000" w:themeColor="text1"/>
        </w:rPr>
        <w:t>第二节  维护经济安全</w:t>
      </w:r>
      <w:bookmarkEnd w:id="1088"/>
      <w:bookmarkEnd w:id="1089"/>
      <w:bookmarkEnd w:id="1090"/>
      <w:bookmarkEnd w:id="1091"/>
    </w:p>
    <w:p>
      <w:pPr>
        <w:spacing w:line="580" w:lineRule="exact"/>
        <w:ind w:firstLine="640"/>
        <w:rPr>
          <w:rFonts w:eastAsia="仿宋_GB2312"/>
          <w:color w:val="000000" w:themeColor="text1"/>
          <w:szCs w:val="34"/>
        </w:rPr>
      </w:pPr>
    </w:p>
    <w:p>
      <w:pPr>
        <w:spacing w:line="558" w:lineRule="exact"/>
        <w:ind w:firstLine="640"/>
        <w:rPr>
          <w:rFonts w:ascii="仿宋_GB2312" w:eastAsia="仿宋_GB2312"/>
          <w:color w:val="000000" w:themeColor="text1"/>
          <w:kern w:val="0"/>
        </w:rPr>
      </w:pPr>
      <w:r>
        <w:rPr>
          <w:rFonts w:hint="eastAsia" w:eastAsia="仿宋_GB2312"/>
          <w:color w:val="000000" w:themeColor="text1"/>
          <w:szCs w:val="34"/>
        </w:rPr>
        <w:t>牢固树立风险意识、底线思维，聚</w:t>
      </w:r>
      <w:r>
        <w:rPr>
          <w:rFonts w:hint="eastAsia" w:eastAsia="仿宋_GB2312" w:cs="方正仿宋简体"/>
          <w:color w:val="000000" w:themeColor="text1"/>
          <w:szCs w:val="34"/>
        </w:rPr>
        <w:t>焦防范化解经济领域风险，</w:t>
      </w:r>
      <w:r>
        <w:rPr>
          <w:rFonts w:hint="eastAsia" w:eastAsia="仿宋_GB2312" w:cs="仿宋_GB2312"/>
          <w:color w:val="000000" w:themeColor="text1"/>
          <w:szCs w:val="34"/>
        </w:rPr>
        <w:t>维护经济安全。</w:t>
      </w:r>
      <w:r>
        <w:rPr>
          <w:rFonts w:hint="eastAsia" w:ascii="仿宋_GB2312" w:eastAsia="仿宋_GB2312"/>
          <w:color w:val="000000" w:themeColor="text1"/>
          <w:kern w:val="0"/>
        </w:rPr>
        <w:t>加强重要经济指标动态监测和研判，完善经济风险识别预警机制和应对预案，建立健全维护产业链供应链安全机制，完善信息发布和政策解读机制。</w:t>
      </w:r>
      <w:r>
        <w:rPr>
          <w:rFonts w:hint="eastAsia" w:eastAsia="仿宋_GB2312"/>
          <w:color w:val="000000" w:themeColor="text1"/>
          <w:szCs w:val="34"/>
        </w:rPr>
        <w:t>构建更高层次粮食安全保障体系。</w:t>
      </w:r>
      <w:r>
        <w:rPr>
          <w:rFonts w:hint="eastAsia" w:ascii="仿宋_GB2312" w:eastAsia="仿宋_GB2312"/>
          <w:color w:val="000000" w:themeColor="text1"/>
          <w:kern w:val="0"/>
        </w:rPr>
        <w:t>落实“米袋子”省长负责制、“菜篮子”市长负责制，</w:t>
      </w:r>
      <w:r>
        <w:rPr>
          <w:rFonts w:hint="eastAsia" w:eastAsia="仿宋_GB2312"/>
          <w:color w:val="000000" w:themeColor="text1"/>
          <w:szCs w:val="34"/>
        </w:rPr>
        <w:t>稳定粮食产量和生猪、蔬菜等重要农产品有效供给。</w:t>
      </w:r>
      <w:r>
        <w:rPr>
          <w:rFonts w:hint="eastAsia" w:ascii="仿宋_GB2312" w:eastAsia="仿宋_GB2312"/>
          <w:color w:val="000000" w:themeColor="text1"/>
          <w:kern w:val="0"/>
        </w:rPr>
        <w:t>构建统一高效的粮食和物资储备体系、粮食现代流通和供应安全保障体系，建设数字化平台和猪肉、果蔬等重要农产品综合监测网络。加快推进粮食仓储设施建设和改造，加快实施第三、第六粮库退城进郊工程。</w:t>
      </w:r>
      <w:r>
        <w:rPr>
          <w:rFonts w:hint="eastAsia" w:eastAsia="仿宋_GB2312"/>
          <w:color w:val="000000" w:themeColor="text1"/>
          <w:szCs w:val="34"/>
        </w:rPr>
        <w:t>科学评估各类物资储备水平，强化储备物资保障体系建设，合理确定市级储备和县级储备、政府储备和企业储备、实物储备和产能储备规模。</w:t>
      </w:r>
      <w:r>
        <w:rPr>
          <w:rFonts w:hint="eastAsia" w:eastAsia="仿宋_GB2312" w:cs="仿宋_GB2312"/>
          <w:color w:val="000000" w:themeColor="text1"/>
          <w:szCs w:val="34"/>
        </w:rPr>
        <w:t>坚持以兜底线为重点，维护财政平衡运行</w:t>
      </w:r>
      <w:r>
        <w:rPr>
          <w:rFonts w:hint="eastAsia" w:eastAsia="仿宋_GB2312" w:cs="仿宋"/>
          <w:color w:val="000000" w:themeColor="text1"/>
          <w:szCs w:val="34"/>
        </w:rPr>
        <w:t>。</w:t>
      </w:r>
      <w:r>
        <w:rPr>
          <w:rFonts w:hint="eastAsia" w:ascii="仿宋_GB2312" w:eastAsia="仿宋_GB2312"/>
          <w:color w:val="000000" w:themeColor="text1"/>
          <w:kern w:val="0"/>
        </w:rPr>
        <w:t>完善地方政府性债务风险管控体制机制，稳步化解地方政府隐性债务风险，实现政府债务率安全可控。</w:t>
      </w:r>
      <w:r>
        <w:rPr>
          <w:rFonts w:hint="eastAsia" w:eastAsia="仿宋_GB2312" w:cs="仿宋"/>
          <w:color w:val="000000" w:themeColor="text1"/>
          <w:szCs w:val="34"/>
        </w:rPr>
        <w:t>积</w:t>
      </w:r>
      <w:r>
        <w:rPr>
          <w:rFonts w:hint="eastAsia" w:eastAsia="仿宋_GB2312" w:cs="仿宋_GB2312"/>
          <w:color w:val="000000" w:themeColor="text1"/>
          <w:szCs w:val="34"/>
        </w:rPr>
        <w:t>极稳妥做好“僵尸企业”处置工作。</w:t>
      </w:r>
      <w:r>
        <w:rPr>
          <w:rFonts w:hint="eastAsia" w:ascii="仿宋_GB2312" w:eastAsia="仿宋_GB2312"/>
          <w:color w:val="000000" w:themeColor="text1"/>
          <w:kern w:val="0"/>
        </w:rPr>
        <w:t>构建完善金融风险防控处置体系，</w:t>
      </w:r>
      <w:r>
        <w:rPr>
          <w:rFonts w:hint="eastAsia" w:eastAsia="仿宋_GB2312" w:cs="仿宋_GB2312"/>
          <w:color w:val="000000" w:themeColor="text1"/>
          <w:szCs w:val="34"/>
        </w:rPr>
        <w:t>完善防范化解金融领域风险长效机制，强化互联网金融监管，严厉打击</w:t>
      </w:r>
      <w:r>
        <w:rPr>
          <w:rFonts w:hint="eastAsia" w:ascii="仿宋_GB2312" w:eastAsia="仿宋_GB2312"/>
          <w:color w:val="000000" w:themeColor="text1"/>
          <w:kern w:val="0"/>
        </w:rPr>
        <w:t>非法集资、逃废债等</w:t>
      </w:r>
      <w:r>
        <w:rPr>
          <w:rFonts w:hint="eastAsia" w:eastAsia="仿宋_GB2312" w:cs="仿宋_GB2312"/>
          <w:color w:val="000000" w:themeColor="text1"/>
          <w:szCs w:val="34"/>
        </w:rPr>
        <w:t>金融犯罪活动。</w:t>
      </w:r>
      <w:r>
        <w:rPr>
          <w:rFonts w:hint="eastAsia" w:ascii="仿宋_GB2312" w:eastAsia="仿宋_GB2312"/>
          <w:color w:val="000000" w:themeColor="text1"/>
          <w:kern w:val="0"/>
        </w:rPr>
        <w:t>建立防范化解企业风险监测预警、帮助处置长效机制。</w:t>
      </w:r>
    </w:p>
    <w:p>
      <w:pPr>
        <w:pStyle w:val="31"/>
        <w:spacing w:line="558" w:lineRule="exact"/>
        <w:ind w:firstLine="640"/>
      </w:pPr>
    </w:p>
    <w:p>
      <w:pPr>
        <w:pStyle w:val="74"/>
        <w:adjustRightInd/>
        <w:snapToGrid/>
        <w:spacing w:line="558" w:lineRule="exact"/>
        <w:rPr>
          <w:rFonts w:ascii="楷体_GB2312" w:eastAsia="楷体_GB2312"/>
          <w:color w:val="000000" w:themeColor="text1"/>
        </w:rPr>
      </w:pPr>
      <w:bookmarkStart w:id="1092" w:name="_Toc7679"/>
      <w:bookmarkStart w:id="1093" w:name="_Toc58861299"/>
      <w:bookmarkStart w:id="1094" w:name="_Toc64542297"/>
      <w:bookmarkStart w:id="1095" w:name="_Toc18864"/>
      <w:r>
        <w:rPr>
          <w:rFonts w:hint="eastAsia" w:ascii="楷体_GB2312" w:eastAsia="楷体_GB2312"/>
          <w:color w:val="000000" w:themeColor="text1"/>
        </w:rPr>
        <w:t>第三节  提升公共安全保障能力</w:t>
      </w:r>
      <w:bookmarkEnd w:id="1092"/>
      <w:bookmarkEnd w:id="1093"/>
      <w:bookmarkEnd w:id="1094"/>
      <w:bookmarkEnd w:id="1095"/>
    </w:p>
    <w:p>
      <w:pPr>
        <w:spacing w:line="558" w:lineRule="exact"/>
        <w:ind w:firstLine="640"/>
        <w:rPr>
          <w:rFonts w:ascii="仿宋_GB2312" w:eastAsia="仿宋_GB2312"/>
          <w:color w:val="000000" w:themeColor="text1"/>
          <w:kern w:val="0"/>
        </w:rPr>
      </w:pPr>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完善和落实安全生产责任制，推动国家安全发展示范城市建设，建立公共安全隐患排查和安全预防控制体系。加强安全生产监管执法，持续推进道路交通、危化、建设施工、消防等重点领域专项行动，有效遏制重特大公共安全事故。强化生物安全保障，提高食品药品等关系人民健康产品和服务的安全监管水平，开展食品安全治理示范行动，实施从农田到餐桌全过程监管，提升食品全链条质量安全保障水平，年度食品安全监督抽检不低于6份/千人。强化疫苗等高风险品种监管。实施第一次自然灾害风险普查，提升洪涝干旱、森林火灾、地质灾害、地震等自然灾害防御工程标准，推进防灾抗灾重大基础设施建设。完善应急管理体制机制，强化应急管理基础和应急救援队伍建设。深化安全监管和执法体制改革，推进消防安全监管执法规范化、专业化。加快构建政府、企业、第三方等多方联动应急物资保障体系，优化重要应急物资产能保障和区域布局。发展巨灾保险。</w:t>
      </w:r>
      <w:r>
        <w:rPr>
          <w:rFonts w:hint="eastAsia" w:ascii="仿宋_GB2312" w:eastAsia="仿宋_GB2312"/>
          <w:color w:val="000000" w:themeColor="text1"/>
          <w:kern w:val="0"/>
        </w:rPr>
        <w:br w:type="page"/>
      </w:r>
    </w:p>
    <w:p>
      <w:pPr>
        <w:pStyle w:val="23"/>
        <w:adjustRightInd/>
        <w:snapToGrid/>
        <w:spacing w:line="558" w:lineRule="exact"/>
        <w:rPr>
          <w:b w:val="0"/>
          <w:color w:val="000000" w:themeColor="text1"/>
        </w:rPr>
      </w:pPr>
      <w:bookmarkStart w:id="1096" w:name="_Toc10965"/>
      <w:bookmarkStart w:id="1097" w:name="_Toc25842"/>
      <w:bookmarkStart w:id="1098" w:name="_Toc64542298"/>
    </w:p>
    <w:p>
      <w:pPr>
        <w:pStyle w:val="23"/>
        <w:adjustRightInd/>
        <w:snapToGrid/>
        <w:spacing w:line="558" w:lineRule="exact"/>
        <w:rPr>
          <w:b w:val="0"/>
          <w:color w:val="000000" w:themeColor="text1"/>
        </w:rPr>
      </w:pPr>
      <w:r>
        <w:rPr>
          <w:rFonts w:hint="eastAsia"/>
          <w:b w:val="0"/>
          <w:color w:val="000000" w:themeColor="text1"/>
        </w:rPr>
        <w:t>第五十章  维护社会和谐稳定</w:t>
      </w:r>
      <w:bookmarkEnd w:id="1081"/>
      <w:bookmarkEnd w:id="1082"/>
      <w:bookmarkEnd w:id="1083"/>
      <w:bookmarkEnd w:id="1096"/>
      <w:bookmarkEnd w:id="1097"/>
      <w:bookmarkEnd w:id="1098"/>
    </w:p>
    <w:p>
      <w:pPr>
        <w:spacing w:line="558" w:lineRule="exact"/>
        <w:ind w:firstLine="640"/>
        <w:rPr>
          <w:rFonts w:ascii="仿宋_GB2312" w:eastAsia="仿宋_GB2312"/>
          <w:color w:val="000000" w:themeColor="text1"/>
          <w:kern w:val="0"/>
        </w:rPr>
      </w:pPr>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加强和创新社会治理，完善共建共治共享的社会治理制度，</w:t>
      </w:r>
      <w:r>
        <w:rPr>
          <w:rFonts w:ascii="仿宋_GB2312" w:eastAsia="仿宋_GB2312"/>
          <w:color w:val="000000" w:themeColor="text1"/>
          <w:kern w:val="0"/>
        </w:rPr>
        <w:t>正确</w:t>
      </w:r>
      <w:r>
        <w:rPr>
          <w:rFonts w:hint="eastAsia" w:ascii="仿宋_GB2312" w:eastAsia="仿宋_GB2312"/>
          <w:color w:val="000000" w:themeColor="text1"/>
          <w:kern w:val="0"/>
        </w:rPr>
        <w:t>处理新形势下人民内部矛盾，</w:t>
      </w:r>
      <w:r>
        <w:rPr>
          <w:rFonts w:ascii="仿宋_GB2312" w:eastAsia="仿宋_GB2312"/>
          <w:color w:val="000000" w:themeColor="text1"/>
          <w:kern w:val="0"/>
        </w:rPr>
        <w:t>建设</w:t>
      </w:r>
      <w:r>
        <w:rPr>
          <w:rFonts w:hint="eastAsia" w:ascii="仿宋_GB2312" w:eastAsia="仿宋_GB2312"/>
          <w:color w:val="000000" w:themeColor="text1"/>
          <w:kern w:val="0"/>
        </w:rPr>
        <w:t>人人有责、</w:t>
      </w:r>
      <w:r>
        <w:rPr>
          <w:rFonts w:ascii="仿宋_GB2312" w:eastAsia="仿宋_GB2312"/>
          <w:color w:val="000000" w:themeColor="text1"/>
          <w:kern w:val="0"/>
        </w:rPr>
        <w:t>人人</w:t>
      </w:r>
      <w:r>
        <w:rPr>
          <w:rFonts w:hint="eastAsia" w:ascii="仿宋_GB2312" w:eastAsia="仿宋_GB2312"/>
          <w:color w:val="000000" w:themeColor="text1"/>
          <w:kern w:val="0"/>
        </w:rPr>
        <w:t>尽责、</w:t>
      </w:r>
      <w:r>
        <w:rPr>
          <w:rFonts w:ascii="仿宋_GB2312" w:eastAsia="仿宋_GB2312"/>
          <w:color w:val="000000" w:themeColor="text1"/>
          <w:kern w:val="0"/>
        </w:rPr>
        <w:t>人人</w:t>
      </w:r>
      <w:r>
        <w:rPr>
          <w:rFonts w:hint="eastAsia" w:ascii="仿宋_GB2312" w:eastAsia="仿宋_GB2312"/>
          <w:color w:val="000000" w:themeColor="text1"/>
          <w:kern w:val="0"/>
        </w:rPr>
        <w:t>享有的社会治理共同体。</w:t>
      </w:r>
    </w:p>
    <w:p>
      <w:pPr>
        <w:pStyle w:val="31"/>
        <w:autoSpaceDN/>
        <w:spacing w:line="558" w:lineRule="exact"/>
        <w:ind w:firstLine="640"/>
      </w:pPr>
    </w:p>
    <w:p>
      <w:pPr>
        <w:pStyle w:val="74"/>
        <w:adjustRightInd/>
        <w:snapToGrid/>
        <w:spacing w:line="558" w:lineRule="exact"/>
        <w:rPr>
          <w:rFonts w:ascii="楷体_GB2312" w:eastAsia="楷体_GB2312"/>
          <w:color w:val="000000" w:themeColor="text1"/>
        </w:rPr>
      </w:pPr>
      <w:bookmarkStart w:id="1099" w:name="_Toc3756"/>
      <w:bookmarkStart w:id="1100" w:name="_Toc58861289"/>
      <w:bookmarkStart w:id="1101" w:name="_Toc32086"/>
      <w:bookmarkStart w:id="1102" w:name="_Toc57195834"/>
      <w:bookmarkStart w:id="1103" w:name="_Toc57194373"/>
      <w:bookmarkStart w:id="1104" w:name="_Toc64542299"/>
      <w:r>
        <w:rPr>
          <w:rFonts w:hint="eastAsia" w:ascii="楷体_GB2312" w:eastAsia="楷体_GB2312"/>
          <w:color w:val="000000" w:themeColor="text1"/>
        </w:rPr>
        <w:t>第一节  健全社会矛盾综合治理机制</w:t>
      </w:r>
      <w:bookmarkEnd w:id="1099"/>
      <w:bookmarkEnd w:id="1100"/>
      <w:bookmarkEnd w:id="1101"/>
      <w:bookmarkEnd w:id="1102"/>
      <w:bookmarkEnd w:id="1103"/>
      <w:bookmarkEnd w:id="1104"/>
    </w:p>
    <w:p>
      <w:pPr>
        <w:spacing w:line="558" w:lineRule="exact"/>
        <w:ind w:firstLine="640"/>
        <w:rPr>
          <w:rFonts w:ascii="仿宋_GB2312" w:eastAsia="仿宋_GB2312"/>
          <w:color w:val="000000" w:themeColor="text1"/>
          <w:kern w:val="0"/>
        </w:rPr>
      </w:pPr>
      <w:bookmarkStart w:id="1105" w:name="_Toc57195835"/>
      <w:bookmarkStart w:id="1106" w:name="_Toc57194374"/>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坚持和发展新时代“枫桥经验”，畅通和规范群众诉求表达、利益协调、权益保障通道。完善信访制度，推进信访工作专业化、法治化、信息化建设。完善社会矛盾纠纷多元化预防调处化解综合机制，建立矛盾纠纷溯源倒查和责任倒查制度，全面落实重大决策社会稳定风险评估机制。健全维稳工作机制，完善落实涉稳突出问题分类归口处理机制，加强行业性、专业性社会矛盾调解平台建设。建立农村土地承包经营纠纷调解仲裁体系，完善“民转刑”案件预防机制。健全人民调解、行政调解、司法调解等多元化纠纷联动工作体系，健全社会心理服务体系和危机干预机制，努力将矛盾化解在基层。</w:t>
      </w:r>
    </w:p>
    <w:p>
      <w:pPr>
        <w:pStyle w:val="31"/>
        <w:autoSpaceDN/>
        <w:spacing w:line="558" w:lineRule="exact"/>
        <w:ind w:firstLine="640"/>
      </w:pPr>
    </w:p>
    <w:p>
      <w:pPr>
        <w:pStyle w:val="74"/>
        <w:adjustRightInd/>
        <w:snapToGrid/>
        <w:spacing w:line="558" w:lineRule="exact"/>
        <w:rPr>
          <w:rFonts w:ascii="楷体_GB2312" w:eastAsia="楷体_GB2312"/>
          <w:color w:val="000000" w:themeColor="text1"/>
        </w:rPr>
      </w:pPr>
      <w:bookmarkStart w:id="1107" w:name="_Toc64542300"/>
      <w:bookmarkStart w:id="1108" w:name="_Toc58861290"/>
      <w:bookmarkStart w:id="1109" w:name="_Toc28383"/>
      <w:bookmarkStart w:id="1110" w:name="_Toc22595"/>
      <w:r>
        <w:rPr>
          <w:rFonts w:hint="eastAsia" w:ascii="楷体_GB2312" w:eastAsia="楷体_GB2312"/>
          <w:color w:val="000000" w:themeColor="text1"/>
        </w:rPr>
        <w:t>第二节  完善社会治安防控体系</w:t>
      </w:r>
      <w:bookmarkEnd w:id="1105"/>
      <w:bookmarkEnd w:id="1106"/>
      <w:bookmarkEnd w:id="1107"/>
      <w:bookmarkEnd w:id="1108"/>
      <w:bookmarkEnd w:id="1109"/>
      <w:bookmarkEnd w:id="1110"/>
    </w:p>
    <w:p>
      <w:pPr>
        <w:spacing w:line="558" w:lineRule="exact"/>
        <w:ind w:firstLine="640"/>
        <w:rPr>
          <w:rFonts w:ascii="仿宋_GB2312" w:eastAsia="仿宋_GB2312"/>
          <w:color w:val="000000" w:themeColor="text1"/>
          <w:kern w:val="0"/>
        </w:rPr>
      </w:pPr>
      <w:bookmarkStart w:id="1111" w:name="_Toc57195836"/>
      <w:bookmarkStart w:id="1112" w:name="_Toc57194375"/>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创建社会治安防控体系示范城市。</w:t>
      </w:r>
      <w:r>
        <w:rPr>
          <w:rFonts w:ascii="仿宋_GB2312" w:eastAsia="仿宋_GB2312"/>
          <w:color w:val="000000" w:themeColor="text1"/>
          <w:kern w:val="0"/>
        </w:rPr>
        <w:t>构建问题联</w:t>
      </w:r>
      <w:r>
        <w:rPr>
          <w:rFonts w:hint="eastAsia" w:ascii="仿宋_GB2312" w:eastAsia="仿宋_GB2312"/>
          <w:color w:val="000000" w:themeColor="text1"/>
          <w:kern w:val="0"/>
        </w:rPr>
        <w:t>治、</w:t>
      </w:r>
      <w:r>
        <w:rPr>
          <w:rFonts w:ascii="仿宋_GB2312" w:eastAsia="仿宋_GB2312"/>
          <w:color w:val="000000" w:themeColor="text1"/>
          <w:kern w:val="0"/>
        </w:rPr>
        <w:t>工作联动、平安联创</w:t>
      </w:r>
      <w:r>
        <w:rPr>
          <w:rFonts w:hint="eastAsia" w:ascii="仿宋_GB2312" w:eastAsia="仿宋_GB2312"/>
          <w:color w:val="000000" w:themeColor="text1"/>
          <w:kern w:val="0"/>
        </w:rPr>
        <w:t>工作</w:t>
      </w:r>
      <w:r>
        <w:rPr>
          <w:rFonts w:ascii="仿宋_GB2312" w:eastAsia="仿宋_GB2312"/>
          <w:color w:val="000000" w:themeColor="text1"/>
          <w:kern w:val="0"/>
        </w:rPr>
        <w:t>机制</w:t>
      </w:r>
      <w:r>
        <w:rPr>
          <w:rFonts w:hint="eastAsia" w:ascii="仿宋_GB2312" w:eastAsia="仿宋_GB2312"/>
          <w:color w:val="000000" w:themeColor="text1"/>
          <w:kern w:val="0"/>
        </w:rPr>
        <w:t>，常态化开展扫黑除恶</w:t>
      </w:r>
      <w:r>
        <w:rPr>
          <w:rFonts w:ascii="仿宋_GB2312" w:eastAsia="仿宋_GB2312"/>
          <w:color w:val="000000" w:themeColor="text1"/>
          <w:kern w:val="0"/>
        </w:rPr>
        <w:t>。健全</w:t>
      </w:r>
      <w:r>
        <w:rPr>
          <w:rFonts w:hint="eastAsia" w:ascii="仿宋_GB2312" w:eastAsia="仿宋_GB2312"/>
          <w:color w:val="000000" w:themeColor="text1"/>
          <w:kern w:val="0"/>
        </w:rPr>
        <w:t>流动人口</w:t>
      </w:r>
      <w:r>
        <w:rPr>
          <w:rFonts w:ascii="仿宋_GB2312" w:eastAsia="仿宋_GB2312"/>
          <w:color w:val="000000" w:themeColor="text1"/>
          <w:kern w:val="0"/>
        </w:rPr>
        <w:t>和特殊</w:t>
      </w:r>
      <w:r>
        <w:rPr>
          <w:rFonts w:hint="eastAsia" w:ascii="仿宋_GB2312" w:eastAsia="仿宋_GB2312"/>
          <w:color w:val="000000" w:themeColor="text1"/>
          <w:kern w:val="0"/>
        </w:rPr>
        <w:t>人群</w:t>
      </w:r>
      <w:r>
        <w:rPr>
          <w:rFonts w:ascii="仿宋_GB2312" w:eastAsia="仿宋_GB2312"/>
          <w:color w:val="000000" w:themeColor="text1"/>
          <w:kern w:val="0"/>
        </w:rPr>
        <w:t>服务管理制度，</w:t>
      </w:r>
      <w:r>
        <w:rPr>
          <w:rFonts w:hint="eastAsia" w:ascii="仿宋_GB2312" w:eastAsia="仿宋_GB2312"/>
          <w:color w:val="000000" w:themeColor="text1"/>
          <w:kern w:val="0"/>
        </w:rPr>
        <w:t>加强重点青少年群体服务管理和有严重不良行为青少年教育矫治，强化阳光学校建设。</w:t>
      </w:r>
      <w:r>
        <w:rPr>
          <w:rFonts w:ascii="仿宋_GB2312" w:eastAsia="仿宋_GB2312"/>
          <w:color w:val="000000" w:themeColor="text1"/>
          <w:kern w:val="0"/>
        </w:rPr>
        <w:t>加快</w:t>
      </w:r>
      <w:r>
        <w:rPr>
          <w:rFonts w:hint="eastAsia" w:ascii="仿宋_GB2312" w:eastAsia="仿宋_GB2312"/>
          <w:color w:val="000000" w:themeColor="text1"/>
          <w:kern w:val="0"/>
        </w:rPr>
        <w:t>“雪亮工程”建设</w:t>
      </w:r>
      <w:r>
        <w:rPr>
          <w:rFonts w:ascii="仿宋_GB2312" w:eastAsia="仿宋_GB2312"/>
          <w:color w:val="000000" w:themeColor="text1"/>
          <w:kern w:val="0"/>
        </w:rPr>
        <w:t>联网应用</w:t>
      </w:r>
      <w:r>
        <w:rPr>
          <w:rFonts w:hint="eastAsia" w:ascii="仿宋_GB2312" w:eastAsia="仿宋_GB2312"/>
          <w:color w:val="000000" w:themeColor="text1"/>
          <w:kern w:val="0"/>
        </w:rPr>
        <w:t>，</w:t>
      </w:r>
      <w:r>
        <w:rPr>
          <w:rFonts w:ascii="仿宋_GB2312" w:eastAsia="仿宋_GB2312"/>
          <w:color w:val="000000" w:themeColor="text1"/>
          <w:kern w:val="0"/>
        </w:rPr>
        <w:t>着力</w:t>
      </w:r>
      <w:r>
        <w:rPr>
          <w:rFonts w:hint="eastAsia" w:ascii="仿宋_GB2312" w:eastAsia="仿宋_GB2312"/>
          <w:color w:val="000000" w:themeColor="text1"/>
          <w:kern w:val="0"/>
        </w:rPr>
        <w:t>提升</w:t>
      </w:r>
      <w:r>
        <w:rPr>
          <w:rFonts w:ascii="仿宋_GB2312" w:eastAsia="仿宋_GB2312"/>
          <w:color w:val="000000" w:themeColor="text1"/>
          <w:kern w:val="0"/>
        </w:rPr>
        <w:t>农村</w:t>
      </w:r>
      <w:r>
        <w:rPr>
          <w:rFonts w:hint="eastAsia" w:ascii="仿宋_GB2312" w:eastAsia="仿宋_GB2312"/>
          <w:color w:val="000000" w:themeColor="text1"/>
          <w:kern w:val="0"/>
        </w:rPr>
        <w:t>地区</w:t>
      </w:r>
      <w:r>
        <w:rPr>
          <w:rFonts w:ascii="仿宋_GB2312" w:eastAsia="仿宋_GB2312"/>
          <w:color w:val="000000" w:themeColor="text1"/>
          <w:kern w:val="0"/>
        </w:rPr>
        <w:t>覆盖面，推进</w:t>
      </w:r>
      <w:r>
        <w:rPr>
          <w:rFonts w:hint="eastAsia" w:ascii="仿宋_GB2312" w:eastAsia="仿宋_GB2312"/>
          <w:color w:val="000000" w:themeColor="text1"/>
          <w:kern w:val="0"/>
        </w:rPr>
        <w:t>智慧</w:t>
      </w:r>
      <w:r>
        <w:rPr>
          <w:rFonts w:ascii="仿宋_GB2312" w:eastAsia="仿宋_GB2312"/>
          <w:color w:val="000000" w:themeColor="text1"/>
          <w:kern w:val="0"/>
        </w:rPr>
        <w:t>平安小区和智能安防建设</w:t>
      </w:r>
      <w:r>
        <w:rPr>
          <w:rFonts w:hint="eastAsia" w:ascii="仿宋_GB2312" w:eastAsia="仿宋_GB2312"/>
          <w:color w:val="000000" w:themeColor="text1"/>
          <w:kern w:val="0"/>
        </w:rPr>
        <w:t>，拓展社会治理街区建设。</w:t>
      </w:r>
      <w:r>
        <w:rPr>
          <w:rFonts w:hint="eastAsia" w:ascii="仿宋_GB2312" w:eastAsia="仿宋_GB2312"/>
          <w:color w:val="000000" w:themeColor="text1"/>
        </w:rPr>
        <w:t>坚持依法严打方针，持续开展打击整治盗抢骗、黄赌毒、食药环知、涉黑涉恶、涉恐涉暴、涉枪涉爆等专项行动，严厉打击电信网络诈骗、跨境网络赌博等严重影响群众安全的违法犯罪。</w:t>
      </w:r>
      <w:r>
        <w:rPr>
          <w:rFonts w:hint="eastAsia" w:ascii="仿宋_GB2312" w:eastAsia="仿宋_GB2312"/>
          <w:color w:val="000000" w:themeColor="text1"/>
          <w:kern w:val="0"/>
        </w:rPr>
        <w:t>健全</w:t>
      </w:r>
      <w:r>
        <w:rPr>
          <w:rFonts w:ascii="仿宋_GB2312" w:eastAsia="仿宋_GB2312"/>
          <w:color w:val="000000" w:themeColor="text1"/>
          <w:kern w:val="0"/>
        </w:rPr>
        <w:t>网络综合治理体系，全面净化网络空间。建立</w:t>
      </w:r>
      <w:r>
        <w:rPr>
          <w:rFonts w:hint="eastAsia" w:ascii="仿宋_GB2312" w:eastAsia="仿宋_GB2312"/>
          <w:color w:val="000000" w:themeColor="text1"/>
          <w:kern w:val="0"/>
        </w:rPr>
        <w:t>健全平安</w:t>
      </w:r>
      <w:r>
        <w:rPr>
          <w:rFonts w:ascii="仿宋_GB2312" w:eastAsia="仿宋_GB2312"/>
          <w:color w:val="000000" w:themeColor="text1"/>
          <w:kern w:val="0"/>
        </w:rPr>
        <w:t>建设报告制度。</w:t>
      </w: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1113" w:name="_Toc15188"/>
      <w:bookmarkStart w:id="1114" w:name="_Toc64542301"/>
      <w:bookmarkStart w:id="1115" w:name="_Toc8913"/>
      <w:bookmarkStart w:id="1116" w:name="_Toc58861291"/>
      <w:r>
        <w:rPr>
          <w:rFonts w:hint="eastAsia" w:ascii="楷体_GB2312" w:eastAsia="楷体_GB2312"/>
          <w:color w:val="000000" w:themeColor="text1"/>
        </w:rPr>
        <w:t>第三节  构建基层社会治理新格局</w:t>
      </w:r>
      <w:bookmarkEnd w:id="1111"/>
      <w:bookmarkEnd w:id="1112"/>
      <w:bookmarkEnd w:id="1113"/>
      <w:bookmarkEnd w:id="1114"/>
      <w:bookmarkEnd w:id="1115"/>
      <w:bookmarkEnd w:id="1116"/>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健全党组织领导的自治、法治、德治相结合的城乡基层治理体系，进一步推动中央驻赣、省直有关单位参与平安建设。建立健全市域社会治理现代化体制机制，完善群众参与基层社会治理的制度化渠道，发挥群团组织、社会组织作用，发挥行业协会商会自律功能，深化推进基层平安创建活动，广泛开展平安南昌志愿者行动。加强城乡社区治理和服务体系建设，推动社会治理重心下移、力量下沉、政策下倾。加强基层社会治理队伍建设，全面加快综治中心实体化建设，打造“多网合一”的社会治理网格。加强基层基础工作，构建平安南昌建设新格局。深化文明家庭、清洁家庭创建。</w:t>
      </w:r>
    </w:p>
    <w:p>
      <w:pPr>
        <w:pStyle w:val="31"/>
        <w:autoSpaceDN/>
        <w:spacing w:line="580" w:lineRule="exact"/>
        <w:ind w:firstLine="640"/>
      </w:pPr>
    </w:p>
    <w:p>
      <w:pPr>
        <w:pStyle w:val="31"/>
        <w:autoSpaceDN/>
        <w:spacing w:line="580" w:lineRule="exact"/>
        <w:ind w:firstLine="640"/>
      </w:pPr>
    </w:p>
    <w:p>
      <w:pPr>
        <w:pStyle w:val="23"/>
        <w:adjustRightInd/>
        <w:snapToGrid/>
        <w:spacing w:line="580" w:lineRule="exact"/>
        <w:rPr>
          <w:b w:val="0"/>
          <w:color w:val="000000" w:themeColor="text1"/>
        </w:rPr>
      </w:pPr>
      <w:bookmarkStart w:id="1117" w:name="_Toc13583"/>
      <w:bookmarkStart w:id="1118" w:name="_Toc837"/>
      <w:bookmarkStart w:id="1119" w:name="_Toc58861292"/>
      <w:bookmarkStart w:id="1120" w:name="_Toc64542302"/>
      <w:r>
        <w:rPr>
          <w:rFonts w:hint="eastAsia"/>
          <w:b w:val="0"/>
          <w:color w:val="000000" w:themeColor="text1"/>
        </w:rPr>
        <w:t>第五十一章  全面推进法治南昌建设</w:t>
      </w:r>
      <w:bookmarkEnd w:id="1117"/>
      <w:bookmarkEnd w:id="1118"/>
      <w:bookmarkEnd w:id="1119"/>
      <w:bookmarkEnd w:id="1120"/>
    </w:p>
    <w:bookmarkEnd w:id="1075"/>
    <w:bookmarkEnd w:id="1076"/>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坚持依法治市、依法执政、依法行政共同推进，坚持法治南昌、法治政府、法治社会一体建设，全面推进科学立法、严格执法、公正司法、全民守法。</w:t>
      </w:r>
    </w:p>
    <w:p>
      <w:pPr>
        <w:spacing w:line="580" w:lineRule="exact"/>
        <w:ind w:firstLine="640"/>
      </w:pPr>
      <w:bookmarkStart w:id="1121" w:name="_Toc57194377"/>
      <w:bookmarkStart w:id="1122" w:name="_Toc57195838"/>
      <w:bookmarkStart w:id="1123" w:name="_Toc58861293"/>
      <w:bookmarkStart w:id="1124" w:name="_Toc30659"/>
    </w:p>
    <w:p>
      <w:pPr>
        <w:pStyle w:val="74"/>
        <w:adjustRightInd/>
        <w:snapToGrid/>
        <w:spacing w:line="580" w:lineRule="exact"/>
        <w:rPr>
          <w:rFonts w:ascii="楷体_GB2312" w:eastAsia="楷体_GB2312"/>
          <w:color w:val="000000" w:themeColor="text1"/>
        </w:rPr>
      </w:pPr>
      <w:bookmarkStart w:id="1125" w:name="_Toc27453"/>
      <w:bookmarkStart w:id="1126" w:name="_Toc64542303"/>
      <w:r>
        <w:rPr>
          <w:rFonts w:hint="eastAsia" w:ascii="楷体_GB2312" w:eastAsia="楷体_GB2312"/>
          <w:color w:val="000000" w:themeColor="text1"/>
        </w:rPr>
        <w:t>第一节  保证宪法和民法典全面有效实施</w:t>
      </w:r>
      <w:bookmarkEnd w:id="1121"/>
      <w:bookmarkEnd w:id="1122"/>
      <w:bookmarkEnd w:id="1123"/>
      <w:bookmarkEnd w:id="1124"/>
      <w:bookmarkEnd w:id="1125"/>
      <w:bookmarkEnd w:id="1126"/>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坚持宪法法律至上，健全法律面前人人平等保障机制。健全尊崇宪法、学习宪法、遵守宪法、维护宪法、运用宪法的宣传教育机制，弘扬宪法精神。完善规范性文件备案审查工作机制，依法撤销和纠正违宪违法的规范性文件。坚持和完善宪法宣誓制度，落实人大选举和任命人员进行任前宪法知识考试制度。保证民法典有效实施，把民法典作为行政决策、行政管理、行政监督的重要标尺，不得违背法律法规随意减损公民、法人和其他组织合法权益或增加其义务。</w:t>
      </w:r>
    </w:p>
    <w:p>
      <w:pPr>
        <w:pStyle w:val="31"/>
        <w:autoSpaceDN/>
        <w:spacing w:line="580" w:lineRule="exact"/>
        <w:ind w:firstLine="640"/>
        <w:rPr>
          <w:rFonts w:ascii="仿宋_GB2312"/>
          <w:color w:val="000000" w:themeColor="text1"/>
          <w:kern w:val="0"/>
        </w:rPr>
      </w:pPr>
    </w:p>
    <w:p>
      <w:pPr>
        <w:pStyle w:val="74"/>
        <w:adjustRightInd/>
        <w:snapToGrid/>
        <w:spacing w:line="580" w:lineRule="exact"/>
        <w:rPr>
          <w:rFonts w:ascii="楷体_GB2312" w:eastAsia="楷体_GB2312"/>
          <w:color w:val="000000" w:themeColor="text1"/>
        </w:rPr>
      </w:pPr>
      <w:bookmarkStart w:id="1127" w:name="_Toc64542304"/>
      <w:bookmarkStart w:id="1128" w:name="_Toc58861294"/>
      <w:bookmarkStart w:id="1129" w:name="_Toc57194378"/>
      <w:bookmarkStart w:id="1130" w:name="_Toc23758"/>
      <w:bookmarkStart w:id="1131" w:name="_Toc57195839"/>
      <w:bookmarkStart w:id="1132" w:name="_Toc5609"/>
      <w:r>
        <w:rPr>
          <w:rFonts w:hint="eastAsia" w:ascii="楷体_GB2312" w:eastAsia="楷体_GB2312"/>
          <w:color w:val="000000" w:themeColor="text1"/>
        </w:rPr>
        <w:t>第二节  落实社会公平正义法治保障制度</w:t>
      </w:r>
      <w:bookmarkEnd w:id="1127"/>
      <w:bookmarkEnd w:id="1128"/>
      <w:bookmarkEnd w:id="1129"/>
      <w:bookmarkEnd w:id="1130"/>
      <w:bookmarkEnd w:id="1131"/>
      <w:bookmarkEnd w:id="1132"/>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完善地方立法，推进地方建设与管理、环境保护和历史文化保护领域的立法，及时修改、废止不适应改革发展要求的地方性法规，不断提升地方立法质量和效率。加快建设法治政府，构建权责统一、依法执政的政府治理体系，推进行政复议体制改革。全面落实行政执法公示制度、执法全过程记录制度、重大执法决定法制审核制度，规范执法自由裁量权，加快跨领域跨部门综合执法改革，深化执法监督管理机制改革。完善监察权、审判权、检察权运行和监督机制，促进司法公正。推进覆盖城乡居民的公共法律服务体系建设，完善法律援助制度，健全司法救助体系。深入开展法治宣传教育，有效发挥法治固根本、稳预期、利长远的保障作用。</w:t>
      </w: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1133" w:name="_Toc64542305"/>
      <w:bookmarkStart w:id="1134" w:name="_Toc31587"/>
      <w:bookmarkStart w:id="1135" w:name="_Toc57194379"/>
      <w:bookmarkStart w:id="1136" w:name="_Toc57195840"/>
      <w:bookmarkStart w:id="1137" w:name="_Toc58861295"/>
      <w:bookmarkStart w:id="1138" w:name="_Toc26340"/>
      <w:r>
        <w:rPr>
          <w:rFonts w:hint="eastAsia" w:ascii="楷体_GB2312" w:eastAsia="楷体_GB2312"/>
          <w:color w:val="000000" w:themeColor="text1"/>
        </w:rPr>
        <w:t>第三节  加强对法律实施的监督</w:t>
      </w:r>
      <w:bookmarkEnd w:id="1133"/>
      <w:bookmarkEnd w:id="1134"/>
      <w:bookmarkEnd w:id="1135"/>
      <w:bookmarkEnd w:id="1136"/>
      <w:bookmarkEnd w:id="1137"/>
      <w:bookmarkEnd w:id="1138"/>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严格落实执法司法办案责任制、错案追究制等制度，加大对严重违法行为处罚力度，实行惩罚性赔偿制度，严格刑事责任追究，坚决排除各种非法干预，确保行政权、监察权、审判权、检察权得到依法正确行使，确保公民、法人和其他组织合法权益得到切实保障。健全公益诉讼工作机制，拓展公益诉讼案件范围，保护公共利益不受侵犯。落实“谁执法谁普法”普法责任制，广泛开展普法工作。进一步深化公安机关执法规范化建设和执法监督管理机制改革。完善公共法律服务体系，实施农村“法律明白人”培养工程，扩大法律顾问制度覆盖面，夯实依法治市群众基础。各级党和国家机关以及领导干部要带头尊法学法守法用法，提高运用法治思维和法治方式深化改革、推动发展、化解矛盾、维护稳定、应对风险的能力。</w:t>
      </w:r>
    </w:p>
    <w:p>
      <w:pPr>
        <w:pStyle w:val="23"/>
        <w:adjustRightInd/>
        <w:snapToGrid/>
        <w:spacing w:line="580" w:lineRule="exact"/>
        <w:rPr>
          <w:b w:val="0"/>
          <w:color w:val="000000" w:themeColor="text1"/>
        </w:rPr>
      </w:pPr>
      <w:bookmarkStart w:id="1139" w:name="_Toc57195847"/>
      <w:bookmarkStart w:id="1140" w:name="_Toc14013"/>
      <w:bookmarkStart w:id="1141" w:name="_Toc58861302"/>
      <w:bookmarkStart w:id="1142" w:name="_Toc57194386"/>
      <w:bookmarkStart w:id="1143" w:name="_Toc5923"/>
      <w:bookmarkStart w:id="1144" w:name="_Toc64542306"/>
    </w:p>
    <w:p>
      <w:pPr>
        <w:pStyle w:val="23"/>
        <w:adjustRightInd/>
        <w:snapToGrid/>
        <w:spacing w:line="580" w:lineRule="exact"/>
        <w:rPr>
          <w:b w:val="0"/>
          <w:color w:val="000000" w:themeColor="text1"/>
        </w:rPr>
      </w:pPr>
      <w:r>
        <w:rPr>
          <w:rFonts w:hint="eastAsia"/>
          <w:b w:val="0"/>
          <w:color w:val="000000" w:themeColor="text1"/>
        </w:rPr>
        <w:t>第五十二章  推进社会主义民主政治南昌实践</w:t>
      </w:r>
      <w:bookmarkEnd w:id="1139"/>
      <w:bookmarkEnd w:id="1140"/>
      <w:bookmarkEnd w:id="1141"/>
      <w:bookmarkEnd w:id="1142"/>
      <w:bookmarkEnd w:id="1143"/>
      <w:bookmarkEnd w:id="1144"/>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spacing w:val="-6"/>
          <w:kern w:val="0"/>
        </w:rPr>
      </w:pPr>
      <w:r>
        <w:rPr>
          <w:rFonts w:hint="eastAsia" w:ascii="仿宋_GB2312" w:eastAsia="仿宋_GB2312"/>
          <w:color w:val="000000" w:themeColor="text1"/>
          <w:kern w:val="0"/>
        </w:rPr>
        <w:t>坚持人民主体地位，坚定不移走中国特色社会主义政治发展道路，健全民主制度，丰富民主形式，拓宽民主渠道，使各方面</w:t>
      </w:r>
      <w:r>
        <w:rPr>
          <w:rFonts w:hint="eastAsia" w:ascii="仿宋_GB2312" w:eastAsia="仿宋_GB2312"/>
          <w:color w:val="000000" w:themeColor="text1"/>
          <w:spacing w:val="-6"/>
          <w:kern w:val="0"/>
        </w:rPr>
        <w:t>制度</w:t>
      </w:r>
      <w:r>
        <w:rPr>
          <w:rFonts w:ascii="仿宋_GB2312" w:eastAsia="仿宋_GB2312"/>
          <w:color w:val="000000" w:themeColor="text1"/>
          <w:spacing w:val="-6"/>
          <w:kern w:val="0"/>
        </w:rPr>
        <w:t>和国家治理</w:t>
      </w:r>
      <w:r>
        <w:rPr>
          <w:rFonts w:hint="eastAsia" w:ascii="仿宋_GB2312" w:eastAsia="仿宋_GB2312"/>
          <w:color w:val="000000" w:themeColor="text1"/>
          <w:spacing w:val="-6"/>
          <w:kern w:val="0"/>
        </w:rPr>
        <w:t>更好体现人民意志、保障人民权益、激发人民创造。</w:t>
      </w: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1145" w:name="_Toc57195848"/>
      <w:bookmarkStart w:id="1146" w:name="_Toc11409"/>
      <w:bookmarkStart w:id="1147" w:name="_Toc57194387"/>
      <w:bookmarkStart w:id="1148" w:name="_Toc27780"/>
      <w:bookmarkStart w:id="1149" w:name="_Toc58861303"/>
      <w:bookmarkStart w:id="1150" w:name="_Toc64542307"/>
      <w:r>
        <w:rPr>
          <w:rFonts w:hint="eastAsia" w:ascii="楷体_GB2312" w:eastAsia="楷体_GB2312"/>
          <w:color w:val="000000" w:themeColor="text1"/>
        </w:rPr>
        <w:t>第一节  落实人民代表大会制度</w:t>
      </w:r>
      <w:bookmarkEnd w:id="1145"/>
      <w:bookmarkEnd w:id="1146"/>
      <w:bookmarkEnd w:id="1147"/>
      <w:bookmarkEnd w:id="1148"/>
      <w:bookmarkEnd w:id="1149"/>
      <w:bookmarkEnd w:id="1150"/>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坚持党的领导、人民当家作主、依法治国有机统一，支持和保证人民通过人民代表大会行使权力。支持和保证人大及其常委会依法行使职权，健全人大对“一府一委两院”监督制度，完善人大常委会听取审议专项工作报告制度，改进执法检查、专题询问、专项工作评议组织方式，探索运用质询、特定问题调查等监督方式，切实增强监督实效。健全代表联络机制，密切人大代表同人民群众的联系。优化代表结构，健全人大组织制度、选举制度和议事规则，完善论证、评估、评议、听证制度，加强各级人大及其常委会建设。</w:t>
      </w:r>
      <w:bookmarkStart w:id="1151" w:name="_Toc57194388"/>
      <w:bookmarkStart w:id="1152" w:name="_Toc57195849"/>
    </w:p>
    <w:p>
      <w:pPr>
        <w:pStyle w:val="31"/>
        <w:autoSpaceDN/>
        <w:spacing w:line="580" w:lineRule="exact"/>
        <w:ind w:firstLine="0" w:firstLineChars="0"/>
      </w:pPr>
    </w:p>
    <w:p>
      <w:pPr>
        <w:pStyle w:val="74"/>
        <w:adjustRightInd/>
        <w:snapToGrid/>
        <w:spacing w:line="580" w:lineRule="exact"/>
        <w:rPr>
          <w:rFonts w:ascii="楷体_GB2312" w:eastAsia="楷体_GB2312"/>
          <w:color w:val="000000" w:themeColor="text1"/>
        </w:rPr>
      </w:pPr>
      <w:bookmarkStart w:id="1153" w:name="_Toc58861304"/>
      <w:bookmarkStart w:id="1154" w:name="_Toc2804"/>
      <w:bookmarkStart w:id="1155" w:name="_Toc19420"/>
      <w:bookmarkStart w:id="1156" w:name="_Toc64542308"/>
    </w:p>
    <w:p>
      <w:pPr>
        <w:pStyle w:val="74"/>
        <w:adjustRightInd/>
        <w:snapToGrid/>
        <w:spacing w:line="580" w:lineRule="exact"/>
        <w:rPr>
          <w:rFonts w:ascii="楷体_GB2312" w:eastAsia="楷体_GB2312"/>
          <w:color w:val="000000" w:themeColor="text1"/>
        </w:rPr>
      </w:pPr>
    </w:p>
    <w:p>
      <w:pPr>
        <w:pStyle w:val="74"/>
        <w:adjustRightInd/>
        <w:snapToGrid/>
        <w:spacing w:line="580" w:lineRule="exact"/>
        <w:rPr>
          <w:rFonts w:ascii="楷体_GB2312" w:eastAsia="楷体_GB2312"/>
          <w:color w:val="000000" w:themeColor="text1"/>
        </w:rPr>
      </w:pPr>
      <w:r>
        <w:rPr>
          <w:rFonts w:hint="eastAsia" w:ascii="楷体_GB2312" w:eastAsia="楷体_GB2312"/>
          <w:color w:val="000000" w:themeColor="text1"/>
        </w:rPr>
        <w:t>第二节  发展协商民主</w:t>
      </w:r>
      <w:bookmarkEnd w:id="1151"/>
      <w:bookmarkEnd w:id="1152"/>
      <w:bookmarkEnd w:id="1153"/>
      <w:bookmarkEnd w:id="1154"/>
      <w:bookmarkEnd w:id="1155"/>
      <w:bookmarkEnd w:id="1156"/>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发挥社会主义协商民主的独特优势，统筹推进政党协商、人大协商、政府协商、政协协商、人民团体协商、基层协商以及社会组织协商，构建程序合理、环节完整的协商民主体系。深入开展基层协商民主“有事多商量、有事好商量、有事会商量”活动，充分发挥人民政协专门协商机构作用。完善支持民主党派、工商联和无党派人士履行职能方法，健全直接向党委、政府提出建议的直通车制度，健全协商结果采纳和反馈机制。创新群众工作体制机制，充分发挥工会、共青团、妇联、科协、红十字会等人民团体桥梁纽带作用。</w:t>
      </w: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1157" w:name="_Toc8479"/>
      <w:bookmarkStart w:id="1158" w:name="_Toc16986"/>
      <w:bookmarkStart w:id="1159" w:name="_Toc64542309"/>
      <w:r>
        <w:rPr>
          <w:rFonts w:hint="eastAsia" w:ascii="楷体_GB2312" w:eastAsia="楷体_GB2312"/>
          <w:color w:val="000000" w:themeColor="text1"/>
        </w:rPr>
        <w:t>第三节  巩固和发展最广泛的爱国统一战线</w:t>
      </w:r>
      <w:bookmarkEnd w:id="1157"/>
      <w:bookmarkEnd w:id="1158"/>
      <w:bookmarkEnd w:id="1159"/>
    </w:p>
    <w:p>
      <w:pPr>
        <w:spacing w:line="580" w:lineRule="exact"/>
        <w:ind w:firstLine="640"/>
        <w:jc w:val="left"/>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坚持大统战工作格局，发挥党委统一战线工作领导小组作用，完善照顾同盟者利益政策，促进政党关系、民族关系、宗教关系、阶层关系、海内外同胞关系和谐。深入持久开展民族团结进步创建，健全城市少数民族群众服务管理机制，支持和帮助民族村发展。依法管理宗教事务，发挥好宗教工作县乡村三级网络乡村两级责任制作用，积极引导宗教与社会主义社会相适应。加强党外代表人士队伍建设，完善联系民主党派和无党派人士、非公有制经济人士、党外知识分子、新的社会阶层人士工作机制，凝聚港澳同胞、台湾同胞、海外侨胞力量，谋求最大公约数，画出最大同心圆。</w:t>
      </w: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1160" w:name="_Toc57194390"/>
      <w:bookmarkStart w:id="1161" w:name="_Toc57195851"/>
      <w:bookmarkStart w:id="1162" w:name="_Toc25243"/>
      <w:bookmarkStart w:id="1163" w:name="_Toc58861306"/>
      <w:bookmarkStart w:id="1164" w:name="_Toc7604"/>
      <w:bookmarkStart w:id="1165" w:name="_Toc64542310"/>
      <w:r>
        <w:rPr>
          <w:rFonts w:hint="eastAsia" w:ascii="楷体_GB2312" w:eastAsia="楷体_GB2312"/>
          <w:color w:val="000000" w:themeColor="text1"/>
        </w:rPr>
        <w:t>第四节  健全充满活力的基层群众自治制度</w:t>
      </w:r>
      <w:bookmarkEnd w:id="1160"/>
      <w:bookmarkEnd w:id="1161"/>
      <w:bookmarkEnd w:id="1162"/>
      <w:bookmarkEnd w:id="1163"/>
      <w:bookmarkEnd w:id="1164"/>
      <w:bookmarkEnd w:id="1165"/>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健全基层党组织领导的基层群众自治机制，在城乡社区治理、基层公共事务和公益事业中，广泛实行群众自我管理、自我服务、自我教育、自我监督，拓宽人民群众反映意见和建议的渠道，着力推进基层直接民主制度化、规范化、程序化。依法依规开展村（居）委会换届选举，全面推行村党组织书记通过法定程序担任村民委员会主任和村级集体经济组织、合作经济组织负责人，推行村“两委”班子成员交叉任职。健全以职工代表大会为基本形式的企事业单位民主管理制度，探索企业职工参与管理的有效形式，保障职工群众的知情权、参与权、表达权、监督权，维护职工合法权益。</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tcBorders>
              <w:top w:val="single" w:color="auto" w:sz="4" w:space="0"/>
              <w:left w:val="single" w:color="auto" w:sz="4" w:space="0"/>
              <w:bottom w:val="single" w:color="auto" w:sz="4" w:space="0"/>
              <w:right w:val="single" w:color="auto" w:sz="4" w:space="0"/>
            </w:tcBorders>
            <w:vAlign w:val="center"/>
          </w:tcPr>
          <w:p>
            <w:pPr>
              <w:pStyle w:val="52"/>
              <w:numPr>
                <w:ilvl w:val="0"/>
                <w:numId w:val="0"/>
              </w:numPr>
              <w:spacing w:after="0" w:line="360" w:lineRule="exact"/>
              <w:jc w:val="center"/>
              <w:rPr>
                <w:rFonts w:ascii="黑体" w:hAnsi="黑体" w:eastAsia="黑体" w:cs="黑体"/>
                <w:bCs/>
                <w:color w:val="000000" w:themeColor="text1"/>
                <w:sz w:val="28"/>
                <w:szCs w:val="28"/>
              </w:rPr>
            </w:pPr>
            <w:r>
              <w:rPr>
                <w:rFonts w:hint="eastAsia" w:ascii="黑体" w:hAnsi="黑体" w:eastAsia="黑体" w:cs="黑体"/>
                <w:bCs/>
                <w:color w:val="000000" w:themeColor="text1"/>
                <w:sz w:val="28"/>
                <w:szCs w:val="28"/>
              </w:rPr>
              <w:t>专栏36：市域治理现代化十大工程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Borders>
              <w:top w:val="single" w:color="auto" w:sz="4" w:space="0"/>
              <w:left w:val="single" w:color="auto" w:sz="4" w:space="0"/>
              <w:bottom w:val="single" w:color="auto" w:sz="4" w:space="0"/>
              <w:right w:val="single" w:color="auto" w:sz="4" w:space="0"/>
            </w:tcBorders>
          </w:tcPr>
          <w:p>
            <w:pPr>
              <w:pStyle w:val="50"/>
              <w:spacing w:line="40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（一）“洪城红”党建引领工程</w:t>
            </w:r>
          </w:p>
          <w:p>
            <w:pPr>
              <w:pStyle w:val="50"/>
              <w:spacing w:line="400" w:lineRule="exact"/>
              <w:ind w:firstLine="48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街道管理扩权赋能、党群服务中心提档升级、“红色驿站”增点扩面、“红色物业”试点示范。</w:t>
            </w:r>
          </w:p>
          <w:p>
            <w:pPr>
              <w:pStyle w:val="50"/>
              <w:spacing w:line="40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（二）文明提升工程</w:t>
            </w:r>
          </w:p>
          <w:p>
            <w:pPr>
              <w:pStyle w:val="50"/>
              <w:spacing w:line="400" w:lineRule="exact"/>
              <w:ind w:firstLine="48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开展新时代文明实践活动、开展倡树社会文明新风尚活动、深化“兴家风、淳民风、正社风”活动。</w:t>
            </w:r>
          </w:p>
          <w:p>
            <w:pPr>
              <w:pStyle w:val="50"/>
              <w:spacing w:line="40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（三）法治环境优化工程</w:t>
            </w:r>
          </w:p>
          <w:p>
            <w:pPr>
              <w:pStyle w:val="50"/>
              <w:spacing w:line="400" w:lineRule="exact"/>
              <w:ind w:firstLine="48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深入推进依法执政、健全完善地方立法、加快法治政府建设、着力提升公正司法、推进法治社会建设、加强法治宣传教育。</w:t>
            </w:r>
          </w:p>
          <w:p>
            <w:pPr>
              <w:pStyle w:val="50"/>
              <w:spacing w:line="40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（四）便民服务工程</w:t>
            </w:r>
          </w:p>
          <w:p>
            <w:pPr>
              <w:pStyle w:val="50"/>
              <w:spacing w:line="400" w:lineRule="exact"/>
              <w:ind w:firstLine="48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推进邻里中心建设、推进“放管服”改革、推进政法基础建设。</w:t>
            </w:r>
          </w:p>
          <w:p>
            <w:pPr>
              <w:pStyle w:val="50"/>
              <w:spacing w:line="40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（五）平安建设精品工程</w:t>
            </w:r>
          </w:p>
          <w:p>
            <w:pPr>
              <w:pStyle w:val="50"/>
              <w:spacing w:line="400" w:lineRule="exact"/>
              <w:ind w:firstLine="48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推进平安小区建设、推进平安校区建设、推进平安景区建设、推进平安交通建设。</w:t>
            </w:r>
          </w:p>
          <w:p>
            <w:pPr>
              <w:pStyle w:val="50"/>
              <w:spacing w:line="40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（六）智防提升工程</w:t>
            </w:r>
          </w:p>
          <w:p>
            <w:pPr>
              <w:pStyle w:val="50"/>
              <w:spacing w:line="400" w:lineRule="exact"/>
              <w:ind w:firstLine="48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推进“雪亮工程”巩固提升、建设“昌通码”综合服务管理平台、推进南昌市数据共享和开放一体化平台建设。</w:t>
            </w:r>
          </w:p>
          <w:p>
            <w:pPr>
              <w:pStyle w:val="50"/>
              <w:spacing w:line="40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（七）风险防范工程</w:t>
            </w:r>
          </w:p>
          <w:p>
            <w:pPr>
              <w:pStyle w:val="50"/>
              <w:spacing w:line="400" w:lineRule="exact"/>
              <w:ind w:firstLine="48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全方位维护政治安全、全覆盖排查化解涉稳矛盾、全方面坚持扫黑除恶长效常治、全维度加强网络安全。</w:t>
            </w:r>
          </w:p>
          <w:p>
            <w:pPr>
              <w:pStyle w:val="50"/>
              <w:spacing w:line="40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（八）行业治理工程</w:t>
            </w:r>
          </w:p>
          <w:p>
            <w:pPr>
              <w:pStyle w:val="50"/>
              <w:spacing w:line="400" w:lineRule="exact"/>
              <w:ind w:firstLine="456"/>
              <w:rPr>
                <w:rFonts w:ascii="仿宋_GB2312" w:eastAsia="仿宋_GB2312" w:hAnsiTheme="minorHAnsi" w:cstheme="minorBidi"/>
                <w:color w:val="000000" w:themeColor="text1"/>
                <w:spacing w:val="-6"/>
                <w:kern w:val="0"/>
                <w:sz w:val="24"/>
                <w:szCs w:val="24"/>
              </w:rPr>
            </w:pPr>
            <w:r>
              <w:rPr>
                <w:rFonts w:hint="eastAsia" w:ascii="仿宋_GB2312" w:eastAsia="仿宋_GB2312" w:hAnsiTheme="minorHAnsi" w:cstheme="minorBidi"/>
                <w:color w:val="000000" w:themeColor="text1"/>
                <w:spacing w:val="-6"/>
                <w:kern w:val="0"/>
                <w:sz w:val="24"/>
                <w:szCs w:val="24"/>
              </w:rPr>
              <w:t>深入开展行业领域专项整治、全面推动行业调解平台建设、着力提升行业监管能力。</w:t>
            </w:r>
          </w:p>
          <w:p>
            <w:pPr>
              <w:pStyle w:val="50"/>
              <w:spacing w:line="40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（九）阳光关爱工程</w:t>
            </w:r>
          </w:p>
          <w:p>
            <w:pPr>
              <w:pStyle w:val="50"/>
              <w:spacing w:line="400" w:lineRule="exact"/>
              <w:ind w:firstLine="48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加强特殊人群管理服务、加强心理健康服务。</w:t>
            </w:r>
          </w:p>
          <w:p>
            <w:pPr>
              <w:pStyle w:val="50"/>
              <w:spacing w:line="400" w:lineRule="exact"/>
              <w:ind w:firstLine="482"/>
              <w:rPr>
                <w:rFonts w:ascii="仿宋_GB2312" w:eastAsia="仿宋_GB2312" w:hAnsiTheme="minorHAnsi" w:cstheme="minorBidi"/>
                <w:b/>
                <w:color w:val="000000" w:themeColor="text1"/>
                <w:kern w:val="0"/>
                <w:sz w:val="24"/>
                <w:szCs w:val="24"/>
              </w:rPr>
            </w:pPr>
            <w:r>
              <w:rPr>
                <w:rFonts w:hint="eastAsia" w:ascii="仿宋_GB2312" w:eastAsia="仿宋_GB2312" w:hAnsiTheme="minorHAnsi" w:cstheme="minorBidi"/>
                <w:b/>
                <w:color w:val="000000" w:themeColor="text1"/>
                <w:kern w:val="0"/>
                <w:sz w:val="24"/>
                <w:szCs w:val="24"/>
              </w:rPr>
              <w:t>（十）综治中心实体化提升工程</w:t>
            </w:r>
          </w:p>
          <w:p>
            <w:pPr>
              <w:pStyle w:val="50"/>
              <w:spacing w:line="400" w:lineRule="exact"/>
              <w:ind w:firstLine="480"/>
              <w:rPr>
                <w:rFonts w:ascii="仿宋_GB2312" w:eastAsia="仿宋_GB2312" w:hAnsiTheme="minorHAnsi" w:cstheme="minorBidi"/>
                <w:color w:val="000000" w:themeColor="text1"/>
                <w:kern w:val="0"/>
                <w:sz w:val="24"/>
                <w:szCs w:val="24"/>
              </w:rPr>
            </w:pPr>
            <w:r>
              <w:rPr>
                <w:rFonts w:hint="eastAsia" w:ascii="仿宋_GB2312" w:eastAsia="仿宋_GB2312" w:hAnsiTheme="minorHAnsi" w:cstheme="minorBidi"/>
                <w:color w:val="000000" w:themeColor="text1"/>
                <w:kern w:val="0"/>
                <w:sz w:val="24"/>
                <w:szCs w:val="24"/>
              </w:rPr>
              <w:t>深化网格化服务管理、强化综治信息系统智能应用、推行综治中心等级评定。</w:t>
            </w:r>
          </w:p>
        </w:tc>
      </w:tr>
    </w:tbl>
    <w:p>
      <w:pPr>
        <w:pStyle w:val="2"/>
        <w:ind w:firstLine="320"/>
      </w:pPr>
      <w:bookmarkStart w:id="1166" w:name="_Toc18652"/>
    </w:p>
    <w:p>
      <w:pPr>
        <w:pStyle w:val="2"/>
        <w:ind w:firstLine="320"/>
      </w:pPr>
    </w:p>
    <w:p>
      <w:pPr>
        <w:ind w:firstLine="640"/>
      </w:pPr>
      <w:r>
        <w:rPr>
          <w:rFonts w:hint="eastAsia"/>
        </w:rPr>
        <w:br w:type="page"/>
      </w:r>
    </w:p>
    <w:p>
      <w:pPr>
        <w:pStyle w:val="29"/>
        <w:adjustRightInd/>
        <w:snapToGrid/>
        <w:spacing w:line="580" w:lineRule="exact"/>
        <w:rPr>
          <w:color w:val="000000" w:themeColor="text1"/>
        </w:rPr>
      </w:pPr>
      <w:bookmarkStart w:id="1167" w:name="_Toc64542311"/>
      <w:bookmarkStart w:id="1168" w:name="_Toc23381"/>
    </w:p>
    <w:p>
      <w:pPr>
        <w:pStyle w:val="29"/>
        <w:adjustRightInd/>
        <w:snapToGrid/>
        <w:spacing w:line="580" w:lineRule="exact"/>
        <w:rPr>
          <w:color w:val="000000" w:themeColor="text1"/>
        </w:rPr>
      </w:pPr>
      <w:r>
        <w:rPr>
          <w:rFonts w:hint="eastAsia"/>
          <w:color w:val="000000" w:themeColor="text1"/>
        </w:rPr>
        <w:t>第十六篇  加强规划实施保障</w:t>
      </w:r>
      <w:bookmarkEnd w:id="1071"/>
      <w:bookmarkEnd w:id="1072"/>
      <w:bookmarkEnd w:id="1166"/>
      <w:bookmarkEnd w:id="1167"/>
      <w:bookmarkEnd w:id="1168"/>
      <w:bookmarkStart w:id="1169" w:name="_Toc58861308"/>
    </w:p>
    <w:p>
      <w:pPr>
        <w:pStyle w:val="59"/>
        <w:widowControl w:val="0"/>
        <w:adjustRightInd/>
        <w:snapToGrid/>
        <w:spacing w:line="580" w:lineRule="exact"/>
        <w:ind w:firstLine="640"/>
      </w:pPr>
    </w:p>
    <w:p>
      <w:pPr>
        <w:pStyle w:val="59"/>
        <w:widowControl w:val="0"/>
        <w:adjustRightInd/>
        <w:snapToGrid/>
        <w:spacing w:line="580" w:lineRule="exact"/>
        <w:ind w:firstLine="640"/>
        <w:rPr>
          <w:rFonts w:ascii="黑体" w:eastAsia="黑体"/>
          <w:kern w:val="2"/>
        </w:rPr>
      </w:pPr>
      <w:r>
        <w:rPr>
          <w:rFonts w:hint="eastAsia"/>
        </w:rPr>
        <w:t>全面加强新时代党的建设，进一步发挥发展规划的战略导向作用，引导市场主体行为，创新完善规划实施机制，推动发展规划目标任务有效实施。</w:t>
      </w:r>
    </w:p>
    <w:p>
      <w:pPr>
        <w:spacing w:line="580" w:lineRule="exact"/>
        <w:ind w:firstLine="640"/>
      </w:pPr>
      <w:bookmarkStart w:id="1170" w:name="_Toc12774"/>
    </w:p>
    <w:p>
      <w:pPr>
        <w:pStyle w:val="23"/>
        <w:adjustRightInd/>
        <w:snapToGrid/>
        <w:spacing w:line="580" w:lineRule="exact"/>
        <w:rPr>
          <w:b w:val="0"/>
          <w:color w:val="000000" w:themeColor="text1"/>
        </w:rPr>
      </w:pPr>
      <w:bookmarkStart w:id="1171" w:name="_Toc64542312"/>
      <w:bookmarkStart w:id="1172" w:name="_Toc20179"/>
      <w:r>
        <w:rPr>
          <w:rFonts w:hint="eastAsia"/>
          <w:b w:val="0"/>
          <w:color w:val="000000" w:themeColor="text1"/>
        </w:rPr>
        <w:t>第五十三章  全面加强党的领导</w:t>
      </w:r>
      <w:bookmarkEnd w:id="1169"/>
      <w:bookmarkEnd w:id="1170"/>
      <w:bookmarkEnd w:id="1171"/>
      <w:bookmarkEnd w:id="1172"/>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贯彻党把方向、谋大局、定政策、促改革的要求，坚持党中央集中统一领导，完善上下贯通、执行有力的组织体系，切实把党的领导落实到全市经济社会发展各方面、全过程。</w:t>
      </w:r>
    </w:p>
    <w:p>
      <w:pPr>
        <w:spacing w:line="580" w:lineRule="exact"/>
        <w:ind w:firstLine="640"/>
      </w:pPr>
      <w:bookmarkStart w:id="1173" w:name="_Toc57194393"/>
      <w:bookmarkStart w:id="1174" w:name="_Toc3985"/>
      <w:bookmarkStart w:id="1175" w:name="_Toc57195854"/>
      <w:bookmarkStart w:id="1176" w:name="_Toc58861309"/>
    </w:p>
    <w:p>
      <w:pPr>
        <w:pStyle w:val="74"/>
        <w:adjustRightInd/>
        <w:snapToGrid/>
        <w:spacing w:line="580" w:lineRule="exact"/>
        <w:rPr>
          <w:rFonts w:ascii="楷体_GB2312" w:eastAsia="楷体_GB2312"/>
          <w:color w:val="000000" w:themeColor="text1"/>
        </w:rPr>
      </w:pPr>
      <w:bookmarkStart w:id="1177" w:name="_Toc23785"/>
      <w:bookmarkStart w:id="1178" w:name="_Toc64542313"/>
      <w:r>
        <w:rPr>
          <w:rFonts w:hint="eastAsia" w:ascii="楷体_GB2312" w:eastAsia="楷体_GB2312"/>
          <w:color w:val="000000" w:themeColor="text1"/>
        </w:rPr>
        <w:t>第一节  坚持党对经济社会工作的集中统一领导</w:t>
      </w:r>
      <w:bookmarkEnd w:id="1173"/>
      <w:bookmarkEnd w:id="1174"/>
      <w:bookmarkEnd w:id="1175"/>
      <w:bookmarkEnd w:id="1176"/>
      <w:bookmarkEnd w:id="1177"/>
      <w:bookmarkEnd w:id="1178"/>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发挥各级党委在经济社会发展工作中总揽全局、协调各方的领导核心作用，健全决策机制，完善党委研究经济社会发展战略、研究重大方针政策的工作机制，不断提高党领导经济工作能力和水平。全面贯彻新时代党的组织路线，加强领导班子和干部队伍建设，推动全市广大党员干部深入学习贯彻习近平新时代中国特色社会主义思想，提高全市各级领导班子和干部适应新时代抓改革、促发展、保稳定水平和专业化能力。完善政绩考核评价体系和奖惩机制，健全容错纠错、激励保护机制，以正确用人导向引领干事创业导向。强化基层党建，充分发挥战斗堡垒作用和党员先锋模范作用，更好带领群众团结奋进。</w:t>
      </w:r>
    </w:p>
    <w:p>
      <w:pPr>
        <w:pStyle w:val="31"/>
        <w:autoSpaceDN/>
        <w:spacing w:line="580" w:lineRule="exact"/>
        <w:ind w:firstLine="640"/>
        <w:rPr>
          <w:rFonts w:ascii="仿宋_GB2312"/>
          <w:color w:val="000000" w:themeColor="text1"/>
          <w:kern w:val="0"/>
        </w:rPr>
      </w:pPr>
    </w:p>
    <w:p>
      <w:pPr>
        <w:pStyle w:val="74"/>
        <w:adjustRightInd/>
        <w:snapToGrid/>
        <w:spacing w:line="580" w:lineRule="exact"/>
        <w:rPr>
          <w:rFonts w:ascii="楷体_GB2312" w:eastAsia="楷体_GB2312"/>
          <w:color w:val="000000" w:themeColor="text1"/>
        </w:rPr>
      </w:pPr>
      <w:bookmarkStart w:id="1179" w:name="_Toc57195855"/>
      <w:bookmarkStart w:id="1180" w:name="_Toc10154"/>
      <w:bookmarkStart w:id="1181" w:name="_Toc58861310"/>
      <w:bookmarkStart w:id="1182" w:name="_Toc28646"/>
      <w:bookmarkStart w:id="1183" w:name="_Toc64542314"/>
      <w:bookmarkStart w:id="1184" w:name="_Toc57194394"/>
      <w:r>
        <w:rPr>
          <w:rFonts w:hint="eastAsia" w:ascii="楷体_GB2312" w:eastAsia="楷体_GB2312"/>
          <w:color w:val="000000" w:themeColor="text1"/>
        </w:rPr>
        <w:t>第二节  持续营造风清气正的政治生态</w:t>
      </w:r>
      <w:bookmarkEnd w:id="1179"/>
      <w:bookmarkEnd w:id="1180"/>
      <w:bookmarkEnd w:id="1181"/>
      <w:bookmarkEnd w:id="1182"/>
      <w:bookmarkEnd w:id="1183"/>
      <w:bookmarkEnd w:id="1184"/>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坚持党要管党、全面从严治党，进一步增强“四个意识”、坚定“四个自信”、做到“两个维护”，打造最讲党性、最讲政治、最讲忠诚的城市。加强政治生态建设，深入推进党风廉政建设和反腐败斗争，坚定不移贯彻落实中央八项规定及其实施细则精神，驰而不息纠治形式主义、官僚主义，深入整治“怕、慢、假、庸、散”作风顽疾，切实为基层减负。坚持和完善党和国家监督体系，加强政治监督，深化政治巡察，一体推进不敢腐、不能腐、不想腐，营造风清气正的良好政治生态。实施传承红色基因教育培训计划和时代新人培育工程，不断锤炼绝对忠诚的政治品质，大力弘扬敢闯敢试、敢为人先的精神，充分激发党员干部彰显省会担当的源动力和精气神，凝心聚力建设英雄之城。</w:t>
      </w:r>
    </w:p>
    <w:p>
      <w:pPr>
        <w:pStyle w:val="31"/>
        <w:autoSpaceDN/>
        <w:spacing w:line="580" w:lineRule="exact"/>
        <w:ind w:firstLine="0" w:firstLineChars="0"/>
        <w:rPr>
          <w:rFonts w:ascii="仿宋_GB2312"/>
          <w:color w:val="000000" w:themeColor="text1"/>
          <w:kern w:val="0"/>
        </w:rPr>
      </w:pPr>
    </w:p>
    <w:p>
      <w:pPr>
        <w:pStyle w:val="23"/>
        <w:adjustRightInd/>
        <w:snapToGrid/>
        <w:spacing w:line="580" w:lineRule="exact"/>
        <w:rPr>
          <w:b w:val="0"/>
          <w:color w:val="000000" w:themeColor="text1"/>
        </w:rPr>
      </w:pPr>
      <w:bookmarkStart w:id="1185" w:name="_Toc57194395"/>
      <w:bookmarkStart w:id="1186" w:name="_Toc57195856"/>
      <w:bookmarkStart w:id="1187" w:name="_Toc64542315"/>
      <w:bookmarkStart w:id="1188" w:name="_Toc6599"/>
      <w:bookmarkStart w:id="1189" w:name="_Toc23143"/>
      <w:bookmarkStart w:id="1190" w:name="_Toc58861311"/>
      <w:r>
        <w:rPr>
          <w:rFonts w:hint="eastAsia"/>
          <w:b w:val="0"/>
          <w:color w:val="000000" w:themeColor="text1"/>
        </w:rPr>
        <w:t>第五十四章  形成规划实施强大合力</w:t>
      </w:r>
      <w:bookmarkEnd w:id="1185"/>
      <w:bookmarkEnd w:id="1186"/>
      <w:bookmarkEnd w:id="1187"/>
      <w:bookmarkEnd w:id="1188"/>
      <w:bookmarkEnd w:id="1189"/>
      <w:bookmarkEnd w:id="1190"/>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本规划经南昌市人民代表大会审议批准，具有法律效力。发挥发展规划的战略导向作用，健全规划实施机制，完善要素保障机制，确保各项目标任务落到实处。</w:t>
      </w:r>
    </w:p>
    <w:p>
      <w:pPr>
        <w:pStyle w:val="74"/>
        <w:adjustRightInd/>
        <w:snapToGrid/>
        <w:spacing w:line="580" w:lineRule="exact"/>
        <w:rPr>
          <w:rFonts w:ascii="楷体_GB2312" w:eastAsia="楷体_GB2312"/>
          <w:color w:val="000000" w:themeColor="text1"/>
        </w:rPr>
      </w:pPr>
      <w:bookmarkStart w:id="1191" w:name="_Toc64542316"/>
      <w:bookmarkStart w:id="1192" w:name="_Toc57195857"/>
      <w:bookmarkStart w:id="1193" w:name="_Toc27428"/>
      <w:bookmarkStart w:id="1194" w:name="_Toc24298"/>
      <w:bookmarkStart w:id="1195" w:name="_Toc57194396"/>
      <w:bookmarkStart w:id="1196" w:name="_Toc58861312"/>
    </w:p>
    <w:p>
      <w:pPr>
        <w:pStyle w:val="74"/>
        <w:adjustRightInd/>
        <w:snapToGrid/>
        <w:spacing w:line="580" w:lineRule="exact"/>
        <w:rPr>
          <w:rFonts w:ascii="楷体_GB2312" w:eastAsia="楷体_GB2312"/>
          <w:color w:val="000000" w:themeColor="text1"/>
        </w:rPr>
      </w:pPr>
      <w:r>
        <w:rPr>
          <w:rFonts w:hint="eastAsia" w:ascii="楷体_GB2312" w:eastAsia="楷体_GB2312"/>
          <w:color w:val="000000" w:themeColor="text1"/>
        </w:rPr>
        <w:t>第一节  健全规划实施机制</w:t>
      </w:r>
      <w:bookmarkEnd w:id="1191"/>
      <w:bookmarkEnd w:id="1192"/>
      <w:bookmarkEnd w:id="1193"/>
      <w:bookmarkEnd w:id="1194"/>
      <w:bookmarkEnd w:id="1195"/>
      <w:bookmarkEnd w:id="1196"/>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建立健全以发展规划为统领，以空间规划为基础，以专项规划、区域规划为支撑的全市规划体系。各县区（开发区）、各部门要加强对发展规划实施的组织、协调和督导，开展规划实施情况动态监测和评估工作，把监测评估结果作为改进政府工作和绩效考核的重要依据，并依法向同级人大报告，自觉接受人大监督。</w:t>
      </w: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本规划确定的约束性指标以及重大工程、重大项目、重大政策和重要改革任务，要明确责任主体、实施进度要求，并纳入各地各部门经济社会发展综合评价和绩效体系。纳入本规划的重大工程项目，要简化审批核准程序，优先保障规划选址、土地供应和融资安排。</w:t>
      </w: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加强规划实施情况动态监测，开展规划实施中期评估和末期全面评估，并提请市人民代表大会常务委员会审议。适时对规划进行修订调整，由市政府提出方案报市人民代表大会常务委员会批准。发挥审计机关推动规划落实的作用。</w:t>
      </w:r>
    </w:p>
    <w:p>
      <w:pPr>
        <w:pStyle w:val="31"/>
        <w:autoSpaceDN/>
        <w:spacing w:line="580" w:lineRule="exact"/>
        <w:ind w:firstLine="640"/>
      </w:pPr>
    </w:p>
    <w:p>
      <w:pPr>
        <w:pStyle w:val="74"/>
        <w:adjustRightInd/>
        <w:snapToGrid/>
        <w:spacing w:line="580" w:lineRule="exact"/>
        <w:rPr>
          <w:rFonts w:ascii="楷体_GB2312" w:eastAsia="楷体_GB2312"/>
          <w:color w:val="000000" w:themeColor="text1"/>
        </w:rPr>
      </w:pPr>
      <w:bookmarkStart w:id="1197" w:name="_Toc57194397"/>
      <w:bookmarkStart w:id="1198" w:name="_Toc57195858"/>
      <w:bookmarkStart w:id="1199" w:name="_Toc14847"/>
      <w:bookmarkStart w:id="1200" w:name="_Toc15135"/>
      <w:bookmarkStart w:id="1201" w:name="_Toc58861313"/>
      <w:bookmarkStart w:id="1202" w:name="_Toc64542317"/>
      <w:r>
        <w:rPr>
          <w:rFonts w:hint="eastAsia" w:ascii="楷体_GB2312" w:eastAsia="楷体_GB2312"/>
          <w:color w:val="000000" w:themeColor="text1"/>
        </w:rPr>
        <w:t>第二节  强化规划实施政策保障</w:t>
      </w:r>
      <w:bookmarkEnd w:id="1197"/>
      <w:bookmarkEnd w:id="1198"/>
      <w:bookmarkEnd w:id="1199"/>
      <w:bookmarkEnd w:id="1200"/>
      <w:bookmarkEnd w:id="1201"/>
      <w:bookmarkEnd w:id="1202"/>
    </w:p>
    <w:p>
      <w:pPr>
        <w:spacing w:line="580" w:lineRule="exact"/>
        <w:ind w:firstLine="640"/>
        <w:rPr>
          <w:rFonts w:ascii="仿宋_GB2312" w:eastAsia="仿宋_GB2312"/>
          <w:color w:val="000000" w:themeColor="text1"/>
          <w:kern w:val="0"/>
        </w:rPr>
      </w:pPr>
    </w:p>
    <w:p>
      <w:pPr>
        <w:spacing w:line="580" w:lineRule="exact"/>
        <w:ind w:firstLine="640"/>
        <w:rPr>
          <w:rFonts w:ascii="仿宋_GB2312" w:eastAsia="仿宋_GB2312"/>
          <w:color w:val="000000" w:themeColor="text1"/>
          <w:kern w:val="0"/>
        </w:rPr>
      </w:pPr>
      <w:r>
        <w:rPr>
          <w:rFonts w:hint="eastAsia" w:ascii="仿宋_GB2312" w:eastAsia="仿宋_GB2312"/>
          <w:color w:val="000000" w:themeColor="text1"/>
          <w:kern w:val="0"/>
        </w:rPr>
        <w:t>根据发展规划提出的目标和任务，加强经济社会发展政策的统筹协调，注重短期政策与长期政策的衔接配合。密切联系宏观环境变化和发展实际，加强政策储备。增强土地集中调控能力，合理高效配置土地利用计划指标，优先保障重大项目和产业集聚区建设用地需求，推进土地节约集约利用。强化财政预算与规划实施的衔接协调，明晰各级政府支出责任，强化各级财政对规划实施的保障作用。财政规划和年度预算要结合本规划提出的目标任务和财力可能，合理安排支出规模和结构。在防范化解风险前提下，积极引导金融要素资源配置方向和结构。充分发挥市场对资源配置的决定性作用，重大生产力布局和土地、人口、环境、社会等公共政策的制定，应当服从和服务于发展规划，形成政策合力。</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6011"/>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1" w:type="dxa"/>
            <w:gridSpan w:val="3"/>
            <w:vAlign w:val="center"/>
          </w:tcPr>
          <w:p>
            <w:pPr>
              <w:pStyle w:val="2"/>
              <w:spacing w:after="0"/>
              <w:ind w:firstLine="0" w:firstLineChars="0"/>
              <w:jc w:val="center"/>
              <w:rPr>
                <w:rFonts w:ascii="仿宋_GB2312" w:eastAsia="仿宋_GB2312"/>
                <w:b/>
                <w:sz w:val="28"/>
                <w:szCs w:val="28"/>
              </w:rPr>
            </w:pPr>
            <w:bookmarkStart w:id="1203" w:name="_Toc58861314"/>
            <w:bookmarkStart w:id="1204" w:name="_Toc3436"/>
            <w:r>
              <w:rPr>
                <w:rFonts w:hint="eastAsia" w:ascii="黑体" w:hAnsi="黑体" w:eastAsia="黑体" w:cs="黑体"/>
                <w:bCs/>
                <w:color w:val="000000" w:themeColor="text1"/>
                <w:sz w:val="28"/>
                <w:szCs w:val="28"/>
              </w:rPr>
              <w:t>专栏37：“十四五”重大工程项目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753" w:type="dxa"/>
            <w:vAlign w:val="center"/>
          </w:tcPr>
          <w:p>
            <w:pPr>
              <w:pStyle w:val="2"/>
              <w:spacing w:after="0" w:line="320" w:lineRule="exact"/>
              <w:ind w:firstLine="0" w:firstLineChars="0"/>
              <w:jc w:val="center"/>
              <w:rPr>
                <w:rFonts w:ascii="仿宋_GB2312" w:hAnsi="仿宋" w:eastAsia="仿宋_GB2312"/>
                <w:b/>
              </w:rPr>
            </w:pPr>
            <w:r>
              <w:rPr>
                <w:rFonts w:hint="eastAsia" w:ascii="黑体" w:hAnsi="黑体" w:eastAsia="黑体" w:cs="黑体"/>
                <w:bCs/>
                <w:color w:val="000000" w:themeColor="text1"/>
                <w:sz w:val="24"/>
              </w:rPr>
              <w:t>重点战略</w:t>
            </w:r>
          </w:p>
        </w:tc>
        <w:tc>
          <w:tcPr>
            <w:tcW w:w="6011" w:type="dxa"/>
            <w:vAlign w:val="center"/>
          </w:tcPr>
          <w:p>
            <w:pPr>
              <w:pStyle w:val="2"/>
              <w:spacing w:after="0" w:line="320" w:lineRule="exact"/>
              <w:ind w:firstLine="0" w:firstLineChars="0"/>
              <w:jc w:val="center"/>
              <w:rPr>
                <w:rFonts w:ascii="仿宋_GB2312" w:hAnsi="仿宋" w:eastAsia="仿宋_GB2312"/>
                <w:b/>
                <w:sz w:val="24"/>
              </w:rPr>
            </w:pPr>
            <w:r>
              <w:rPr>
                <w:rFonts w:hint="eastAsia" w:ascii="黑体" w:hAnsi="黑体" w:eastAsia="黑体" w:cs="黑体"/>
                <w:bCs/>
                <w:color w:val="000000" w:themeColor="text1"/>
                <w:sz w:val="24"/>
              </w:rPr>
              <w:t>重点工程项目包</w:t>
            </w:r>
          </w:p>
        </w:tc>
        <w:tc>
          <w:tcPr>
            <w:tcW w:w="1307" w:type="dxa"/>
            <w:vAlign w:val="center"/>
          </w:tcPr>
          <w:p>
            <w:pPr>
              <w:pStyle w:val="2"/>
              <w:spacing w:after="0" w:line="320" w:lineRule="exact"/>
              <w:ind w:firstLine="0" w:firstLineChars="0"/>
              <w:jc w:val="center"/>
              <w:rPr>
                <w:rFonts w:ascii="仿宋_GB2312" w:hAnsi="仿宋" w:eastAsia="黑体"/>
                <w:b/>
              </w:rPr>
            </w:pPr>
            <w:r>
              <w:rPr>
                <w:rFonts w:hint="eastAsia" w:ascii="黑体" w:hAnsi="黑体" w:eastAsia="黑体" w:cs="黑体"/>
                <w:bCs/>
                <w:color w:val="000000" w:themeColor="text1"/>
                <w:sz w:val="24"/>
              </w:rPr>
              <w:t>投资估算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7" w:hRule="atLeast"/>
          <w:jc w:val="center"/>
        </w:trPr>
        <w:tc>
          <w:tcPr>
            <w:tcW w:w="1753" w:type="dxa"/>
            <w:vAlign w:val="center"/>
          </w:tcPr>
          <w:p>
            <w:pPr>
              <w:pStyle w:val="2"/>
              <w:spacing w:after="0" w:line="31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产业新经济</w:t>
            </w:r>
          </w:p>
          <w:p>
            <w:pPr>
              <w:pStyle w:val="2"/>
              <w:spacing w:after="0" w:line="31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战略</w:t>
            </w:r>
          </w:p>
        </w:tc>
        <w:tc>
          <w:tcPr>
            <w:tcW w:w="6011" w:type="dxa"/>
            <w:vAlign w:val="center"/>
          </w:tcPr>
          <w:p>
            <w:pPr>
              <w:pStyle w:val="2"/>
              <w:numPr>
                <w:ilvl w:val="0"/>
                <w:numId w:val="15"/>
              </w:numPr>
              <w:spacing w:after="0" w:line="310" w:lineRule="exact"/>
              <w:ind w:firstLine="0" w:firstLineChars="0"/>
              <w:rPr>
                <w:rFonts w:ascii="仿宋_GB2312" w:eastAsia="仿宋_GB2312"/>
                <w:color w:val="000000" w:themeColor="text1"/>
                <w:kern w:val="0"/>
                <w:sz w:val="24"/>
              </w:rPr>
            </w:pPr>
            <w:r>
              <w:rPr>
                <w:rFonts w:hint="eastAsia" w:ascii="仿宋_GB2312" w:eastAsia="仿宋_GB2312"/>
                <w:color w:val="000000" w:themeColor="text1"/>
                <w:kern w:val="0"/>
                <w:sz w:val="24"/>
              </w:rPr>
              <w:t>传统产业提质效项目：绿色食品项目、现代纺织项目、新型材料项目、机电装备项目、钢铁项目、建材项目等；</w:t>
            </w:r>
          </w:p>
          <w:p>
            <w:pPr>
              <w:pStyle w:val="2"/>
              <w:spacing w:after="0" w:line="310" w:lineRule="exact"/>
              <w:ind w:firstLine="0" w:firstLineChars="0"/>
              <w:rPr>
                <w:rFonts w:ascii="仿宋_GB2312" w:eastAsia="仿宋_GB2312"/>
                <w:color w:val="000000" w:themeColor="text1"/>
                <w:kern w:val="0"/>
                <w:sz w:val="24"/>
              </w:rPr>
            </w:pPr>
            <w:r>
              <w:rPr>
                <w:rFonts w:hint="eastAsia" w:ascii="仿宋_GB2312" w:eastAsia="仿宋_GB2312"/>
                <w:color w:val="000000" w:themeColor="text1"/>
                <w:kern w:val="0"/>
                <w:sz w:val="24"/>
              </w:rPr>
              <w:t>2.</w:t>
            </w:r>
            <w:r>
              <w:rPr>
                <w:rFonts w:hint="eastAsia" w:ascii="仿宋_GB2312" w:eastAsia="仿宋_GB2312"/>
                <w:color w:val="000000" w:themeColor="text1"/>
                <w:spacing w:val="-6"/>
                <w:kern w:val="0"/>
                <w:sz w:val="24"/>
              </w:rPr>
              <w:t>新兴产业扩规模项目：汽车和新能源汽车项目、电子信息项目、生物医药项目、医疗器械项目、航空制造项目等；</w:t>
            </w:r>
          </w:p>
          <w:p>
            <w:pPr>
              <w:pStyle w:val="2"/>
              <w:spacing w:after="0" w:line="310" w:lineRule="exact"/>
              <w:ind w:firstLine="0" w:firstLineChars="0"/>
              <w:rPr>
                <w:rFonts w:ascii="仿宋_GB2312" w:eastAsia="仿宋_GB2312"/>
                <w:color w:val="000000" w:themeColor="text1"/>
                <w:kern w:val="0"/>
                <w:sz w:val="24"/>
              </w:rPr>
            </w:pPr>
            <w:r>
              <w:rPr>
                <w:rFonts w:hint="eastAsia" w:ascii="仿宋_GB2312" w:eastAsia="仿宋_GB2312"/>
                <w:color w:val="000000" w:themeColor="text1"/>
                <w:kern w:val="0"/>
                <w:sz w:val="24"/>
              </w:rPr>
              <w:t>3.产业融合提速度项目：产城融合项目、军民融合项目、生产性服务业项目、生活性服务业项目等。</w:t>
            </w:r>
          </w:p>
        </w:tc>
        <w:tc>
          <w:tcPr>
            <w:tcW w:w="1307" w:type="dxa"/>
            <w:vAlign w:val="center"/>
          </w:tcPr>
          <w:p>
            <w:pPr>
              <w:pStyle w:val="2"/>
              <w:spacing w:after="0" w:line="32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7000亿元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4" w:hRule="atLeast"/>
          <w:jc w:val="center"/>
        </w:trPr>
        <w:tc>
          <w:tcPr>
            <w:tcW w:w="1753" w:type="dxa"/>
            <w:vAlign w:val="center"/>
          </w:tcPr>
          <w:p>
            <w:pPr>
              <w:pStyle w:val="2"/>
              <w:spacing w:after="0" w:line="31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产业集聚及</w:t>
            </w:r>
          </w:p>
          <w:p>
            <w:pPr>
              <w:pStyle w:val="2"/>
              <w:spacing w:after="0" w:line="31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创新战略</w:t>
            </w:r>
          </w:p>
        </w:tc>
        <w:tc>
          <w:tcPr>
            <w:tcW w:w="6011" w:type="dxa"/>
            <w:vAlign w:val="center"/>
          </w:tcPr>
          <w:p>
            <w:pPr>
              <w:pStyle w:val="2"/>
              <w:spacing w:after="0" w:line="310" w:lineRule="exact"/>
              <w:ind w:firstLine="0" w:firstLineChars="0"/>
              <w:rPr>
                <w:rFonts w:ascii="仿宋_GB2312" w:eastAsia="仿宋_GB2312"/>
                <w:color w:val="000000" w:themeColor="text1"/>
                <w:kern w:val="0"/>
                <w:sz w:val="24"/>
              </w:rPr>
            </w:pPr>
            <w:r>
              <w:rPr>
                <w:rFonts w:hint="eastAsia" w:ascii="仿宋_GB2312" w:eastAsia="仿宋_GB2312"/>
                <w:color w:val="000000" w:themeColor="text1"/>
                <w:kern w:val="0"/>
                <w:sz w:val="24"/>
              </w:rPr>
              <w:t>1.产业园区聚集平台：智慧物流园、电商产业园、流量经济产业园等新经济产业园项目，综保区、自贸区、加工区等开放平台项目；</w:t>
            </w:r>
          </w:p>
          <w:p>
            <w:pPr>
              <w:pStyle w:val="2"/>
              <w:spacing w:after="0" w:line="310" w:lineRule="exact"/>
              <w:ind w:firstLine="0" w:firstLineChars="0"/>
              <w:rPr>
                <w:rFonts w:ascii="仿宋_GB2312" w:eastAsia="仿宋_GB2312"/>
                <w:color w:val="000000" w:themeColor="text1"/>
                <w:kern w:val="0"/>
                <w:sz w:val="24"/>
              </w:rPr>
            </w:pPr>
            <w:r>
              <w:rPr>
                <w:rFonts w:hint="eastAsia" w:ascii="仿宋_GB2312" w:eastAsia="仿宋_GB2312"/>
                <w:color w:val="000000" w:themeColor="text1"/>
                <w:kern w:val="0"/>
                <w:sz w:val="24"/>
              </w:rPr>
              <w:t>2.创新平台：航空产业研发平台、材料创新研究院等协同创新平台项目，LED新材料创新研究院等创新成果转移转化平台项目，人工智能前沿技术研究院等企业研发平台项目。</w:t>
            </w:r>
          </w:p>
        </w:tc>
        <w:tc>
          <w:tcPr>
            <w:tcW w:w="1307" w:type="dxa"/>
            <w:vAlign w:val="center"/>
          </w:tcPr>
          <w:p>
            <w:pPr>
              <w:spacing w:line="32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5500亿元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vAlign w:val="center"/>
          </w:tcPr>
          <w:p>
            <w:pPr>
              <w:pStyle w:val="2"/>
              <w:spacing w:after="0" w:line="31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双开放战略</w:t>
            </w:r>
          </w:p>
        </w:tc>
        <w:tc>
          <w:tcPr>
            <w:tcW w:w="6011" w:type="dxa"/>
            <w:vAlign w:val="center"/>
          </w:tcPr>
          <w:p>
            <w:pPr>
              <w:pStyle w:val="2"/>
              <w:spacing w:after="0" w:line="310" w:lineRule="exact"/>
              <w:ind w:firstLine="0" w:firstLineChars="0"/>
              <w:rPr>
                <w:rFonts w:ascii="仿宋_GB2312" w:eastAsia="仿宋_GB2312"/>
                <w:color w:val="000000" w:themeColor="text1"/>
                <w:kern w:val="0"/>
                <w:sz w:val="24"/>
              </w:rPr>
            </w:pPr>
            <w:r>
              <w:rPr>
                <w:rFonts w:hint="eastAsia" w:ascii="仿宋_GB2312" w:eastAsia="仿宋_GB2312"/>
                <w:color w:val="000000" w:themeColor="text1"/>
                <w:kern w:val="0"/>
                <w:sz w:val="24"/>
              </w:rPr>
              <w:t>国际合作项目、沿海经济要素转移承接项目、大南昌都市圈合作项目等。</w:t>
            </w:r>
          </w:p>
        </w:tc>
        <w:tc>
          <w:tcPr>
            <w:tcW w:w="1307" w:type="dxa"/>
            <w:vAlign w:val="center"/>
          </w:tcPr>
          <w:p>
            <w:pPr>
              <w:spacing w:line="32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1000亿元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vAlign w:val="center"/>
          </w:tcPr>
          <w:p>
            <w:pPr>
              <w:pStyle w:val="2"/>
              <w:spacing w:after="0" w:line="31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交通战略</w:t>
            </w:r>
          </w:p>
        </w:tc>
        <w:tc>
          <w:tcPr>
            <w:tcW w:w="6011" w:type="dxa"/>
            <w:vAlign w:val="center"/>
          </w:tcPr>
          <w:p>
            <w:pPr>
              <w:pStyle w:val="2"/>
              <w:spacing w:after="0" w:line="310" w:lineRule="exact"/>
              <w:ind w:firstLine="0" w:firstLineChars="0"/>
              <w:rPr>
                <w:rFonts w:ascii="仿宋_GB2312" w:eastAsia="仿宋_GB2312"/>
                <w:color w:val="000000" w:themeColor="text1"/>
                <w:kern w:val="0"/>
                <w:sz w:val="24"/>
              </w:rPr>
            </w:pPr>
            <w:r>
              <w:rPr>
                <w:rFonts w:hint="eastAsia" w:ascii="仿宋_GB2312" w:eastAsia="仿宋_GB2312"/>
                <w:color w:val="000000" w:themeColor="text1"/>
                <w:kern w:val="0"/>
                <w:sz w:val="24"/>
              </w:rPr>
              <w:t>高铁与铁路建设项目、港口项目、民航扩容项目、桥梁与隧道建设项目、公路项目等。</w:t>
            </w:r>
          </w:p>
        </w:tc>
        <w:tc>
          <w:tcPr>
            <w:tcW w:w="1307" w:type="dxa"/>
            <w:vAlign w:val="center"/>
          </w:tcPr>
          <w:p>
            <w:pPr>
              <w:spacing w:line="32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4500亿元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vAlign w:val="center"/>
          </w:tcPr>
          <w:p>
            <w:pPr>
              <w:pStyle w:val="2"/>
              <w:spacing w:after="0" w:line="31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强基战略</w:t>
            </w:r>
          </w:p>
        </w:tc>
        <w:tc>
          <w:tcPr>
            <w:tcW w:w="6011" w:type="dxa"/>
            <w:vAlign w:val="center"/>
          </w:tcPr>
          <w:p>
            <w:pPr>
              <w:pStyle w:val="2"/>
              <w:spacing w:after="0" w:line="310" w:lineRule="exact"/>
              <w:ind w:firstLine="0" w:firstLineChars="0"/>
              <w:rPr>
                <w:rFonts w:ascii="仿宋_GB2312" w:eastAsia="仿宋_GB2312"/>
                <w:color w:val="000000" w:themeColor="text1"/>
                <w:kern w:val="0"/>
                <w:sz w:val="24"/>
              </w:rPr>
            </w:pPr>
            <w:r>
              <w:rPr>
                <w:rFonts w:hint="eastAsia" w:ascii="仿宋_GB2312" w:eastAsia="仿宋_GB2312"/>
                <w:color w:val="000000" w:themeColor="text1"/>
                <w:kern w:val="0"/>
                <w:sz w:val="24"/>
              </w:rPr>
              <w:t>1.能源类：清洁能源项目、输变电项目、管输项目等；</w:t>
            </w:r>
          </w:p>
          <w:p>
            <w:pPr>
              <w:pStyle w:val="2"/>
              <w:spacing w:after="0" w:line="310" w:lineRule="exact"/>
              <w:ind w:firstLine="0" w:firstLineChars="0"/>
              <w:rPr>
                <w:rFonts w:ascii="仿宋_GB2312" w:eastAsia="仿宋_GB2312"/>
                <w:color w:val="000000" w:themeColor="text1"/>
                <w:kern w:val="0"/>
                <w:sz w:val="24"/>
              </w:rPr>
            </w:pPr>
            <w:r>
              <w:rPr>
                <w:rFonts w:hint="eastAsia" w:ascii="仿宋_GB2312" w:eastAsia="仿宋_GB2312"/>
                <w:color w:val="000000" w:themeColor="text1"/>
                <w:kern w:val="0"/>
                <w:sz w:val="24"/>
              </w:rPr>
              <w:t>2.基础设施类：城市轨道交通项目、市政道路项目、水利项目、其他市政基础设施项目等。</w:t>
            </w:r>
          </w:p>
        </w:tc>
        <w:tc>
          <w:tcPr>
            <w:tcW w:w="1307" w:type="dxa"/>
            <w:vAlign w:val="center"/>
          </w:tcPr>
          <w:p>
            <w:pPr>
              <w:spacing w:line="32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6000亿元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vAlign w:val="center"/>
          </w:tcPr>
          <w:p>
            <w:pPr>
              <w:pStyle w:val="2"/>
              <w:spacing w:after="0" w:line="31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信息化和</w:t>
            </w:r>
          </w:p>
          <w:p>
            <w:pPr>
              <w:pStyle w:val="2"/>
              <w:spacing w:after="0" w:line="31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大数据战略</w:t>
            </w:r>
          </w:p>
        </w:tc>
        <w:tc>
          <w:tcPr>
            <w:tcW w:w="6011" w:type="dxa"/>
            <w:vAlign w:val="center"/>
          </w:tcPr>
          <w:p>
            <w:pPr>
              <w:pStyle w:val="2"/>
              <w:spacing w:after="0" w:line="310" w:lineRule="exact"/>
              <w:ind w:firstLine="0" w:firstLineChars="0"/>
              <w:rPr>
                <w:rFonts w:ascii="仿宋_GB2312" w:eastAsia="仿宋_GB2312"/>
                <w:color w:val="000000" w:themeColor="text1"/>
                <w:kern w:val="0"/>
                <w:sz w:val="24"/>
              </w:rPr>
            </w:pPr>
            <w:r>
              <w:rPr>
                <w:rFonts w:hint="eastAsia" w:ascii="仿宋_GB2312" w:eastAsia="仿宋_GB2312"/>
                <w:color w:val="000000" w:themeColor="text1"/>
                <w:kern w:val="0"/>
                <w:sz w:val="24"/>
              </w:rPr>
              <w:t>智慧城市项目、5G基站部署建设项目、电子信息产业项目、高速光纤网络城乡覆盖项目、物联网设施布局提升项目、信息化系统建设项目；虚拟现实（VR）、大数据及云计算、人工智能、软件和信息技术服务业、区块链等项目。</w:t>
            </w:r>
          </w:p>
        </w:tc>
        <w:tc>
          <w:tcPr>
            <w:tcW w:w="1307" w:type="dxa"/>
            <w:vAlign w:val="center"/>
          </w:tcPr>
          <w:p>
            <w:pPr>
              <w:spacing w:line="32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2200亿元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vAlign w:val="center"/>
          </w:tcPr>
          <w:p>
            <w:pPr>
              <w:pStyle w:val="2"/>
              <w:spacing w:after="0" w:line="31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城镇化和</w:t>
            </w:r>
          </w:p>
          <w:p>
            <w:pPr>
              <w:pStyle w:val="2"/>
              <w:spacing w:after="0" w:line="31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乡村振兴战略</w:t>
            </w:r>
          </w:p>
        </w:tc>
        <w:tc>
          <w:tcPr>
            <w:tcW w:w="6011" w:type="dxa"/>
            <w:vAlign w:val="center"/>
          </w:tcPr>
          <w:p>
            <w:pPr>
              <w:pStyle w:val="2"/>
              <w:spacing w:after="0" w:line="310" w:lineRule="exact"/>
              <w:ind w:firstLine="0" w:firstLineChars="0"/>
              <w:rPr>
                <w:rFonts w:ascii="仿宋_GB2312" w:eastAsia="仿宋_GB2312"/>
                <w:color w:val="000000" w:themeColor="text1"/>
                <w:kern w:val="0"/>
                <w:sz w:val="24"/>
              </w:rPr>
            </w:pPr>
            <w:r>
              <w:rPr>
                <w:rFonts w:hint="eastAsia" w:ascii="仿宋_GB2312" w:eastAsia="仿宋_GB2312"/>
                <w:color w:val="000000" w:themeColor="text1"/>
                <w:kern w:val="0"/>
                <w:sz w:val="24"/>
              </w:rPr>
              <w:t>1.农业提质增效项目：种业项目、现代化养殖深加工项目、中药材种植项目等；</w:t>
            </w:r>
          </w:p>
          <w:p>
            <w:pPr>
              <w:pStyle w:val="2"/>
              <w:spacing w:after="0" w:line="310" w:lineRule="exact"/>
              <w:ind w:firstLine="0" w:firstLineChars="0"/>
              <w:rPr>
                <w:rFonts w:ascii="仿宋_GB2312" w:eastAsia="仿宋_GB2312"/>
                <w:color w:val="000000" w:themeColor="text1"/>
                <w:kern w:val="0"/>
                <w:sz w:val="24"/>
              </w:rPr>
            </w:pPr>
            <w:r>
              <w:rPr>
                <w:rFonts w:hint="eastAsia" w:ascii="仿宋_GB2312" w:eastAsia="仿宋_GB2312"/>
                <w:color w:val="000000" w:themeColor="text1"/>
                <w:kern w:val="0"/>
                <w:sz w:val="24"/>
              </w:rPr>
              <w:t>2.美丽乡村建设项目：特色小镇项目、山水林田湖草村项目、农田水利项目、农村饮水安全项目、农村环境基础设施项目、农村公共服务项目等。</w:t>
            </w:r>
          </w:p>
        </w:tc>
        <w:tc>
          <w:tcPr>
            <w:tcW w:w="1307" w:type="dxa"/>
            <w:vAlign w:val="center"/>
          </w:tcPr>
          <w:p>
            <w:pPr>
              <w:spacing w:line="32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6000亿元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1753" w:type="dxa"/>
            <w:vAlign w:val="center"/>
          </w:tcPr>
          <w:p>
            <w:pPr>
              <w:pStyle w:val="2"/>
              <w:spacing w:after="0" w:line="31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城市更新功能</w:t>
            </w:r>
          </w:p>
          <w:p>
            <w:pPr>
              <w:pStyle w:val="2"/>
              <w:spacing w:after="0" w:line="31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修复战略</w:t>
            </w:r>
          </w:p>
        </w:tc>
        <w:tc>
          <w:tcPr>
            <w:tcW w:w="6011" w:type="dxa"/>
            <w:vAlign w:val="center"/>
          </w:tcPr>
          <w:p>
            <w:pPr>
              <w:pStyle w:val="2"/>
              <w:spacing w:after="0" w:line="310" w:lineRule="exact"/>
              <w:ind w:firstLine="0" w:firstLineChars="0"/>
              <w:rPr>
                <w:rFonts w:ascii="仿宋_GB2312" w:eastAsia="仿宋_GB2312"/>
                <w:color w:val="000000" w:themeColor="text1"/>
                <w:kern w:val="0"/>
                <w:sz w:val="24"/>
              </w:rPr>
            </w:pPr>
            <w:r>
              <w:rPr>
                <w:rFonts w:hint="eastAsia" w:ascii="仿宋_GB2312" w:eastAsia="仿宋_GB2312"/>
                <w:color w:val="000000" w:themeColor="text1"/>
                <w:kern w:val="0"/>
                <w:sz w:val="24"/>
              </w:rPr>
              <w:t>1.旧城改造项目：老旧小区改造项目、安置房项目、老旧市政公用设施改造项目、便民设施项目、步行系统改造项目等；</w:t>
            </w:r>
          </w:p>
          <w:p>
            <w:pPr>
              <w:pStyle w:val="2"/>
              <w:spacing w:after="0" w:line="310" w:lineRule="exact"/>
              <w:ind w:firstLine="0" w:firstLineChars="0"/>
              <w:rPr>
                <w:rFonts w:ascii="仿宋_GB2312" w:eastAsia="仿宋_GB2312"/>
                <w:color w:val="000000" w:themeColor="text1"/>
                <w:kern w:val="0"/>
                <w:sz w:val="24"/>
              </w:rPr>
            </w:pPr>
            <w:r>
              <w:rPr>
                <w:rFonts w:hint="eastAsia" w:ascii="仿宋_GB2312" w:eastAsia="仿宋_GB2312"/>
                <w:color w:val="000000" w:themeColor="text1"/>
                <w:kern w:val="0"/>
                <w:sz w:val="24"/>
              </w:rPr>
              <w:t>2.新区拓展项目：城市综合体项目、商业综合体项目等。</w:t>
            </w:r>
          </w:p>
        </w:tc>
        <w:tc>
          <w:tcPr>
            <w:tcW w:w="1307" w:type="dxa"/>
            <w:vAlign w:val="center"/>
          </w:tcPr>
          <w:p>
            <w:pPr>
              <w:spacing w:line="32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5000亿元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1753" w:type="dxa"/>
            <w:vAlign w:val="center"/>
          </w:tcPr>
          <w:p>
            <w:pPr>
              <w:pStyle w:val="2"/>
              <w:spacing w:after="0" w:line="31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生态环境战略</w:t>
            </w:r>
          </w:p>
        </w:tc>
        <w:tc>
          <w:tcPr>
            <w:tcW w:w="6011" w:type="dxa"/>
            <w:vAlign w:val="center"/>
          </w:tcPr>
          <w:p>
            <w:pPr>
              <w:pStyle w:val="2"/>
              <w:spacing w:after="0" w:line="310" w:lineRule="exact"/>
              <w:ind w:firstLine="0" w:firstLineChars="0"/>
              <w:rPr>
                <w:rFonts w:ascii="仿宋_GB2312" w:eastAsia="仿宋_GB2312"/>
                <w:color w:val="000000" w:themeColor="text1"/>
                <w:kern w:val="0"/>
                <w:sz w:val="24"/>
              </w:rPr>
            </w:pPr>
            <w:r>
              <w:rPr>
                <w:rFonts w:hint="eastAsia" w:ascii="仿宋_GB2312" w:eastAsia="仿宋_GB2312"/>
                <w:color w:val="000000" w:themeColor="text1"/>
                <w:kern w:val="0"/>
                <w:sz w:val="24"/>
              </w:rPr>
              <w:t>城市多元生态廊道融合脉络项目、河道综合生态整治项目、森林湿地保护开发项目、自然保护地项目、生态环境综合治理项目等。</w:t>
            </w:r>
          </w:p>
        </w:tc>
        <w:tc>
          <w:tcPr>
            <w:tcW w:w="1307" w:type="dxa"/>
            <w:vAlign w:val="center"/>
          </w:tcPr>
          <w:p>
            <w:pPr>
              <w:spacing w:line="32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4000亿元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1" w:hRule="atLeast"/>
          <w:jc w:val="center"/>
        </w:trPr>
        <w:tc>
          <w:tcPr>
            <w:tcW w:w="1753" w:type="dxa"/>
            <w:vAlign w:val="center"/>
          </w:tcPr>
          <w:p>
            <w:pPr>
              <w:pStyle w:val="2"/>
              <w:spacing w:after="0" w:line="31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文旅战略</w:t>
            </w:r>
          </w:p>
        </w:tc>
        <w:tc>
          <w:tcPr>
            <w:tcW w:w="6011" w:type="dxa"/>
            <w:vAlign w:val="center"/>
          </w:tcPr>
          <w:p>
            <w:pPr>
              <w:pStyle w:val="2"/>
              <w:spacing w:after="0" w:line="310" w:lineRule="exact"/>
              <w:ind w:firstLine="0" w:firstLineChars="0"/>
              <w:rPr>
                <w:rFonts w:ascii="仿宋_GB2312" w:eastAsia="仿宋_GB2312"/>
                <w:color w:val="000000" w:themeColor="text1"/>
                <w:kern w:val="0"/>
                <w:sz w:val="24"/>
              </w:rPr>
            </w:pPr>
            <w:r>
              <w:rPr>
                <w:rFonts w:hint="eastAsia" w:ascii="仿宋_GB2312" w:eastAsia="仿宋_GB2312"/>
                <w:color w:val="000000" w:themeColor="text1"/>
                <w:kern w:val="0"/>
                <w:sz w:val="24"/>
              </w:rPr>
              <w:t>1.文化类：历史文化街区的保护与打造项目、公共文化场馆和设施建设项目、历史文化遗址公园项目、公共群众性文化设施项目等；</w:t>
            </w:r>
          </w:p>
          <w:p>
            <w:pPr>
              <w:pStyle w:val="2"/>
              <w:spacing w:after="0" w:line="310" w:lineRule="exact"/>
              <w:ind w:firstLine="0" w:firstLineChars="0"/>
              <w:rPr>
                <w:rFonts w:ascii="仿宋_GB2312" w:eastAsia="仿宋_GB2312"/>
                <w:color w:val="000000" w:themeColor="text1"/>
                <w:kern w:val="0"/>
                <w:sz w:val="24"/>
              </w:rPr>
            </w:pPr>
            <w:r>
              <w:rPr>
                <w:rFonts w:hint="eastAsia" w:ascii="仿宋_GB2312" w:eastAsia="仿宋_GB2312"/>
                <w:color w:val="000000" w:themeColor="text1"/>
                <w:kern w:val="0"/>
                <w:sz w:val="24"/>
              </w:rPr>
              <w:t>2.旅游类：“旅游+”项目、文旅综合开发项目、新业态旅游项目等。</w:t>
            </w:r>
          </w:p>
        </w:tc>
        <w:tc>
          <w:tcPr>
            <w:tcW w:w="1307" w:type="dxa"/>
            <w:vAlign w:val="center"/>
          </w:tcPr>
          <w:p>
            <w:pPr>
              <w:spacing w:line="32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5500亿元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753" w:type="dxa"/>
            <w:vAlign w:val="center"/>
          </w:tcPr>
          <w:p>
            <w:pPr>
              <w:pStyle w:val="2"/>
              <w:spacing w:after="0" w:line="31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民生战略</w:t>
            </w:r>
          </w:p>
        </w:tc>
        <w:tc>
          <w:tcPr>
            <w:tcW w:w="6011" w:type="dxa"/>
            <w:vAlign w:val="center"/>
          </w:tcPr>
          <w:p>
            <w:pPr>
              <w:pStyle w:val="2"/>
              <w:spacing w:after="0" w:line="310" w:lineRule="exact"/>
              <w:ind w:firstLine="0" w:firstLineChars="0"/>
              <w:rPr>
                <w:rFonts w:ascii="仿宋_GB2312" w:eastAsia="仿宋_GB2312"/>
                <w:color w:val="000000" w:themeColor="text1"/>
                <w:kern w:val="0"/>
                <w:sz w:val="24"/>
              </w:rPr>
            </w:pPr>
            <w:r>
              <w:rPr>
                <w:rFonts w:hint="eastAsia" w:ascii="仿宋_GB2312" w:eastAsia="仿宋_GB2312"/>
                <w:color w:val="000000" w:themeColor="text1"/>
                <w:kern w:val="0"/>
                <w:sz w:val="24"/>
              </w:rPr>
              <w:t>校区建设项目、医疗卫生项目、养老项目、应急保障项目、就业创业保障项目等。</w:t>
            </w:r>
          </w:p>
        </w:tc>
        <w:tc>
          <w:tcPr>
            <w:tcW w:w="1307" w:type="dxa"/>
            <w:vAlign w:val="center"/>
          </w:tcPr>
          <w:p>
            <w:pPr>
              <w:spacing w:line="32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2500亿元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753" w:type="dxa"/>
            <w:vAlign w:val="center"/>
          </w:tcPr>
          <w:p>
            <w:pPr>
              <w:pStyle w:val="2"/>
              <w:spacing w:after="0" w:line="31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深化改革战略</w:t>
            </w:r>
          </w:p>
        </w:tc>
        <w:tc>
          <w:tcPr>
            <w:tcW w:w="6011" w:type="dxa"/>
            <w:vAlign w:val="center"/>
          </w:tcPr>
          <w:p>
            <w:pPr>
              <w:pStyle w:val="2"/>
              <w:spacing w:after="0" w:line="310" w:lineRule="exact"/>
              <w:ind w:firstLine="0" w:firstLineChars="0"/>
              <w:rPr>
                <w:rFonts w:ascii="仿宋_GB2312" w:eastAsia="仿宋_GB2312"/>
                <w:color w:val="000000" w:themeColor="text1"/>
                <w:kern w:val="0"/>
                <w:sz w:val="24"/>
              </w:rPr>
            </w:pPr>
            <w:r>
              <w:rPr>
                <w:rFonts w:hint="eastAsia" w:ascii="仿宋_GB2312" w:eastAsia="仿宋_GB2312"/>
                <w:color w:val="000000" w:themeColor="text1"/>
                <w:kern w:val="0"/>
                <w:sz w:val="24"/>
              </w:rPr>
              <w:t>社会治理体系能力建设项目、村镇体系整合提升项目等。</w:t>
            </w:r>
          </w:p>
        </w:tc>
        <w:tc>
          <w:tcPr>
            <w:tcW w:w="1307" w:type="dxa"/>
            <w:vAlign w:val="center"/>
          </w:tcPr>
          <w:p>
            <w:pPr>
              <w:spacing w:line="320" w:lineRule="exact"/>
              <w:ind w:firstLine="0" w:firstLineChars="0"/>
              <w:jc w:val="center"/>
              <w:rPr>
                <w:rFonts w:ascii="仿宋_GB2312" w:eastAsia="仿宋_GB2312"/>
                <w:color w:val="000000" w:themeColor="text1"/>
                <w:kern w:val="0"/>
                <w:sz w:val="24"/>
              </w:rPr>
            </w:pPr>
            <w:r>
              <w:rPr>
                <w:rFonts w:hint="eastAsia" w:ascii="仿宋_GB2312" w:eastAsia="仿宋_GB2312"/>
                <w:color w:val="000000" w:themeColor="text1"/>
                <w:kern w:val="0"/>
                <w:sz w:val="24"/>
              </w:rPr>
              <w:t>800亿元</w:t>
            </w:r>
          </w:p>
        </w:tc>
      </w:tr>
    </w:tbl>
    <w:p>
      <w:pPr>
        <w:spacing w:line="558" w:lineRule="exact"/>
        <w:ind w:firstLine="640"/>
      </w:pPr>
    </w:p>
    <w:p>
      <w:pPr>
        <w:pStyle w:val="74"/>
        <w:adjustRightInd/>
        <w:snapToGrid/>
        <w:spacing w:line="558" w:lineRule="exact"/>
        <w:rPr>
          <w:rFonts w:ascii="楷体_GB2312" w:eastAsia="楷体_GB2312"/>
          <w:color w:val="000000" w:themeColor="text1"/>
        </w:rPr>
      </w:pPr>
      <w:bookmarkStart w:id="1205" w:name="_Toc64542318"/>
      <w:bookmarkStart w:id="1206" w:name="_Toc4306"/>
      <w:r>
        <w:rPr>
          <w:rFonts w:hint="eastAsia" w:ascii="楷体_GB2312" w:eastAsia="楷体_GB2312"/>
          <w:color w:val="000000" w:themeColor="text1"/>
        </w:rPr>
        <w:t>第三节  动员全社会参与规划实施</w:t>
      </w:r>
      <w:bookmarkEnd w:id="1203"/>
      <w:bookmarkEnd w:id="1204"/>
      <w:bookmarkEnd w:id="1205"/>
      <w:bookmarkEnd w:id="1206"/>
    </w:p>
    <w:p>
      <w:pPr>
        <w:pStyle w:val="14"/>
        <w:spacing w:after="0" w:line="558" w:lineRule="exact"/>
        <w:ind w:left="640" w:firstLine="640"/>
      </w:pPr>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本规划提出的预期性指标和产业发展等任务，主要依靠市场主体自主行为实现。以市政府名义分解本规划确定的发展目标、主要任务，明确牵头单位、工作责任，加大绩效考核力度，确保如期完成。各县区（开发区）、各部门要切实落实好本规划涉及到的目标和任务。发挥新闻媒体、群众社团的桥梁和监督作用，健全政府与企业、市民的信息沟通和反馈机制，提高规划实施的民主化程度和透明度，汇聚广大人民群众的力量和智慧，形成群策群力、共建共享的生动局面。</w:t>
      </w:r>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 xml:space="preserve"> </w:t>
      </w:r>
    </w:p>
    <w:p>
      <w:pPr>
        <w:spacing w:line="558" w:lineRule="exact"/>
        <w:ind w:firstLine="640"/>
        <w:rPr>
          <w:rFonts w:ascii="仿宋_GB2312" w:eastAsia="仿宋_GB2312"/>
          <w:color w:val="000000" w:themeColor="text1"/>
          <w:kern w:val="0"/>
        </w:rPr>
      </w:pPr>
      <w:r>
        <w:rPr>
          <w:rFonts w:hint="eastAsia" w:ascii="仿宋_GB2312" w:eastAsia="仿宋_GB2312"/>
          <w:color w:val="000000" w:themeColor="text1"/>
          <w:kern w:val="0"/>
        </w:rPr>
        <w:t>“十四五”及二〇三五年远期宏伟蓝图已经绘就，壮丽前景催人奋进。全市上下要更加紧密地团结在以习近平同志为核心的党中央周围，贯彻落实省委、省政府和市委、市政府的决策部署，进一步解放思想、创新实干、奋发有为、彰显担当，努力建设社会主义现代化新南昌，为描绘好新时代江西改革发展新画卷而不懈奋斗！</w:t>
      </w:r>
    </w:p>
    <w:sectPr>
      <w:footerReference r:id="rId11" w:type="default"/>
      <w:pgSz w:w="11906" w:h="16838"/>
      <w:pgMar w:top="1701" w:right="1418" w:bottom="1701" w:left="1418" w:header="851" w:footer="1418" w:gutter="0"/>
      <w:pgNumType w:start="1"/>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方正仿宋简体">
    <w:altName w:val="微软雅黑"/>
    <w:panose1 w:val="00000000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left="3840" w:firstLine="640"/>
      <w:rPr>
        <w:rFonts w:ascii="仿宋_GB2312" w:eastAsia="仿宋_GB2312"/>
        <w:sz w:val="32"/>
        <w:szCs w:val="32"/>
      </w:rPr>
    </w:pPr>
    <w:r>
      <w:rPr>
        <w:sz w:val="32"/>
      </w:rPr>
      <w:pict>
        <v:shape id="Text Box 2" o:spid="_x0000_s2049" o:spt="202" type="#_x0000_t202" style="position:absolute;left:0pt;margin-top:0pt;height:20.4pt;width:16.7pt;mso-position-horizontal:outside;mso-position-horizontal-relative:margin;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">
          <v:path/>
          <v:fill on="f" focussize="0,0"/>
          <v:stroke on="f" weight="0.5pt" joinstyle="miter"/>
          <v:imagedata o:title=""/>
          <o:lock v:ext="edit"/>
          <v:textbox inset="0mm,0mm,0mm,0mm">
            <w:txbxContent>
              <w:p>
                <w:pPr>
                  <w:pStyle w:val="19"/>
                  <w:ind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VII</w:t>
                </w:r>
                <w:r>
                  <w:rPr>
                    <w:rFonts w:ascii="Times New Roman" w:hAnsi="Times New Roman" w:cs="Times New Roman"/>
                    <w:sz w:val="28"/>
                    <w:szCs w:val="2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9105960"/>
      <w:docPartObj>
        <w:docPartGallery w:val="AutoText"/>
      </w:docPartObj>
    </w:sdtPr>
    <w:sdtContent>
      <w:p>
        <w:pPr>
          <w:pStyle w:val="19"/>
          <w:ind w:firstLine="360"/>
        </w:pP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p>
    </w:sdtContent>
  </w:sdt>
  <w:p>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3994606"/>
      <w:docPartObj>
        <w:docPartGallery w:val="AutoText"/>
      </w:docPartObj>
    </w:sdtPr>
    <w:sdtContent>
      <w:p>
        <w:pPr>
          <w:pStyle w:val="19"/>
          <w:ind w:firstLine="360"/>
          <w:jc w:val="right"/>
        </w:pPr>
        <w:r>
          <w:rPr>
            <w:rFonts w:ascii="Times New Roman" w:hAnsi="Times New Roman" w:cs="Times New Roman"/>
            <w:sz w:val="28"/>
            <w:szCs w:val="28"/>
            <w:lang w:val="zh-CN"/>
          </w:rPr>
          <w:fldChar w:fldCharType="begin"/>
        </w:r>
        <w:r>
          <w:rPr>
            <w:rFonts w:ascii="Times New Roman" w:hAnsi="Times New Roman" w:cs="Times New Roman"/>
            <w:sz w:val="28"/>
            <w:szCs w:val="28"/>
            <w:lang w:val="zh-CN"/>
          </w:rPr>
          <w:instrText xml:space="preserve">PAGE   \* MERGEFORMAT</w:instrText>
        </w:r>
        <w:r>
          <w:rPr>
            <w:rFonts w:ascii="Times New Roman" w:hAnsi="Times New Roman" w:cs="Times New Roman"/>
            <w:sz w:val="28"/>
            <w:szCs w:val="28"/>
            <w:lang w:val="zh-CN"/>
          </w:rPr>
          <w:fldChar w:fldCharType="separate"/>
        </w:r>
        <w:r>
          <w:rPr>
            <w:rFonts w:ascii="Times New Roman" w:hAnsi="Times New Roman" w:cs="Times New Roman"/>
            <w:sz w:val="28"/>
            <w:szCs w:val="28"/>
            <w:lang w:val="zh-CN"/>
          </w:rPr>
          <w:t>1</w:t>
        </w:r>
        <w:r>
          <w:rPr>
            <w:rFonts w:ascii="Times New Roman" w:hAnsi="Times New Roman" w:cs="Times New Roman"/>
            <w:sz w:val="28"/>
            <w:szCs w:val="28"/>
            <w:lang w:val="zh-CN"/>
          </w:rPr>
          <w:fldChar w:fldCharType="end"/>
        </w:r>
      </w:p>
    </w:sdtContent>
  </w:sdt>
  <w:p>
    <w:pPr>
      <w:pStyle w:val="19"/>
      <w:ind w:left="3840" w:firstLine="360"/>
      <w:rPr>
        <w:rFonts w:ascii="仿宋_GB2312" w:eastAsia="仿宋_GB23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0">
    <w:p>
      <w:pPr>
        <w:ind w:firstLine="640"/>
      </w:pPr>
      <w:r>
        <w:separator/>
      </w:r>
    </w:p>
  </w:footnote>
  <w:footnote w:type="continuationSeparator" w:id="41">
    <w:p>
      <w:pPr>
        <w:ind w:firstLine="640"/>
      </w:pPr>
      <w:r>
        <w:continuationSeparator/>
      </w:r>
    </w:p>
  </w:footnote>
  <w:footnote w:id="0">
    <w:p>
      <w:pPr>
        <w:pStyle w:val="24"/>
        <w:ind w:firstLine="0" w:firstLineChars="0"/>
        <w:rPr>
          <w:rFonts w:ascii="仿宋_GB2312" w:hAnsi="仿宋_GB2312" w:eastAsia="仿宋_GB2312"/>
        </w:rPr>
      </w:pPr>
      <w:r>
        <w:rPr>
          <w:rStyle w:val="38"/>
          <w:rFonts w:ascii="仿宋_GB2312" w:hAnsi="仿宋_GB2312" w:eastAsia="仿宋_GB2312"/>
        </w:rPr>
        <w:footnoteRef/>
      </w:r>
      <w:r>
        <w:rPr>
          <w:rFonts w:ascii="仿宋_GB2312" w:hAnsi="仿宋_GB2312" w:eastAsia="仿宋_GB2312"/>
        </w:rPr>
        <w:t xml:space="preserve"> </w:t>
      </w:r>
      <w:r>
        <w:rPr>
          <w:rFonts w:hint="eastAsia" w:ascii="仿宋_GB2312" w:eastAsia="仿宋_GB2312" w:hAnsiTheme="minorHAnsi"/>
          <w:b/>
          <w:kern w:val="0"/>
          <w:szCs w:val="24"/>
        </w:rPr>
        <w:t>五城：</w:t>
      </w:r>
      <w:r>
        <w:rPr>
          <w:rFonts w:hint="eastAsia" w:ascii="仿宋_GB2312" w:eastAsia="仿宋_GB2312" w:hAnsiTheme="minorHAnsi"/>
          <w:kern w:val="0"/>
          <w:szCs w:val="24"/>
        </w:rPr>
        <w:t>创新之城、实力之城、山水之城、文化之城、英雄之城。</w:t>
      </w:r>
    </w:p>
  </w:footnote>
  <w:footnote w:id="1">
    <w:p>
      <w:pPr>
        <w:pStyle w:val="24"/>
        <w:ind w:firstLine="0" w:firstLineChars="0"/>
        <w:rPr>
          <w:rFonts w:ascii="仿宋_GB2312" w:hAnsi="仿宋_GB2312" w:eastAsia="仿宋_GB2312"/>
        </w:rPr>
      </w:pPr>
      <w:r>
        <w:rPr>
          <w:rStyle w:val="38"/>
          <w:rFonts w:ascii="仿宋_GB2312" w:hAnsi="仿宋_GB2312" w:eastAsia="仿宋_GB2312"/>
        </w:rPr>
        <w:footnoteRef/>
      </w:r>
      <w:r>
        <w:rPr>
          <w:rFonts w:ascii="仿宋_GB2312" w:hAnsi="仿宋_GB2312" w:eastAsia="仿宋_GB2312"/>
        </w:rPr>
        <w:t xml:space="preserve"> </w:t>
      </w:r>
      <w:r>
        <w:rPr>
          <w:rFonts w:hint="eastAsia" w:ascii="仿宋_GB2312" w:eastAsia="仿宋_GB2312"/>
          <w:b/>
          <w:kern w:val="0"/>
        </w:rPr>
        <w:t>三区</w:t>
      </w:r>
      <w:r>
        <w:rPr>
          <w:rFonts w:hint="eastAsia" w:ascii="仿宋_GB2312" w:eastAsia="仿宋_GB2312"/>
          <w:spacing w:val="-6"/>
          <w:kern w:val="0"/>
        </w:rPr>
        <w:t>指南昌国家高新技术产业开发区、南昌经济技术开发区和小蓝经济技术开发区；</w:t>
      </w:r>
      <w:r>
        <w:rPr>
          <w:rFonts w:hint="eastAsia" w:ascii="仿宋_GB2312" w:eastAsia="仿宋_GB2312"/>
          <w:b/>
          <w:spacing w:val="-6"/>
          <w:kern w:val="0"/>
        </w:rPr>
        <w:t>四园</w:t>
      </w:r>
      <w:r>
        <w:rPr>
          <w:rFonts w:hint="eastAsia" w:ascii="仿宋_GB2312" w:eastAsia="仿宋_GB2312"/>
          <w:spacing w:val="-6"/>
          <w:kern w:val="0"/>
        </w:rPr>
        <w:t>指新建经济开发区、青山湖高新技术产业园、安义工业园和进贤产业园。</w:t>
      </w:r>
    </w:p>
  </w:footnote>
  <w:footnote w:id="2">
    <w:p>
      <w:pPr>
        <w:pStyle w:val="24"/>
        <w:ind w:firstLine="0" w:firstLineChars="0"/>
        <w:rPr>
          <w:rFonts w:ascii="仿宋_GB2312" w:hAnsi="仿宋_GB2312" w:eastAsia="仿宋_GB2312"/>
        </w:rPr>
      </w:pPr>
      <w:r>
        <w:rPr>
          <w:rStyle w:val="38"/>
          <w:rFonts w:ascii="仿宋_GB2312" w:hAnsi="仿宋_GB2312" w:eastAsia="仿宋_GB2312"/>
        </w:rPr>
        <w:footnoteRef/>
      </w:r>
      <w:r>
        <w:rPr>
          <w:rFonts w:ascii="仿宋_GB2312" w:hAnsi="仿宋_GB2312" w:eastAsia="仿宋_GB2312"/>
        </w:rPr>
        <w:t xml:space="preserve"> </w:t>
      </w:r>
      <w:r>
        <w:rPr>
          <w:rFonts w:hint="eastAsia" w:ascii="仿宋_GB2312" w:eastAsia="仿宋_GB2312"/>
          <w:b/>
          <w:kern w:val="0"/>
        </w:rPr>
        <w:t>六</w:t>
      </w:r>
      <w:r>
        <w:rPr>
          <w:rFonts w:hint="eastAsia" w:ascii="仿宋_GB2312" w:eastAsia="仿宋_GB2312"/>
          <w:b/>
          <w:spacing w:val="-6"/>
          <w:kern w:val="0"/>
        </w:rPr>
        <w:t>区协同</w:t>
      </w:r>
      <w:r>
        <w:rPr>
          <w:rFonts w:hint="eastAsia" w:ascii="仿宋_GB2312" w:eastAsia="仿宋_GB2312"/>
          <w:spacing w:val="-6"/>
          <w:kern w:val="0"/>
        </w:rPr>
        <w:t>指红谷滩金融商务集聚区、东湖文旅商贸集聚区、西湖现代商贸集聚区、青云谱新服务集聚区、青山湖商务集聚区、新建高端特色服务集聚区协同发展。</w:t>
      </w:r>
    </w:p>
  </w:footnote>
  <w:footnote w:id="3">
    <w:p>
      <w:pPr>
        <w:pStyle w:val="24"/>
        <w:ind w:firstLine="0" w:firstLineChars="0"/>
        <w:rPr>
          <w:rFonts w:ascii="仿宋_GB2312" w:hAnsi="仿宋_GB2312" w:eastAsia="仿宋_GB2312"/>
        </w:rPr>
      </w:pPr>
      <w:r>
        <w:rPr>
          <w:rStyle w:val="38"/>
          <w:rFonts w:ascii="仿宋_GB2312" w:hAnsi="仿宋_GB2312" w:eastAsia="仿宋_GB2312"/>
        </w:rPr>
        <w:footnoteRef/>
      </w:r>
      <w:r>
        <w:rPr>
          <w:rFonts w:ascii="仿宋_GB2312" w:hAnsi="仿宋_GB2312" w:eastAsia="仿宋_GB2312"/>
        </w:rPr>
        <w:t xml:space="preserve"> </w:t>
      </w:r>
      <w:r>
        <w:rPr>
          <w:rFonts w:hint="eastAsia" w:ascii="仿宋_GB2312" w:eastAsia="仿宋_GB2312"/>
          <w:b/>
          <w:kern w:val="0"/>
        </w:rPr>
        <w:t>一江</w:t>
      </w:r>
      <w:r>
        <w:rPr>
          <w:rFonts w:hint="eastAsia" w:ascii="仿宋_GB2312" w:eastAsia="仿宋_GB2312"/>
          <w:kern w:val="0"/>
        </w:rPr>
        <w:t>即赣江；</w:t>
      </w:r>
      <w:r>
        <w:rPr>
          <w:rFonts w:hint="eastAsia" w:ascii="仿宋_GB2312" w:eastAsia="仿宋_GB2312"/>
          <w:b/>
          <w:kern w:val="0"/>
        </w:rPr>
        <w:t>三河</w:t>
      </w:r>
      <w:r>
        <w:rPr>
          <w:rFonts w:hint="eastAsia" w:ascii="仿宋_GB2312" w:eastAsia="仿宋_GB2312"/>
          <w:kern w:val="0"/>
        </w:rPr>
        <w:t>即抚河、玉带河、乌沙河；</w:t>
      </w:r>
      <w:r>
        <w:rPr>
          <w:rFonts w:hint="eastAsia" w:ascii="仿宋_GB2312" w:eastAsia="仿宋_GB2312"/>
          <w:b/>
          <w:kern w:val="0"/>
        </w:rPr>
        <w:t>十湖</w:t>
      </w:r>
      <w:r>
        <w:rPr>
          <w:rFonts w:hint="eastAsia" w:ascii="仿宋_GB2312" w:eastAsia="仿宋_GB2312"/>
          <w:kern w:val="0"/>
        </w:rPr>
        <w:t>即瑶湖、艾溪湖、青山湖、东南西北湖、象湖、富山塘、黄家湖、前湖、九龙湖、儒乐湖、白水湖等十余湖。</w:t>
      </w:r>
    </w:p>
  </w:footnote>
  <w:footnote w:id="4">
    <w:p>
      <w:pPr>
        <w:pStyle w:val="24"/>
        <w:ind w:firstLine="0" w:firstLineChars="0"/>
        <w:rPr>
          <w:rFonts w:ascii="仿宋_GB2312" w:hAnsi="仿宋_GB2312" w:eastAsia="仿宋_GB2312"/>
        </w:rPr>
      </w:pPr>
      <w:r>
        <w:rPr>
          <w:rStyle w:val="38"/>
          <w:rFonts w:ascii="仿宋_GB2312" w:hAnsi="仿宋_GB2312" w:eastAsia="仿宋_GB2312"/>
        </w:rPr>
        <w:footnoteRef/>
      </w:r>
      <w:r>
        <w:rPr>
          <w:rFonts w:ascii="仿宋_GB2312" w:hAnsi="仿宋_GB2312" w:eastAsia="仿宋_GB2312"/>
        </w:rPr>
        <w:t xml:space="preserve"> </w:t>
      </w:r>
      <w:r>
        <w:rPr>
          <w:rFonts w:hint="eastAsia" w:ascii="仿宋_GB2312" w:eastAsia="仿宋_GB2312" w:hAnsiTheme="minorHAnsi"/>
          <w:b/>
          <w:kern w:val="0"/>
          <w:szCs w:val="24"/>
        </w:rPr>
        <w:t>芯：</w:t>
      </w:r>
      <w:r>
        <w:rPr>
          <w:rFonts w:hint="eastAsia" w:ascii="仿宋_GB2312" w:eastAsia="仿宋_GB2312" w:hAnsiTheme="minorHAnsi"/>
          <w:kern w:val="0"/>
          <w:szCs w:val="24"/>
        </w:rPr>
        <w:t>芯片设计、制造；</w:t>
      </w:r>
      <w:r>
        <w:rPr>
          <w:rFonts w:hint="eastAsia" w:ascii="仿宋_GB2312" w:eastAsia="仿宋_GB2312" w:hAnsiTheme="minorHAnsi"/>
          <w:b/>
          <w:kern w:val="0"/>
          <w:szCs w:val="24"/>
        </w:rPr>
        <w:t>屏：</w:t>
      </w:r>
      <w:r>
        <w:rPr>
          <w:rFonts w:hint="eastAsia" w:ascii="仿宋_GB2312" w:eastAsia="仿宋_GB2312" w:hAnsiTheme="minorHAnsi"/>
          <w:kern w:val="0"/>
          <w:szCs w:val="24"/>
        </w:rPr>
        <w:t>移动显示屏；</w:t>
      </w:r>
      <w:r>
        <w:rPr>
          <w:rFonts w:hint="eastAsia" w:ascii="仿宋_GB2312" w:eastAsia="仿宋_GB2312" w:hAnsiTheme="minorHAnsi"/>
          <w:b/>
          <w:kern w:val="0"/>
          <w:szCs w:val="24"/>
        </w:rPr>
        <w:t>端：</w:t>
      </w:r>
      <w:r>
        <w:rPr>
          <w:rFonts w:hint="eastAsia" w:ascii="仿宋_GB2312" w:eastAsia="仿宋_GB2312" w:hAnsiTheme="minorHAnsi"/>
          <w:kern w:val="0"/>
          <w:szCs w:val="24"/>
        </w:rPr>
        <w:t>移动智能终端；</w:t>
      </w:r>
      <w:r>
        <w:rPr>
          <w:rFonts w:hint="eastAsia" w:ascii="仿宋_GB2312" w:eastAsia="仿宋_GB2312" w:hAnsiTheme="minorHAnsi"/>
          <w:b/>
          <w:kern w:val="0"/>
          <w:szCs w:val="24"/>
        </w:rPr>
        <w:t>网：</w:t>
      </w:r>
      <w:r>
        <w:rPr>
          <w:rFonts w:hint="eastAsia" w:ascii="仿宋_GB2312" w:eastAsia="仿宋_GB2312" w:hAnsiTheme="minorHAnsi"/>
          <w:kern w:val="0"/>
          <w:szCs w:val="24"/>
        </w:rPr>
        <w:t>物联网、区块链；</w:t>
      </w:r>
      <w:r>
        <w:rPr>
          <w:rFonts w:hint="eastAsia" w:ascii="仿宋_GB2312" w:eastAsia="仿宋_GB2312" w:hAnsiTheme="minorHAnsi"/>
          <w:b/>
          <w:kern w:val="0"/>
          <w:szCs w:val="24"/>
        </w:rPr>
        <w:t>云：</w:t>
      </w:r>
      <w:r>
        <w:rPr>
          <w:rFonts w:hint="eastAsia" w:ascii="仿宋_GB2312" w:eastAsia="仿宋_GB2312" w:hAnsiTheme="minorHAnsi"/>
          <w:kern w:val="0"/>
          <w:szCs w:val="24"/>
        </w:rPr>
        <w:t>云计算、大数据、软件和信息服务业；</w:t>
      </w:r>
      <w:r>
        <w:rPr>
          <w:rFonts w:hint="eastAsia" w:ascii="仿宋_GB2312" w:eastAsia="仿宋_GB2312" w:hAnsiTheme="minorHAnsi"/>
          <w:b/>
          <w:kern w:val="0"/>
          <w:szCs w:val="24"/>
        </w:rPr>
        <w:t>智：</w:t>
      </w:r>
      <w:r>
        <w:rPr>
          <w:rFonts w:hint="eastAsia" w:ascii="仿宋_GB2312" w:eastAsia="仿宋_GB2312" w:hAnsiTheme="minorHAnsi"/>
          <w:kern w:val="0"/>
          <w:szCs w:val="24"/>
        </w:rPr>
        <w:t>人工智能+；</w:t>
      </w:r>
      <w:r>
        <w:rPr>
          <w:rFonts w:hint="eastAsia" w:ascii="仿宋_GB2312" w:eastAsia="仿宋_GB2312" w:hAnsiTheme="minorHAnsi"/>
          <w:b/>
          <w:kern w:val="0"/>
          <w:szCs w:val="24"/>
        </w:rPr>
        <w:t>用：</w:t>
      </w:r>
      <w:r>
        <w:rPr>
          <w:rFonts w:hint="eastAsia" w:ascii="仿宋_GB2312" w:eastAsia="仿宋_GB2312" w:hAnsiTheme="minorHAnsi"/>
          <w:kern w:val="0"/>
          <w:szCs w:val="24"/>
        </w:rPr>
        <w:t>V</w:t>
      </w:r>
      <w:r>
        <w:rPr>
          <w:rFonts w:ascii="仿宋_GB2312" w:eastAsia="仿宋_GB2312" w:hAnsiTheme="minorHAnsi"/>
          <w:kern w:val="0"/>
          <w:szCs w:val="24"/>
        </w:rPr>
        <w:t>R</w:t>
      </w:r>
      <w:r>
        <w:rPr>
          <w:rFonts w:hint="eastAsia" w:ascii="仿宋_GB2312" w:eastAsia="仿宋_GB2312" w:hAnsiTheme="minorHAnsi"/>
          <w:kern w:val="0"/>
          <w:szCs w:val="24"/>
        </w:rPr>
        <w:t>、智慧医疗、智慧教育等智慧城市应用。</w:t>
      </w:r>
    </w:p>
  </w:footnote>
  <w:footnote w:id="5">
    <w:p>
      <w:pPr>
        <w:pStyle w:val="24"/>
        <w:ind w:firstLine="0" w:firstLineChars="0"/>
        <w:rPr>
          <w:rFonts w:ascii="仿宋_GB2312" w:hAnsi="仿宋_GB2312" w:eastAsia="仿宋_GB2312"/>
        </w:rPr>
      </w:pPr>
      <w:r>
        <w:rPr>
          <w:rStyle w:val="38"/>
          <w:rFonts w:ascii="仿宋_GB2312" w:hAnsi="仿宋_GB2312" w:eastAsia="仿宋_GB2312"/>
        </w:rPr>
        <w:footnoteRef/>
      </w:r>
      <w:r>
        <w:rPr>
          <w:rFonts w:ascii="仿宋_GB2312" w:hAnsi="仿宋_GB2312" w:eastAsia="仿宋_GB2312"/>
        </w:rPr>
        <w:t xml:space="preserve"> </w:t>
      </w:r>
      <w:r>
        <w:rPr>
          <w:rFonts w:ascii="仿宋_GB2312" w:eastAsia="仿宋_GB2312"/>
          <w:b/>
          <w:kern w:val="0"/>
        </w:rPr>
        <w:t>ABCDE</w:t>
      </w:r>
      <w:r>
        <w:rPr>
          <w:rFonts w:hint="eastAsia" w:ascii="仿宋_GB2312" w:eastAsia="仿宋_GB2312"/>
          <w:kern w:val="0"/>
        </w:rPr>
        <w:t>：A指A</w:t>
      </w:r>
      <w:r>
        <w:rPr>
          <w:rFonts w:ascii="仿宋_GB2312" w:eastAsia="仿宋_GB2312"/>
          <w:kern w:val="0"/>
        </w:rPr>
        <w:t>I</w:t>
      </w:r>
      <w:r>
        <w:rPr>
          <w:rFonts w:hint="eastAsia" w:ascii="仿宋_GB2312" w:eastAsia="仿宋_GB2312"/>
          <w:kern w:val="0"/>
        </w:rPr>
        <w:t>人工智能；B指Block区块链；C指Cloud云计算；D指Data大数据；E指Edge边缘计算。</w:t>
      </w:r>
    </w:p>
  </w:footnote>
  <w:footnote w:id="6">
    <w:p>
      <w:pPr>
        <w:pStyle w:val="24"/>
        <w:ind w:firstLine="0" w:firstLineChars="0"/>
        <w:jc w:val="both"/>
        <w:rPr>
          <w:rFonts w:ascii="仿宋_GB2312" w:hAnsi="仿宋_GB2312" w:eastAsia="仿宋_GB2312"/>
        </w:rPr>
      </w:pPr>
      <w:r>
        <w:rPr>
          <w:rFonts w:ascii="仿宋_GB2312" w:hAnsi="仿宋_GB2312" w:eastAsia="仿宋_GB2312"/>
          <w:vertAlign w:val="superscript"/>
        </w:rPr>
        <w:footnoteRef/>
      </w:r>
      <w:r>
        <w:t xml:space="preserve"> </w:t>
      </w:r>
      <w:r>
        <w:rPr>
          <w:rFonts w:hint="eastAsia" w:ascii="仿宋_GB2312" w:hAnsi="仿宋_GB2312" w:eastAsia="仿宋_GB2312"/>
          <w:b/>
        </w:rPr>
        <w:t>PPP</w:t>
      </w:r>
      <w:r>
        <w:rPr>
          <w:rFonts w:hint="eastAsia" w:ascii="仿宋_GB2312" w:hAnsi="仿宋_GB2312" w:eastAsia="仿宋_GB2312"/>
        </w:rPr>
        <w:t>：即公私合作模式（Public-Private-Partnership），是公共基础设施一种项目融资模式。在该模式下，鼓励私营企业与政府进行合作，参与公共基础设施的建设。</w:t>
      </w:r>
    </w:p>
  </w:footnote>
  <w:footnote w:id="7">
    <w:p>
      <w:pPr>
        <w:pStyle w:val="24"/>
        <w:ind w:firstLine="0" w:firstLineChars="0"/>
        <w:jc w:val="both"/>
        <w:rPr>
          <w:rFonts w:ascii="仿宋_GB2312" w:hAnsi="仿宋_GB2312" w:eastAsia="仿宋_GB2312"/>
        </w:rPr>
      </w:pPr>
      <w:r>
        <w:rPr>
          <w:rFonts w:ascii="仿宋_GB2312" w:hAnsi="仿宋_GB2312" w:eastAsia="仿宋_GB2312"/>
          <w:vertAlign w:val="superscript"/>
        </w:rPr>
        <w:footnoteRef/>
      </w:r>
      <w:r>
        <w:rPr>
          <w:rFonts w:ascii="仿宋_GB2312" w:hAnsi="仿宋_GB2312" w:eastAsia="仿宋_GB2312"/>
          <w:vertAlign w:val="superscript"/>
        </w:rPr>
        <w:t xml:space="preserve"> </w:t>
      </w:r>
      <w:r>
        <w:rPr>
          <w:rFonts w:hint="eastAsia" w:ascii="仿宋_GB2312" w:hAnsi="仿宋_GB2312" w:eastAsia="仿宋_GB2312"/>
          <w:b/>
        </w:rPr>
        <w:t>基础设施REITs</w:t>
      </w:r>
      <w:r>
        <w:rPr>
          <w:rFonts w:hint="eastAsia" w:ascii="仿宋_GB2312" w:hAnsi="仿宋_GB2312" w:eastAsia="仿宋_GB2312"/>
        </w:rPr>
        <w:t>：即基础设施领域不动产投资信托基金。REITs（Real Estate Investment Trusts）是以发行权益投资证券的方式募集资金，并将资金专门投资于不动产领域，将投资综合收益按比例分配给投资者的一种产业投资模式。</w:t>
      </w:r>
    </w:p>
  </w:footnote>
  <w:footnote w:id="8">
    <w:p>
      <w:pPr>
        <w:pStyle w:val="24"/>
        <w:ind w:firstLine="0" w:firstLineChars="0"/>
        <w:rPr>
          <w:rFonts w:ascii="仿宋_GB2312" w:eastAsia="仿宋_GB2312"/>
          <w:color w:val="000000" w:themeColor="text1"/>
          <w:spacing w:val="-6"/>
          <w:kern w:val="0"/>
        </w:rPr>
      </w:pPr>
      <w:r>
        <w:rPr>
          <w:rFonts w:hint="eastAsia" w:ascii="仿宋_GB2312" w:eastAsia="仿宋_GB2312" w:hAnsiTheme="minorHAnsi"/>
          <w:color w:val="000000" w:themeColor="text1"/>
          <w:spacing w:val="-6"/>
          <w:kern w:val="0"/>
          <w:szCs w:val="24"/>
          <w:vertAlign w:val="superscript"/>
        </w:rPr>
        <w:footnoteRef/>
      </w:r>
      <w:r>
        <w:rPr>
          <w:rFonts w:hint="eastAsia" w:ascii="仿宋_GB2312" w:eastAsia="仿宋_GB2312" w:hAnsiTheme="minorHAnsi"/>
          <w:color w:val="000000" w:themeColor="text1"/>
          <w:spacing w:val="-6"/>
          <w:kern w:val="0"/>
          <w:szCs w:val="24"/>
          <w:vertAlign w:val="superscript"/>
        </w:rPr>
        <w:t xml:space="preserve"> </w:t>
      </w:r>
      <w:r>
        <w:rPr>
          <w:rFonts w:hint="eastAsia" w:ascii="仿宋_GB2312" w:eastAsia="仿宋_GB2312"/>
          <w:b/>
          <w:bCs/>
          <w:color w:val="000000" w:themeColor="text1"/>
          <w:spacing w:val="-6"/>
          <w:kern w:val="0"/>
        </w:rPr>
        <w:t>9</w:t>
      </w:r>
      <w:r>
        <w:rPr>
          <w:rFonts w:ascii="仿宋_GB2312" w:eastAsia="仿宋_GB2312"/>
          <w:b/>
          <w:bCs/>
          <w:color w:val="000000" w:themeColor="text1"/>
          <w:spacing w:val="-6"/>
          <w:kern w:val="0"/>
        </w:rPr>
        <w:t>610</w:t>
      </w:r>
      <w:r>
        <w:rPr>
          <w:rFonts w:hint="eastAsia" w:ascii="仿宋_GB2312" w:eastAsia="仿宋_GB2312"/>
          <w:b/>
          <w:bCs/>
          <w:color w:val="000000" w:themeColor="text1"/>
          <w:spacing w:val="-6"/>
          <w:kern w:val="0"/>
        </w:rPr>
        <w:t>、9710、9810：</w:t>
      </w:r>
      <w:r>
        <w:rPr>
          <w:rFonts w:hint="eastAsia" w:ascii="仿宋_GB2312" w:eastAsia="仿宋_GB2312"/>
          <w:color w:val="000000" w:themeColor="text1"/>
          <w:spacing w:val="-6"/>
          <w:kern w:val="0"/>
        </w:rPr>
        <w:t>均为海关监管代码，分别指跨境贸易电子商务、跨境电商B2B直接出口、跨境电商B2B出口海外仓。</w:t>
      </w:r>
    </w:p>
  </w:footnote>
  <w:footnote w:id="9">
    <w:p>
      <w:pPr>
        <w:pStyle w:val="24"/>
        <w:ind w:firstLine="0" w:firstLineChars="0"/>
        <w:rPr>
          <w:rFonts w:ascii="仿宋_GB2312" w:eastAsia="仿宋_GB2312" w:hAnsiTheme="minorHAnsi"/>
          <w:color w:val="000000" w:themeColor="text1"/>
          <w:spacing w:val="-6"/>
          <w:kern w:val="0"/>
          <w:szCs w:val="24"/>
        </w:rPr>
      </w:pPr>
      <w:r>
        <w:rPr>
          <w:rFonts w:hint="eastAsia" w:ascii="仿宋_GB2312" w:eastAsia="仿宋_GB2312" w:hAnsiTheme="minorHAnsi"/>
          <w:color w:val="000000" w:themeColor="text1"/>
          <w:spacing w:val="-6"/>
          <w:kern w:val="0"/>
          <w:szCs w:val="24"/>
          <w:vertAlign w:val="superscript"/>
        </w:rPr>
        <w:footnoteRef/>
      </w:r>
      <w:r>
        <w:rPr>
          <w:rFonts w:hint="eastAsia" w:ascii="仿宋_GB2312" w:eastAsia="仿宋_GB2312"/>
          <w:b/>
          <w:bCs/>
          <w:color w:val="000000" w:themeColor="text1"/>
          <w:spacing w:val="-6"/>
          <w:kern w:val="0"/>
        </w:rPr>
        <w:t>1</w:t>
      </w:r>
      <w:r>
        <w:rPr>
          <w:rFonts w:ascii="仿宋_GB2312" w:eastAsia="仿宋_GB2312"/>
          <w:b/>
          <w:bCs/>
          <w:color w:val="000000" w:themeColor="text1"/>
          <w:spacing w:val="-6"/>
          <w:kern w:val="0"/>
        </w:rPr>
        <w:t>210</w:t>
      </w:r>
      <w:r>
        <w:rPr>
          <w:rFonts w:hint="eastAsia" w:ascii="仿宋_GB2312" w:eastAsia="仿宋_GB2312"/>
          <w:b/>
          <w:bCs/>
          <w:color w:val="000000" w:themeColor="text1"/>
          <w:spacing w:val="-6"/>
          <w:kern w:val="0"/>
        </w:rPr>
        <w:t>：</w:t>
      </w:r>
      <w:r>
        <w:rPr>
          <w:rFonts w:hint="eastAsia" w:ascii="仿宋_GB2312" w:eastAsia="仿宋_GB2312"/>
          <w:color w:val="000000" w:themeColor="text1"/>
          <w:spacing w:val="-6"/>
          <w:kern w:val="0"/>
        </w:rPr>
        <w:t>海关监管代码，指</w:t>
      </w:r>
      <w:r>
        <w:rPr>
          <w:rFonts w:hint="eastAsia" w:ascii="仿宋_GB2312" w:eastAsia="仿宋_GB2312" w:hAnsiTheme="minorHAnsi"/>
          <w:color w:val="000000" w:themeColor="text1"/>
          <w:spacing w:val="-6"/>
          <w:kern w:val="0"/>
          <w:szCs w:val="24"/>
        </w:rPr>
        <w:t>保税跨境贸易电子商务。</w:t>
      </w:r>
    </w:p>
  </w:footnote>
  <w:footnote w:id="10">
    <w:p>
      <w:pPr>
        <w:pStyle w:val="24"/>
        <w:ind w:firstLine="0" w:firstLineChars="0"/>
        <w:jc w:val="both"/>
        <w:rPr>
          <w:rFonts w:ascii="仿宋_GB2312" w:hAnsi="仿宋_GB2312" w:eastAsia="仿宋_GB2312"/>
        </w:rPr>
      </w:pPr>
      <w:r>
        <w:rPr>
          <w:rStyle w:val="38"/>
          <w:rFonts w:ascii="仿宋_GB2312" w:hAnsi="仿宋_GB2312" w:eastAsia="仿宋_GB2312"/>
        </w:rPr>
        <w:footnoteRef/>
      </w:r>
      <w:r>
        <w:rPr>
          <w:rFonts w:ascii="仿宋_GB2312" w:hAnsi="仿宋_GB2312" w:eastAsia="仿宋_GB2312"/>
        </w:rPr>
        <w:t xml:space="preserve"> </w:t>
      </w:r>
      <w:r>
        <w:rPr>
          <w:rFonts w:hint="eastAsia" w:ascii="仿宋_GB2312" w:eastAsia="仿宋_GB2312" w:hAnsiTheme="minorHAnsi"/>
          <w:b/>
          <w:bCs/>
          <w:kern w:val="0"/>
          <w:szCs w:val="24"/>
        </w:rPr>
        <w:t>十大农业主导产业：</w:t>
      </w:r>
      <w:r>
        <w:rPr>
          <w:rFonts w:hint="eastAsia" w:ascii="仿宋_GB2312" w:eastAsia="仿宋_GB2312" w:hAnsiTheme="minorHAnsi"/>
          <w:kern w:val="0"/>
          <w:szCs w:val="24"/>
        </w:rPr>
        <w:t>优质稻米、蔬菜、水果、茶业、中药材、畜牧、水产、油茶、花卉苗木、森林药材。</w:t>
      </w:r>
    </w:p>
  </w:footnote>
  <w:footnote w:id="11">
    <w:p>
      <w:pPr>
        <w:pStyle w:val="24"/>
        <w:ind w:firstLine="0" w:firstLineChars="0"/>
        <w:rPr>
          <w:rFonts w:ascii="仿宋_GB2312" w:hAnsi="仿宋_GB2312" w:eastAsia="仿宋_GB2312"/>
        </w:rPr>
      </w:pPr>
      <w:r>
        <w:rPr>
          <w:rStyle w:val="38"/>
          <w:rFonts w:ascii="仿宋_GB2312" w:hAnsi="仿宋_GB2312" w:eastAsia="仿宋_GB2312"/>
        </w:rPr>
        <w:footnoteRef/>
      </w:r>
      <w:r>
        <w:rPr>
          <w:rFonts w:ascii="仿宋_GB2312" w:hAnsi="仿宋_GB2312" w:eastAsia="仿宋_GB2312"/>
        </w:rPr>
        <w:t xml:space="preserve"> </w:t>
      </w:r>
      <w:r>
        <w:rPr>
          <w:rFonts w:hint="eastAsia" w:ascii="仿宋_GB2312" w:eastAsia="仿宋_GB2312" w:hAnsiTheme="minorHAnsi"/>
          <w:b/>
          <w:kern w:val="0"/>
          <w:szCs w:val="24"/>
        </w:rPr>
        <w:t>七改三网：</w:t>
      </w:r>
      <w:r>
        <w:rPr>
          <w:rFonts w:hint="eastAsia" w:ascii="仿宋_GB2312" w:eastAsia="仿宋_GB2312" w:hAnsiTheme="minorHAnsi"/>
          <w:kern w:val="0"/>
          <w:szCs w:val="24"/>
        </w:rPr>
        <w:t>七改即改路、改水、改厕、改房、改沟、改塘、改环境；三网即电网、广电网络、互联网络。</w:t>
      </w:r>
    </w:p>
  </w:footnote>
  <w:footnote w:id="12">
    <w:p>
      <w:pPr>
        <w:snapToGrid w:val="0"/>
        <w:ind w:firstLine="0" w:firstLineChars="0"/>
        <w:rPr>
          <w:rFonts w:ascii="仿宋_GB2312" w:hAnsi="等线" w:eastAsia="仿宋_GB2312"/>
          <w:sz w:val="24"/>
        </w:rPr>
      </w:pPr>
      <w:r>
        <w:rPr>
          <w:rStyle w:val="38"/>
          <w:rFonts w:ascii="仿宋_GB2312" w:hAnsi="仿宋_GB2312" w:eastAsia="仿宋_GB2312"/>
          <w:sz w:val="24"/>
        </w:rPr>
        <w:footnoteRef/>
      </w:r>
      <w:r>
        <w:rPr>
          <w:rFonts w:ascii="仿宋_GB2312" w:hAnsi="仿宋_GB2312" w:eastAsia="仿宋_GB2312"/>
          <w:sz w:val="24"/>
        </w:rPr>
        <w:t xml:space="preserve"> </w:t>
      </w:r>
      <w:r>
        <w:rPr>
          <w:rFonts w:hint="eastAsia" w:ascii="仿宋_GB2312" w:hAnsi="等线" w:eastAsia="仿宋_GB2312"/>
          <w:b/>
          <w:bCs/>
          <w:sz w:val="24"/>
        </w:rPr>
        <w:t>一环十一射</w:t>
      </w:r>
      <w:r>
        <w:rPr>
          <w:rFonts w:hint="eastAsia" w:ascii="仿宋_GB2312" w:hAnsi="等线" w:eastAsia="仿宋_GB2312"/>
          <w:sz w:val="24"/>
        </w:rPr>
        <w:t>：一环即由西二环高速、北外环高速、沪昆高速、东外环绕城高速（福银高速）组成的环线；十一射即昌九高速、昌铜高速、昌栗高速、昌樟高速、昌宁高速、福银高速、沪昆高速、德昌高速、南昌至南丰高速、南昌至阳新高速（南昌至武汉第二高速）、南昌至都昌高速。</w:t>
      </w:r>
    </w:p>
  </w:footnote>
  <w:footnote w:id="13">
    <w:p>
      <w:pPr>
        <w:snapToGrid w:val="0"/>
        <w:ind w:firstLine="0" w:firstLineChars="0"/>
        <w:rPr>
          <w:rFonts w:ascii="仿宋_GB2312" w:hAnsi="等线" w:eastAsia="仿宋_GB2312"/>
          <w:sz w:val="24"/>
        </w:rPr>
      </w:pPr>
      <w:r>
        <w:rPr>
          <w:rStyle w:val="38"/>
          <w:rFonts w:ascii="仿宋_GB2312" w:hAnsi="仿宋_GB2312" w:eastAsia="仿宋_GB2312"/>
          <w:sz w:val="24"/>
        </w:rPr>
        <w:footnoteRef/>
      </w:r>
      <w:r>
        <w:rPr>
          <w:rFonts w:ascii="仿宋_GB2312" w:hAnsi="仿宋_GB2312" w:eastAsia="仿宋_GB2312"/>
          <w:sz w:val="24"/>
        </w:rPr>
        <w:t xml:space="preserve"> </w:t>
      </w:r>
      <w:r>
        <w:rPr>
          <w:rFonts w:hint="eastAsia" w:ascii="仿宋_GB2312" w:hAnsi="等线" w:eastAsia="仿宋_GB2312"/>
          <w:b/>
          <w:bCs/>
          <w:sz w:val="24"/>
        </w:rPr>
        <w:t>一环十三射</w:t>
      </w:r>
      <w:r>
        <w:rPr>
          <w:rFonts w:hint="eastAsia" w:ascii="仿宋_GB2312" w:hAnsi="等线" w:eastAsia="仿宋_GB2312"/>
          <w:sz w:val="24"/>
        </w:rPr>
        <w:t>：一环即G316、G105、G320、S</w:t>
      </w:r>
      <w:r>
        <w:rPr>
          <w:rFonts w:ascii="仿宋_GB2312" w:hAnsi="等线" w:eastAsia="仿宋_GB2312"/>
          <w:sz w:val="24"/>
        </w:rPr>
        <w:t>212</w:t>
      </w:r>
      <w:r>
        <w:rPr>
          <w:rFonts w:hint="eastAsia" w:ascii="仿宋_GB2312" w:hAnsi="等线" w:eastAsia="仿宋_GB2312"/>
          <w:sz w:val="24"/>
        </w:rPr>
        <w:t>组成的环线；十三射即昌九大道、赣新大道、G316（九江方向）、G</w:t>
      </w:r>
      <w:r>
        <w:rPr>
          <w:rFonts w:ascii="仿宋_GB2312" w:hAnsi="等线" w:eastAsia="仿宋_GB2312"/>
          <w:sz w:val="24"/>
        </w:rPr>
        <w:t>353</w:t>
      </w:r>
      <w:r>
        <w:rPr>
          <w:rFonts w:hint="eastAsia" w:ascii="仿宋_GB2312" w:hAnsi="等线" w:eastAsia="仿宋_GB2312"/>
          <w:sz w:val="24"/>
        </w:rPr>
        <w:t>（安义方向）、G320（高安方向）、昌高大道、丰厚公路、G105（丰城方向）、昌抚大道、G316（抚州方向）、G320（抚州方向）、S</w:t>
      </w:r>
      <w:r>
        <w:rPr>
          <w:rFonts w:ascii="仿宋_GB2312" w:hAnsi="等线" w:eastAsia="仿宋_GB2312"/>
          <w:sz w:val="24"/>
        </w:rPr>
        <w:t>014</w:t>
      </w:r>
      <w:r>
        <w:rPr>
          <w:rFonts w:hint="eastAsia" w:ascii="仿宋_GB2312" w:hAnsi="等线" w:eastAsia="仿宋_GB2312"/>
          <w:sz w:val="24"/>
        </w:rPr>
        <w:t>、昌万公路。</w:t>
      </w:r>
    </w:p>
  </w:footnote>
  <w:footnote w:id="14">
    <w:p>
      <w:pPr>
        <w:snapToGrid w:val="0"/>
        <w:spacing w:line="300" w:lineRule="exact"/>
        <w:ind w:firstLine="0" w:firstLineChars="0"/>
        <w:rPr>
          <w:rFonts w:ascii="仿宋_GB2312" w:hAnsi="等线" w:eastAsia="仿宋_GB2312"/>
          <w:sz w:val="24"/>
        </w:rPr>
      </w:pPr>
      <w:r>
        <w:rPr>
          <w:rStyle w:val="38"/>
          <w:rFonts w:ascii="仿宋_GB2312" w:hAnsi="仿宋_GB2312" w:eastAsia="仿宋_GB2312"/>
          <w:sz w:val="24"/>
        </w:rPr>
        <w:footnoteRef/>
      </w:r>
      <w:r>
        <w:rPr>
          <w:rFonts w:ascii="仿宋_GB2312" w:hAnsi="仿宋_GB2312" w:eastAsia="仿宋_GB2312"/>
        </w:rPr>
        <w:t xml:space="preserve"> </w:t>
      </w:r>
      <w:r>
        <w:rPr>
          <w:rFonts w:ascii="仿宋_GB2312" w:hAnsi="等线" w:eastAsia="仿宋_GB2312"/>
          <w:b/>
          <w:bCs/>
          <w:sz w:val="24"/>
        </w:rPr>
        <w:t>5</w:t>
      </w:r>
      <w:r>
        <w:rPr>
          <w:rFonts w:hint="eastAsia" w:ascii="仿宋_GB2312" w:hAnsi="等线" w:eastAsia="仿宋_GB2312"/>
          <w:b/>
          <w:bCs/>
          <w:sz w:val="24"/>
        </w:rPr>
        <w:t>横7纵</w:t>
      </w:r>
      <w:r>
        <w:rPr>
          <w:rFonts w:hint="eastAsia" w:ascii="仿宋_GB2312" w:hAnsi="等线" w:eastAsia="仿宋_GB2312"/>
          <w:sz w:val="24"/>
        </w:rPr>
        <w:t>：</w:t>
      </w:r>
      <w:r>
        <w:rPr>
          <w:rFonts w:ascii="仿宋_GB2312" w:hAnsi="等线" w:eastAsia="仿宋_GB2312"/>
          <w:sz w:val="24"/>
        </w:rPr>
        <w:t>5</w:t>
      </w:r>
      <w:r>
        <w:rPr>
          <w:rFonts w:hint="eastAsia" w:ascii="仿宋_GB2312" w:hAnsi="等线" w:eastAsia="仿宋_GB2312"/>
          <w:sz w:val="24"/>
        </w:rPr>
        <w:t>横即北外环（福银高速）、机场南侧规划道路、七里岗大街、儒乐湖大街及云翔大道；7纵即赣新大道、机场西侧规划道路、莘洲大道、创业大道、昌九快速、金山大道、金水大道。</w:t>
      </w:r>
    </w:p>
  </w:footnote>
  <w:footnote w:id="15">
    <w:p>
      <w:pPr>
        <w:snapToGrid w:val="0"/>
        <w:spacing w:line="300" w:lineRule="exact"/>
        <w:ind w:firstLine="0" w:firstLineChars="0"/>
        <w:rPr>
          <w:rFonts w:ascii="仿宋_GB2312" w:hAnsi="等线" w:eastAsia="仿宋_GB2312"/>
          <w:sz w:val="24"/>
        </w:rPr>
      </w:pPr>
      <w:r>
        <w:rPr>
          <w:rStyle w:val="38"/>
          <w:rFonts w:ascii="仿宋_GB2312" w:hAnsi="仿宋_GB2312" w:eastAsia="仿宋_GB2312"/>
          <w:sz w:val="24"/>
        </w:rPr>
        <w:footnoteRef/>
      </w:r>
      <w:r>
        <w:rPr>
          <w:rFonts w:ascii="仿宋_GB2312" w:hAnsi="仿宋_GB2312" w:eastAsia="仿宋_GB2312"/>
        </w:rPr>
        <w:t xml:space="preserve"> </w:t>
      </w:r>
      <w:r>
        <w:rPr>
          <w:rFonts w:hint="eastAsia" w:ascii="仿宋_GB2312" w:hAnsi="等线" w:eastAsia="仿宋_GB2312"/>
          <w:b/>
          <w:bCs/>
          <w:sz w:val="24"/>
        </w:rPr>
        <w:t>一港十区两核心</w:t>
      </w:r>
      <w:r>
        <w:rPr>
          <w:rFonts w:hint="eastAsia" w:ascii="仿宋_GB2312" w:hAnsi="等线" w:eastAsia="仿宋_GB2312"/>
          <w:sz w:val="24"/>
        </w:rPr>
        <w:t>：一港即南昌港；十区即市汊港区、姚湾港区、厚田港区、城区港区（以外环高速为界）、南新港区、龙头岗港区、樵舍港区、北郊港区、昌东港区和进贤港区；两核心即市汊港区、龙头岗港区。</w:t>
      </w:r>
    </w:p>
  </w:footnote>
  <w:footnote w:id="16">
    <w:p>
      <w:pPr>
        <w:pStyle w:val="24"/>
        <w:ind w:firstLine="0" w:firstLineChars="0"/>
        <w:rPr>
          <w:rFonts w:ascii="仿宋_GB2312" w:hAnsi="仿宋_GB2312" w:eastAsia="仿宋_GB2312"/>
        </w:rPr>
      </w:pPr>
      <w:r>
        <w:rPr>
          <w:rStyle w:val="38"/>
          <w:rFonts w:ascii="仿宋_GB2312" w:hAnsi="仿宋_GB2312" w:eastAsia="仿宋_GB2312"/>
        </w:rPr>
        <w:footnoteRef/>
      </w:r>
      <w:r>
        <w:rPr>
          <w:rFonts w:ascii="仿宋_GB2312" w:hAnsi="仿宋_GB2312" w:eastAsia="仿宋_GB2312"/>
        </w:rPr>
        <w:t xml:space="preserve"> </w:t>
      </w:r>
      <w:r>
        <w:rPr>
          <w:rFonts w:hint="eastAsia" w:eastAsia="仿宋_GB2312" w:asciiTheme="minorHAnsi" w:hAnsiTheme="minorHAnsi"/>
          <w:b/>
          <w:szCs w:val="24"/>
        </w:rPr>
        <w:t>四化：</w:t>
      </w:r>
      <w:r>
        <w:rPr>
          <w:rFonts w:hint="eastAsia" w:eastAsia="仿宋_GB2312" w:asciiTheme="minorHAnsi" w:hAnsiTheme="minorHAnsi"/>
          <w:szCs w:val="24"/>
        </w:rPr>
        <w:t>绿化、美化、彩化、珍贵化。</w:t>
      </w:r>
    </w:p>
  </w:footnote>
  <w:footnote w:id="17">
    <w:p>
      <w:pPr>
        <w:pStyle w:val="24"/>
        <w:ind w:firstLine="0" w:firstLineChars="0"/>
        <w:rPr>
          <w:rFonts w:eastAsia="宋体"/>
        </w:rPr>
      </w:pPr>
      <w:r>
        <w:rPr>
          <w:rStyle w:val="38"/>
          <w:rFonts w:ascii="仿宋_GB2312" w:hAnsi="仿宋_GB2312" w:eastAsia="仿宋_GB2312"/>
        </w:rPr>
        <w:footnoteRef/>
      </w:r>
      <w:r>
        <w:rPr>
          <w:rFonts w:ascii="仿宋_GB2312" w:hAnsi="仿宋_GB2312" w:eastAsia="仿宋_GB2312"/>
        </w:rPr>
        <w:t xml:space="preserve"> </w:t>
      </w:r>
      <w:r>
        <w:rPr>
          <w:rFonts w:hint="eastAsia" w:eastAsia="仿宋_GB2312" w:asciiTheme="minorHAnsi" w:hAnsiTheme="minorHAnsi"/>
          <w:b/>
          <w:bCs/>
          <w:color w:val="000000" w:themeColor="text1"/>
          <w:szCs w:val="24"/>
        </w:rPr>
        <w:t>三线一单：</w:t>
      </w:r>
      <w:r>
        <w:rPr>
          <w:rFonts w:hint="eastAsia" w:eastAsia="仿宋_GB2312" w:asciiTheme="minorHAnsi" w:hAnsiTheme="minorHAnsi"/>
          <w:color w:val="000000" w:themeColor="text1"/>
          <w:szCs w:val="24"/>
        </w:rPr>
        <w:t>生态保护红线、环境质量底线、资源利用上线和生态环境准入清单。</w:t>
      </w:r>
    </w:p>
  </w:footnote>
  <w:footnote w:id="18">
    <w:p>
      <w:pPr>
        <w:pStyle w:val="24"/>
        <w:ind w:firstLine="0" w:firstLineChars="0"/>
        <w:jc w:val="both"/>
        <w:rPr>
          <w:rFonts w:ascii="仿宋_GB2312" w:hAnsi="仿宋_GB2312" w:eastAsia="仿宋_GB2312"/>
        </w:rPr>
      </w:pPr>
      <w:r>
        <w:rPr>
          <w:rStyle w:val="38"/>
          <w:rFonts w:ascii="仿宋_GB2312" w:hAnsi="仿宋_GB2312" w:eastAsia="仿宋_GB2312"/>
        </w:rPr>
        <w:footnoteRef/>
      </w:r>
      <w:r>
        <w:rPr>
          <w:rFonts w:ascii="仿宋_GB2312" w:hAnsi="仿宋_GB2312" w:eastAsia="仿宋_GB2312"/>
        </w:rPr>
        <w:t xml:space="preserve"> </w:t>
      </w:r>
      <w:r>
        <w:rPr>
          <w:rFonts w:hint="eastAsia" w:ascii="仿宋_GB2312" w:hAnsi="仿宋_GB2312" w:eastAsia="仿宋_GB2312"/>
          <w:b/>
        </w:rPr>
        <w:t>三大类</w:t>
      </w:r>
      <w:r>
        <w:rPr>
          <w:rFonts w:hint="eastAsia" w:ascii="仿宋_GB2312" w:hAnsi="仿宋_GB2312" w:eastAsia="仿宋_GB2312"/>
        </w:rPr>
        <w:t>：</w:t>
      </w:r>
      <w:r>
        <w:rPr>
          <w:rFonts w:hint="eastAsia" w:ascii="仿宋_GB2312" w:eastAsia="仿宋_GB2312"/>
          <w:kern w:val="0"/>
        </w:rPr>
        <w:t>老龄设施、福利设施、社会救助设施；</w:t>
      </w:r>
      <w:r>
        <w:rPr>
          <w:rFonts w:hint="eastAsia" w:ascii="仿宋_GB2312" w:eastAsia="仿宋_GB2312"/>
          <w:b/>
          <w:kern w:val="0"/>
        </w:rPr>
        <w:t>六小类</w:t>
      </w:r>
      <w:r>
        <w:rPr>
          <w:rFonts w:hint="eastAsia" w:ascii="仿宋_GB2312" w:eastAsia="仿宋_GB2312"/>
          <w:kern w:val="0"/>
        </w:rPr>
        <w:t>：居家养老设施、社区养老设施、机构养老设施、儿童福利设施、残疾人设施和社会救助设施。</w:t>
      </w:r>
    </w:p>
  </w:footnote>
  <w:footnote w:id="19">
    <w:p>
      <w:pPr>
        <w:pStyle w:val="24"/>
        <w:ind w:firstLine="0" w:firstLineChars="0"/>
        <w:rPr>
          <w:rFonts w:ascii="仿宋_GB2312" w:hAnsi="仿宋_GB2312" w:eastAsia="仿宋_GB2312"/>
        </w:rPr>
      </w:pPr>
      <w:r>
        <w:rPr>
          <w:rStyle w:val="38"/>
        </w:rPr>
        <w:footnoteRef/>
      </w:r>
      <w:r>
        <w:t xml:space="preserve"> </w:t>
      </w:r>
      <w:r>
        <w:rPr>
          <w:rFonts w:hint="eastAsia" w:ascii="仿宋_GB2312" w:hAnsi="仿宋_GB2312" w:eastAsia="仿宋_GB2312"/>
          <w:b/>
        </w:rPr>
        <w:t>福康工程</w:t>
      </w:r>
      <w:r>
        <w:rPr>
          <w:rFonts w:hint="eastAsia" w:ascii="仿宋_GB2312" w:hAnsi="仿宋_GB2312" w:eastAsia="仿宋_GB2312"/>
        </w:rPr>
        <w:t>：即由民政部指导，为符合条件的残疾人进行手术矫治、康复训练、配置假肢矫形器和康复辅助器具，更好助力残疾人精准脱贫的项目。</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807BD"/>
    <w:multiLevelType w:val="singleLevel"/>
    <w:tmpl w:val="8B6807BD"/>
    <w:lvl w:ilvl="0" w:tentative="0">
      <w:start w:val="2"/>
      <w:numFmt w:val="chineseCounting"/>
      <w:suff w:val="nothing"/>
      <w:lvlText w:val="（%1）"/>
      <w:lvlJc w:val="left"/>
      <w:rPr>
        <w:rFonts w:hint="eastAsia"/>
      </w:rPr>
    </w:lvl>
  </w:abstractNum>
  <w:abstractNum w:abstractNumId="1">
    <w:nsid w:val="8FF67A99"/>
    <w:multiLevelType w:val="singleLevel"/>
    <w:tmpl w:val="8FF67A99"/>
    <w:lvl w:ilvl="0" w:tentative="0">
      <w:start w:val="3"/>
      <w:numFmt w:val="chineseCounting"/>
      <w:suff w:val="space"/>
      <w:lvlText w:val="第%1节"/>
      <w:lvlJc w:val="left"/>
      <w:rPr>
        <w:rFonts w:hint="eastAsia"/>
      </w:rPr>
    </w:lvl>
  </w:abstractNum>
  <w:abstractNum w:abstractNumId="2">
    <w:nsid w:val="9C8DFB74"/>
    <w:multiLevelType w:val="singleLevel"/>
    <w:tmpl w:val="9C8DFB74"/>
    <w:lvl w:ilvl="0" w:tentative="0">
      <w:start w:val="1"/>
      <w:numFmt w:val="chineseCounting"/>
      <w:pStyle w:val="39"/>
      <w:suff w:val="nothing"/>
      <w:lvlText w:val="第%1章  "/>
      <w:lvlJc w:val="left"/>
      <w:pPr>
        <w:tabs>
          <w:tab w:val="left" w:pos="3715"/>
        </w:tabs>
      </w:pPr>
      <w:rPr>
        <w:rFonts w:hint="eastAsia" w:ascii="宋体" w:hAnsi="宋体" w:eastAsia="黑体" w:cs="宋体"/>
      </w:rPr>
    </w:lvl>
  </w:abstractNum>
  <w:abstractNum w:abstractNumId="3">
    <w:nsid w:val="B107228A"/>
    <w:multiLevelType w:val="singleLevel"/>
    <w:tmpl w:val="B107228A"/>
    <w:lvl w:ilvl="0" w:tentative="0">
      <w:start w:val="1"/>
      <w:numFmt w:val="chineseCounting"/>
      <w:pStyle w:val="52"/>
      <w:suff w:val="nothing"/>
      <w:lvlText w:val="第%1节  "/>
      <w:lvlJc w:val="left"/>
      <w:pPr>
        <w:tabs>
          <w:tab w:val="left" w:pos="283"/>
        </w:tabs>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rPr>
    </w:lvl>
  </w:abstractNum>
  <w:abstractNum w:abstractNumId="4">
    <w:nsid w:val="B561FC81"/>
    <w:multiLevelType w:val="singleLevel"/>
    <w:tmpl w:val="B561FC81"/>
    <w:lvl w:ilvl="0" w:tentative="0">
      <w:start w:val="1"/>
      <w:numFmt w:val="chineseCounting"/>
      <w:pStyle w:val="4"/>
      <w:suff w:val="nothing"/>
      <w:lvlText w:val="第%1篇  "/>
      <w:lvlJc w:val="left"/>
      <w:pPr>
        <w:tabs>
          <w:tab w:val="left" w:pos="0"/>
        </w:tabs>
      </w:pPr>
      <w:rPr>
        <w:rFonts w:hint="eastAsia" w:ascii="宋体" w:hAnsi="宋体" w:eastAsia="黑体" w:cs="宋体"/>
      </w:rPr>
    </w:lvl>
  </w:abstractNum>
  <w:abstractNum w:abstractNumId="5">
    <w:nsid w:val="BC1E192B"/>
    <w:multiLevelType w:val="singleLevel"/>
    <w:tmpl w:val="BC1E192B"/>
    <w:lvl w:ilvl="0" w:tentative="0">
      <w:start w:val="10"/>
      <w:numFmt w:val="chineseCounting"/>
      <w:suff w:val="space"/>
      <w:lvlText w:val="第%1篇"/>
      <w:lvlJc w:val="left"/>
      <w:rPr>
        <w:rFonts w:hint="eastAsia"/>
      </w:rPr>
    </w:lvl>
  </w:abstractNum>
  <w:abstractNum w:abstractNumId="6">
    <w:nsid w:val="DD7C5AFD"/>
    <w:multiLevelType w:val="singleLevel"/>
    <w:tmpl w:val="DD7C5AFD"/>
    <w:lvl w:ilvl="0" w:tentative="0">
      <w:start w:val="1"/>
      <w:numFmt w:val="decimal"/>
      <w:lvlText w:val="%1."/>
      <w:lvlJc w:val="left"/>
      <w:pPr>
        <w:tabs>
          <w:tab w:val="left" w:pos="312"/>
        </w:tabs>
      </w:pPr>
    </w:lvl>
  </w:abstractNum>
  <w:abstractNum w:abstractNumId="7">
    <w:nsid w:val="01471CCE"/>
    <w:multiLevelType w:val="multilevel"/>
    <w:tmpl w:val="01471CCE"/>
    <w:lvl w:ilvl="0" w:tentative="0">
      <w:start w:val="1"/>
      <w:numFmt w:val="japaneseCounting"/>
      <w:lvlText w:val="（%1）"/>
      <w:lvlJc w:val="left"/>
      <w:pPr>
        <w:ind w:left="1170" w:hanging="75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161E1FCA"/>
    <w:multiLevelType w:val="multilevel"/>
    <w:tmpl w:val="161E1FCA"/>
    <w:lvl w:ilvl="0" w:tentative="0">
      <w:start w:val="1"/>
      <w:numFmt w:val="japaneseCounting"/>
      <w:lvlText w:val="（%1）"/>
      <w:lvlJc w:val="left"/>
      <w:pPr>
        <w:ind w:left="1232" w:hanging="75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9">
    <w:nsid w:val="17C22ECF"/>
    <w:multiLevelType w:val="multilevel"/>
    <w:tmpl w:val="17C22ECF"/>
    <w:lvl w:ilvl="0" w:tentative="0">
      <w:start w:val="1"/>
      <w:numFmt w:val="japaneseCounting"/>
      <w:lvlText w:val="（%1）"/>
      <w:lvlJc w:val="left"/>
      <w:pPr>
        <w:ind w:left="1169" w:hanging="750"/>
      </w:pPr>
      <w:rPr>
        <w:rFonts w:hint="default"/>
      </w:rPr>
    </w:lvl>
    <w:lvl w:ilvl="1" w:tentative="0">
      <w:start w:val="1"/>
      <w:numFmt w:val="lowerLetter"/>
      <w:lvlText w:val="%2)"/>
      <w:lvlJc w:val="left"/>
      <w:pPr>
        <w:ind w:left="1259" w:hanging="420"/>
      </w:pPr>
    </w:lvl>
    <w:lvl w:ilvl="2" w:tentative="0">
      <w:start w:val="1"/>
      <w:numFmt w:val="lowerRoman"/>
      <w:lvlText w:val="%3."/>
      <w:lvlJc w:val="right"/>
      <w:pPr>
        <w:ind w:left="1679" w:hanging="420"/>
      </w:pPr>
    </w:lvl>
    <w:lvl w:ilvl="3" w:tentative="0">
      <w:start w:val="1"/>
      <w:numFmt w:val="decimal"/>
      <w:lvlText w:val="%4."/>
      <w:lvlJc w:val="left"/>
      <w:pPr>
        <w:ind w:left="2099" w:hanging="420"/>
      </w:pPr>
    </w:lvl>
    <w:lvl w:ilvl="4" w:tentative="0">
      <w:start w:val="1"/>
      <w:numFmt w:val="lowerLetter"/>
      <w:lvlText w:val="%5)"/>
      <w:lvlJc w:val="left"/>
      <w:pPr>
        <w:ind w:left="2519" w:hanging="420"/>
      </w:pPr>
    </w:lvl>
    <w:lvl w:ilvl="5" w:tentative="0">
      <w:start w:val="1"/>
      <w:numFmt w:val="lowerRoman"/>
      <w:lvlText w:val="%6."/>
      <w:lvlJc w:val="right"/>
      <w:pPr>
        <w:ind w:left="2939" w:hanging="420"/>
      </w:pPr>
    </w:lvl>
    <w:lvl w:ilvl="6" w:tentative="0">
      <w:start w:val="1"/>
      <w:numFmt w:val="decimal"/>
      <w:lvlText w:val="%7."/>
      <w:lvlJc w:val="left"/>
      <w:pPr>
        <w:ind w:left="3359" w:hanging="420"/>
      </w:pPr>
    </w:lvl>
    <w:lvl w:ilvl="7" w:tentative="0">
      <w:start w:val="1"/>
      <w:numFmt w:val="lowerLetter"/>
      <w:lvlText w:val="%8)"/>
      <w:lvlJc w:val="left"/>
      <w:pPr>
        <w:ind w:left="3779" w:hanging="420"/>
      </w:pPr>
    </w:lvl>
    <w:lvl w:ilvl="8" w:tentative="0">
      <w:start w:val="1"/>
      <w:numFmt w:val="lowerRoman"/>
      <w:lvlText w:val="%9."/>
      <w:lvlJc w:val="right"/>
      <w:pPr>
        <w:ind w:left="4199" w:hanging="420"/>
      </w:pPr>
    </w:lvl>
  </w:abstractNum>
  <w:abstractNum w:abstractNumId="10">
    <w:nsid w:val="4D7376FE"/>
    <w:multiLevelType w:val="multilevel"/>
    <w:tmpl w:val="4D7376FE"/>
    <w:lvl w:ilvl="0" w:tentative="0">
      <w:start w:val="1"/>
      <w:numFmt w:val="japaneseCounting"/>
      <w:lvlText w:val="（%1）"/>
      <w:lvlJc w:val="left"/>
      <w:pPr>
        <w:ind w:left="1232" w:hanging="750"/>
      </w:pPr>
      <w:rPr>
        <w:rFonts w:hint="default" w:hAnsiTheme="minorHAnsi" w:cstheme="minorBidi"/>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1">
    <w:nsid w:val="535522DA"/>
    <w:multiLevelType w:val="multilevel"/>
    <w:tmpl w:val="535522DA"/>
    <w:lvl w:ilvl="0" w:tentative="0">
      <w:start w:val="1"/>
      <w:numFmt w:val="japaneseCounting"/>
      <w:lvlText w:val="（%1）"/>
      <w:lvlJc w:val="left"/>
      <w:pPr>
        <w:ind w:left="1232" w:hanging="750"/>
      </w:pPr>
      <w:rPr>
        <w:rFonts w:hint="default"/>
        <w:b/>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2">
    <w:nsid w:val="61F551F4"/>
    <w:multiLevelType w:val="multilevel"/>
    <w:tmpl w:val="61F551F4"/>
    <w:lvl w:ilvl="0" w:tentative="0">
      <w:start w:val="1"/>
      <w:numFmt w:val="japaneseCounting"/>
      <w:lvlText w:val="（%1）"/>
      <w:lvlJc w:val="left"/>
      <w:pPr>
        <w:ind w:left="1232" w:hanging="75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3">
    <w:nsid w:val="703A2078"/>
    <w:multiLevelType w:val="multilevel"/>
    <w:tmpl w:val="703A2078"/>
    <w:lvl w:ilvl="0" w:tentative="0">
      <w:start w:val="1"/>
      <w:numFmt w:val="japaneseCounting"/>
      <w:lvlText w:val="（%1）"/>
      <w:lvlJc w:val="left"/>
      <w:pPr>
        <w:ind w:left="1169" w:hanging="750"/>
      </w:pPr>
      <w:rPr>
        <w:rFonts w:hint="default"/>
      </w:rPr>
    </w:lvl>
    <w:lvl w:ilvl="1" w:tentative="0">
      <w:start w:val="1"/>
      <w:numFmt w:val="lowerLetter"/>
      <w:lvlText w:val="%2)"/>
      <w:lvlJc w:val="left"/>
      <w:pPr>
        <w:ind w:left="1259" w:hanging="420"/>
      </w:pPr>
    </w:lvl>
    <w:lvl w:ilvl="2" w:tentative="0">
      <w:start w:val="1"/>
      <w:numFmt w:val="lowerRoman"/>
      <w:lvlText w:val="%3."/>
      <w:lvlJc w:val="right"/>
      <w:pPr>
        <w:ind w:left="1679" w:hanging="420"/>
      </w:pPr>
    </w:lvl>
    <w:lvl w:ilvl="3" w:tentative="0">
      <w:start w:val="1"/>
      <w:numFmt w:val="decimal"/>
      <w:lvlText w:val="%4."/>
      <w:lvlJc w:val="left"/>
      <w:pPr>
        <w:ind w:left="2099" w:hanging="420"/>
      </w:pPr>
    </w:lvl>
    <w:lvl w:ilvl="4" w:tentative="0">
      <w:start w:val="1"/>
      <w:numFmt w:val="lowerLetter"/>
      <w:lvlText w:val="%5)"/>
      <w:lvlJc w:val="left"/>
      <w:pPr>
        <w:ind w:left="2519" w:hanging="420"/>
      </w:pPr>
    </w:lvl>
    <w:lvl w:ilvl="5" w:tentative="0">
      <w:start w:val="1"/>
      <w:numFmt w:val="lowerRoman"/>
      <w:lvlText w:val="%6."/>
      <w:lvlJc w:val="right"/>
      <w:pPr>
        <w:ind w:left="2939" w:hanging="420"/>
      </w:pPr>
    </w:lvl>
    <w:lvl w:ilvl="6" w:tentative="0">
      <w:start w:val="1"/>
      <w:numFmt w:val="decimal"/>
      <w:lvlText w:val="%7."/>
      <w:lvlJc w:val="left"/>
      <w:pPr>
        <w:ind w:left="3359" w:hanging="420"/>
      </w:pPr>
    </w:lvl>
    <w:lvl w:ilvl="7" w:tentative="0">
      <w:start w:val="1"/>
      <w:numFmt w:val="lowerLetter"/>
      <w:lvlText w:val="%8)"/>
      <w:lvlJc w:val="left"/>
      <w:pPr>
        <w:ind w:left="3779" w:hanging="420"/>
      </w:pPr>
    </w:lvl>
    <w:lvl w:ilvl="8" w:tentative="0">
      <w:start w:val="1"/>
      <w:numFmt w:val="lowerRoman"/>
      <w:lvlText w:val="%9."/>
      <w:lvlJc w:val="right"/>
      <w:pPr>
        <w:ind w:left="4199" w:hanging="420"/>
      </w:pPr>
    </w:lvl>
  </w:abstractNum>
  <w:abstractNum w:abstractNumId="14">
    <w:nsid w:val="723365FF"/>
    <w:multiLevelType w:val="multilevel"/>
    <w:tmpl w:val="723365FF"/>
    <w:lvl w:ilvl="0" w:tentative="0">
      <w:start w:val="1"/>
      <w:numFmt w:val="japaneseCounting"/>
      <w:lvlText w:val="（%1）"/>
      <w:lvlJc w:val="left"/>
      <w:pPr>
        <w:ind w:left="1232" w:hanging="75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4"/>
  </w:num>
  <w:num w:numId="2">
    <w:abstractNumId w:val="2"/>
  </w:num>
  <w:num w:numId="3">
    <w:abstractNumId w:val="3"/>
  </w:num>
  <w:num w:numId="4">
    <w:abstractNumId w:val="1"/>
  </w:num>
  <w:num w:numId="5">
    <w:abstractNumId w:val="11"/>
  </w:num>
  <w:num w:numId="6">
    <w:abstractNumId w:val="13"/>
  </w:num>
  <w:num w:numId="7">
    <w:abstractNumId w:val="9"/>
  </w:num>
  <w:num w:numId="8">
    <w:abstractNumId w:val="7"/>
  </w:num>
  <w:num w:numId="9">
    <w:abstractNumId w:val="12"/>
  </w:num>
  <w:num w:numId="10">
    <w:abstractNumId w:val="10"/>
  </w:num>
  <w:num w:numId="11">
    <w:abstractNumId w:val="14"/>
  </w:num>
  <w:num w:numId="12">
    <w:abstractNumId w:val="5"/>
  </w:num>
  <w:num w:numId="13">
    <w:abstractNumId w:val="8"/>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evenAndOddHeaders w:val="1"/>
  <w:drawingGridHorizontalSpacing w:val="160"/>
  <w:drawingGridVerticalSpacing w:val="435"/>
  <w:displayHorizontalDrawingGridEvery w:val="2"/>
  <w:noPunctuationKerning w:val="1"/>
  <w:characterSpacingControl w:val="compressPunctuation"/>
  <w:hdrShapeDefaults>
    <o:shapelayout v:ext="edit">
      <o:idmap v:ext="edit" data="2"/>
    </o:shapelayout>
  </w:hdrShapeDefaults>
  <w:footnotePr>
    <w:footnote w:id="40"/>
    <w:footnote w:id="4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hiYmEyOTdlZjBkZWY3ODUwZTZlN2QwYTBiYWI5MTMifQ=="/>
  </w:docVars>
  <w:rsids>
    <w:rsidRoot w:val="00307E16"/>
    <w:rsid w:val="00000E8A"/>
    <w:rsid w:val="000020B7"/>
    <w:rsid w:val="00003C0E"/>
    <w:rsid w:val="000047E4"/>
    <w:rsid w:val="00004E4F"/>
    <w:rsid w:val="00005CA7"/>
    <w:rsid w:val="00005F38"/>
    <w:rsid w:val="000068DE"/>
    <w:rsid w:val="00006C7D"/>
    <w:rsid w:val="0000730B"/>
    <w:rsid w:val="00007514"/>
    <w:rsid w:val="00010057"/>
    <w:rsid w:val="00010553"/>
    <w:rsid w:val="00010EA6"/>
    <w:rsid w:val="000139CE"/>
    <w:rsid w:val="00014F6B"/>
    <w:rsid w:val="000204C8"/>
    <w:rsid w:val="00021E81"/>
    <w:rsid w:val="00022547"/>
    <w:rsid w:val="00023130"/>
    <w:rsid w:val="00024661"/>
    <w:rsid w:val="00024753"/>
    <w:rsid w:val="0002524D"/>
    <w:rsid w:val="000257C3"/>
    <w:rsid w:val="000258D7"/>
    <w:rsid w:val="00027460"/>
    <w:rsid w:val="000279EF"/>
    <w:rsid w:val="00027D04"/>
    <w:rsid w:val="00031E14"/>
    <w:rsid w:val="00033906"/>
    <w:rsid w:val="000341AD"/>
    <w:rsid w:val="0003499C"/>
    <w:rsid w:val="0003511F"/>
    <w:rsid w:val="00035FAB"/>
    <w:rsid w:val="00036420"/>
    <w:rsid w:val="0003687F"/>
    <w:rsid w:val="00036F66"/>
    <w:rsid w:val="000423F1"/>
    <w:rsid w:val="00042FD2"/>
    <w:rsid w:val="000430E5"/>
    <w:rsid w:val="00044249"/>
    <w:rsid w:val="00044A69"/>
    <w:rsid w:val="0004528E"/>
    <w:rsid w:val="00045F5D"/>
    <w:rsid w:val="00047117"/>
    <w:rsid w:val="00047950"/>
    <w:rsid w:val="00047FB5"/>
    <w:rsid w:val="00050C8E"/>
    <w:rsid w:val="00050CB6"/>
    <w:rsid w:val="0005197F"/>
    <w:rsid w:val="00053845"/>
    <w:rsid w:val="00053CFB"/>
    <w:rsid w:val="00054A7D"/>
    <w:rsid w:val="0005617B"/>
    <w:rsid w:val="000562F4"/>
    <w:rsid w:val="0005660E"/>
    <w:rsid w:val="00056A48"/>
    <w:rsid w:val="00057001"/>
    <w:rsid w:val="0006038D"/>
    <w:rsid w:val="000604C5"/>
    <w:rsid w:val="000616CE"/>
    <w:rsid w:val="0006284F"/>
    <w:rsid w:val="000646CE"/>
    <w:rsid w:val="00064C87"/>
    <w:rsid w:val="00065999"/>
    <w:rsid w:val="00065A41"/>
    <w:rsid w:val="00066499"/>
    <w:rsid w:val="000676D4"/>
    <w:rsid w:val="00070665"/>
    <w:rsid w:val="00070C8F"/>
    <w:rsid w:val="00071EB7"/>
    <w:rsid w:val="00072ACF"/>
    <w:rsid w:val="00072FF3"/>
    <w:rsid w:val="000773E3"/>
    <w:rsid w:val="0007791F"/>
    <w:rsid w:val="00082207"/>
    <w:rsid w:val="00082A6A"/>
    <w:rsid w:val="000839E6"/>
    <w:rsid w:val="00083F9E"/>
    <w:rsid w:val="00085208"/>
    <w:rsid w:val="000858CF"/>
    <w:rsid w:val="00087BA5"/>
    <w:rsid w:val="0009410A"/>
    <w:rsid w:val="00094D10"/>
    <w:rsid w:val="000960A9"/>
    <w:rsid w:val="000978FA"/>
    <w:rsid w:val="00097F05"/>
    <w:rsid w:val="000A1C22"/>
    <w:rsid w:val="000A3197"/>
    <w:rsid w:val="000A36A0"/>
    <w:rsid w:val="000A3FCD"/>
    <w:rsid w:val="000A4564"/>
    <w:rsid w:val="000A4592"/>
    <w:rsid w:val="000A4647"/>
    <w:rsid w:val="000A471E"/>
    <w:rsid w:val="000A47FE"/>
    <w:rsid w:val="000A5D1B"/>
    <w:rsid w:val="000A5D1F"/>
    <w:rsid w:val="000A64EC"/>
    <w:rsid w:val="000A70D0"/>
    <w:rsid w:val="000A7A3E"/>
    <w:rsid w:val="000B2D24"/>
    <w:rsid w:val="000B2D56"/>
    <w:rsid w:val="000B2F96"/>
    <w:rsid w:val="000B4AC7"/>
    <w:rsid w:val="000B50BF"/>
    <w:rsid w:val="000B5CC0"/>
    <w:rsid w:val="000B5ECC"/>
    <w:rsid w:val="000B7EF4"/>
    <w:rsid w:val="000C0034"/>
    <w:rsid w:val="000C1798"/>
    <w:rsid w:val="000C25B1"/>
    <w:rsid w:val="000C25E6"/>
    <w:rsid w:val="000C2A1C"/>
    <w:rsid w:val="000C4D48"/>
    <w:rsid w:val="000C56F7"/>
    <w:rsid w:val="000C58CD"/>
    <w:rsid w:val="000C5D12"/>
    <w:rsid w:val="000C5FC9"/>
    <w:rsid w:val="000C6EC1"/>
    <w:rsid w:val="000C750F"/>
    <w:rsid w:val="000D0C0B"/>
    <w:rsid w:val="000D17F9"/>
    <w:rsid w:val="000D2EA2"/>
    <w:rsid w:val="000D6450"/>
    <w:rsid w:val="000D66D3"/>
    <w:rsid w:val="000E063E"/>
    <w:rsid w:val="000E0663"/>
    <w:rsid w:val="000E1F46"/>
    <w:rsid w:val="000E23EB"/>
    <w:rsid w:val="000E3359"/>
    <w:rsid w:val="000E4CD2"/>
    <w:rsid w:val="000E4EA8"/>
    <w:rsid w:val="000E5F28"/>
    <w:rsid w:val="000E5F92"/>
    <w:rsid w:val="000F2EA8"/>
    <w:rsid w:val="000F69BD"/>
    <w:rsid w:val="000F6FD5"/>
    <w:rsid w:val="000F7267"/>
    <w:rsid w:val="00101AB1"/>
    <w:rsid w:val="00102170"/>
    <w:rsid w:val="00102342"/>
    <w:rsid w:val="001029F4"/>
    <w:rsid w:val="00102C19"/>
    <w:rsid w:val="00103225"/>
    <w:rsid w:val="001045D0"/>
    <w:rsid w:val="00104860"/>
    <w:rsid w:val="0010686D"/>
    <w:rsid w:val="00106B3E"/>
    <w:rsid w:val="00107E69"/>
    <w:rsid w:val="0011076B"/>
    <w:rsid w:val="00111D5B"/>
    <w:rsid w:val="00113657"/>
    <w:rsid w:val="001152C9"/>
    <w:rsid w:val="001161CD"/>
    <w:rsid w:val="001223D9"/>
    <w:rsid w:val="00123D53"/>
    <w:rsid w:val="00124D19"/>
    <w:rsid w:val="001266A7"/>
    <w:rsid w:val="001269F3"/>
    <w:rsid w:val="0012720E"/>
    <w:rsid w:val="001273BD"/>
    <w:rsid w:val="0013077E"/>
    <w:rsid w:val="00130A34"/>
    <w:rsid w:val="0013195D"/>
    <w:rsid w:val="00133F1E"/>
    <w:rsid w:val="0013494F"/>
    <w:rsid w:val="0013634E"/>
    <w:rsid w:val="00137140"/>
    <w:rsid w:val="00137554"/>
    <w:rsid w:val="00140F0D"/>
    <w:rsid w:val="00142C66"/>
    <w:rsid w:val="00142FAC"/>
    <w:rsid w:val="0014479E"/>
    <w:rsid w:val="00145314"/>
    <w:rsid w:val="00146296"/>
    <w:rsid w:val="00146DE1"/>
    <w:rsid w:val="00146E11"/>
    <w:rsid w:val="001478FD"/>
    <w:rsid w:val="0015018C"/>
    <w:rsid w:val="00150234"/>
    <w:rsid w:val="001502A2"/>
    <w:rsid w:val="001508F0"/>
    <w:rsid w:val="00152D77"/>
    <w:rsid w:val="001537EC"/>
    <w:rsid w:val="00153BF5"/>
    <w:rsid w:val="00153F01"/>
    <w:rsid w:val="00154288"/>
    <w:rsid w:val="00154992"/>
    <w:rsid w:val="001612C5"/>
    <w:rsid w:val="001644E5"/>
    <w:rsid w:val="00165568"/>
    <w:rsid w:val="00165AED"/>
    <w:rsid w:val="001712AE"/>
    <w:rsid w:val="00171DB9"/>
    <w:rsid w:val="00172099"/>
    <w:rsid w:val="001725BD"/>
    <w:rsid w:val="001729DE"/>
    <w:rsid w:val="00173031"/>
    <w:rsid w:val="001732D6"/>
    <w:rsid w:val="00174135"/>
    <w:rsid w:val="001741B3"/>
    <w:rsid w:val="00174419"/>
    <w:rsid w:val="00181A9C"/>
    <w:rsid w:val="00182F51"/>
    <w:rsid w:val="001900C9"/>
    <w:rsid w:val="00191CE0"/>
    <w:rsid w:val="00192FBB"/>
    <w:rsid w:val="001942C7"/>
    <w:rsid w:val="00194EA4"/>
    <w:rsid w:val="00196877"/>
    <w:rsid w:val="001969B4"/>
    <w:rsid w:val="00196D82"/>
    <w:rsid w:val="00197D02"/>
    <w:rsid w:val="001A1FAB"/>
    <w:rsid w:val="001A237E"/>
    <w:rsid w:val="001A2604"/>
    <w:rsid w:val="001A4477"/>
    <w:rsid w:val="001A57C1"/>
    <w:rsid w:val="001A6DCE"/>
    <w:rsid w:val="001A79DF"/>
    <w:rsid w:val="001A7BBB"/>
    <w:rsid w:val="001A7F27"/>
    <w:rsid w:val="001B1565"/>
    <w:rsid w:val="001B3C28"/>
    <w:rsid w:val="001B442E"/>
    <w:rsid w:val="001B4619"/>
    <w:rsid w:val="001B4904"/>
    <w:rsid w:val="001B4D39"/>
    <w:rsid w:val="001B5147"/>
    <w:rsid w:val="001B5571"/>
    <w:rsid w:val="001B61AA"/>
    <w:rsid w:val="001C23BA"/>
    <w:rsid w:val="001C3725"/>
    <w:rsid w:val="001C5956"/>
    <w:rsid w:val="001C5962"/>
    <w:rsid w:val="001C5C9E"/>
    <w:rsid w:val="001C652C"/>
    <w:rsid w:val="001C6E8A"/>
    <w:rsid w:val="001D0AF0"/>
    <w:rsid w:val="001D0BA6"/>
    <w:rsid w:val="001D0E8F"/>
    <w:rsid w:val="001D1E5F"/>
    <w:rsid w:val="001D50E1"/>
    <w:rsid w:val="001D54B3"/>
    <w:rsid w:val="001D6368"/>
    <w:rsid w:val="001D790C"/>
    <w:rsid w:val="001E0080"/>
    <w:rsid w:val="001E01D9"/>
    <w:rsid w:val="001E0306"/>
    <w:rsid w:val="001E2B77"/>
    <w:rsid w:val="001E32FF"/>
    <w:rsid w:val="001E48C8"/>
    <w:rsid w:val="001E57FF"/>
    <w:rsid w:val="001E6FD9"/>
    <w:rsid w:val="001E730A"/>
    <w:rsid w:val="001E7BC2"/>
    <w:rsid w:val="001F16F0"/>
    <w:rsid w:val="001F23AB"/>
    <w:rsid w:val="001F24CD"/>
    <w:rsid w:val="001F3139"/>
    <w:rsid w:val="001F3AD5"/>
    <w:rsid w:val="001F6AEC"/>
    <w:rsid w:val="001F7593"/>
    <w:rsid w:val="001F78DF"/>
    <w:rsid w:val="00200762"/>
    <w:rsid w:val="002015C0"/>
    <w:rsid w:val="00201AEF"/>
    <w:rsid w:val="00204977"/>
    <w:rsid w:val="00205B98"/>
    <w:rsid w:val="00210F1B"/>
    <w:rsid w:val="00210F46"/>
    <w:rsid w:val="00211640"/>
    <w:rsid w:val="002118BE"/>
    <w:rsid w:val="00213370"/>
    <w:rsid w:val="00216029"/>
    <w:rsid w:val="00216CDF"/>
    <w:rsid w:val="00217FF8"/>
    <w:rsid w:val="002200DD"/>
    <w:rsid w:val="0022085E"/>
    <w:rsid w:val="00222A31"/>
    <w:rsid w:val="00222FC6"/>
    <w:rsid w:val="002232A7"/>
    <w:rsid w:val="002261E3"/>
    <w:rsid w:val="00227815"/>
    <w:rsid w:val="00227CF5"/>
    <w:rsid w:val="002302C1"/>
    <w:rsid w:val="00231523"/>
    <w:rsid w:val="002319B5"/>
    <w:rsid w:val="00232E97"/>
    <w:rsid w:val="00233534"/>
    <w:rsid w:val="00233A2C"/>
    <w:rsid w:val="00236249"/>
    <w:rsid w:val="00236347"/>
    <w:rsid w:val="00236378"/>
    <w:rsid w:val="00236DBA"/>
    <w:rsid w:val="00237126"/>
    <w:rsid w:val="00241B90"/>
    <w:rsid w:val="002421B6"/>
    <w:rsid w:val="00242609"/>
    <w:rsid w:val="00244F96"/>
    <w:rsid w:val="0024599F"/>
    <w:rsid w:val="00245D0E"/>
    <w:rsid w:val="00246BAC"/>
    <w:rsid w:val="00246FD9"/>
    <w:rsid w:val="0024709C"/>
    <w:rsid w:val="00247491"/>
    <w:rsid w:val="0024767A"/>
    <w:rsid w:val="002477F1"/>
    <w:rsid w:val="00250B76"/>
    <w:rsid w:val="002510CA"/>
    <w:rsid w:val="00251F1E"/>
    <w:rsid w:val="0025210F"/>
    <w:rsid w:val="002524B7"/>
    <w:rsid w:val="0025262A"/>
    <w:rsid w:val="002527C7"/>
    <w:rsid w:val="002536A9"/>
    <w:rsid w:val="00254995"/>
    <w:rsid w:val="00254C6E"/>
    <w:rsid w:val="00255918"/>
    <w:rsid w:val="00255949"/>
    <w:rsid w:val="00255F79"/>
    <w:rsid w:val="00255FB2"/>
    <w:rsid w:val="0025696B"/>
    <w:rsid w:val="00257856"/>
    <w:rsid w:val="00257B57"/>
    <w:rsid w:val="002609CC"/>
    <w:rsid w:val="00261A8E"/>
    <w:rsid w:val="00263FEC"/>
    <w:rsid w:val="002647F8"/>
    <w:rsid w:val="00265B11"/>
    <w:rsid w:val="002711BC"/>
    <w:rsid w:val="00271426"/>
    <w:rsid w:val="00271E0D"/>
    <w:rsid w:val="00272456"/>
    <w:rsid w:val="002724C5"/>
    <w:rsid w:val="00272AEC"/>
    <w:rsid w:val="00273141"/>
    <w:rsid w:val="0027347D"/>
    <w:rsid w:val="0027458A"/>
    <w:rsid w:val="00275449"/>
    <w:rsid w:val="00275778"/>
    <w:rsid w:val="00275C0B"/>
    <w:rsid w:val="00275E41"/>
    <w:rsid w:val="0027666C"/>
    <w:rsid w:val="002802F7"/>
    <w:rsid w:val="002813DE"/>
    <w:rsid w:val="00281496"/>
    <w:rsid w:val="0028162E"/>
    <w:rsid w:val="0028330D"/>
    <w:rsid w:val="0028361A"/>
    <w:rsid w:val="00287977"/>
    <w:rsid w:val="00292EA4"/>
    <w:rsid w:val="00293C23"/>
    <w:rsid w:val="00294CAB"/>
    <w:rsid w:val="00295002"/>
    <w:rsid w:val="00296DD3"/>
    <w:rsid w:val="00297207"/>
    <w:rsid w:val="002A2141"/>
    <w:rsid w:val="002A3075"/>
    <w:rsid w:val="002A31F8"/>
    <w:rsid w:val="002A3CFF"/>
    <w:rsid w:val="002A6009"/>
    <w:rsid w:val="002B2D78"/>
    <w:rsid w:val="002B4F02"/>
    <w:rsid w:val="002B6264"/>
    <w:rsid w:val="002B6F03"/>
    <w:rsid w:val="002B728B"/>
    <w:rsid w:val="002B7D0D"/>
    <w:rsid w:val="002C010A"/>
    <w:rsid w:val="002C1AFD"/>
    <w:rsid w:val="002C1B08"/>
    <w:rsid w:val="002C1DB3"/>
    <w:rsid w:val="002C23F2"/>
    <w:rsid w:val="002C7E8A"/>
    <w:rsid w:val="002D00C9"/>
    <w:rsid w:val="002D156B"/>
    <w:rsid w:val="002D1D9A"/>
    <w:rsid w:val="002D2E50"/>
    <w:rsid w:val="002D3C10"/>
    <w:rsid w:val="002D6336"/>
    <w:rsid w:val="002D767B"/>
    <w:rsid w:val="002E153B"/>
    <w:rsid w:val="002E15AB"/>
    <w:rsid w:val="002E2581"/>
    <w:rsid w:val="002E26C3"/>
    <w:rsid w:val="002E293E"/>
    <w:rsid w:val="002E5336"/>
    <w:rsid w:val="002E5A86"/>
    <w:rsid w:val="002E5F3E"/>
    <w:rsid w:val="002E7409"/>
    <w:rsid w:val="002E7DDA"/>
    <w:rsid w:val="002F0030"/>
    <w:rsid w:val="002F1F0D"/>
    <w:rsid w:val="002F2877"/>
    <w:rsid w:val="002F2A96"/>
    <w:rsid w:val="002F3474"/>
    <w:rsid w:val="002F357D"/>
    <w:rsid w:val="002F4D57"/>
    <w:rsid w:val="002F52AE"/>
    <w:rsid w:val="00301ADB"/>
    <w:rsid w:val="00302A38"/>
    <w:rsid w:val="00302D15"/>
    <w:rsid w:val="003059C0"/>
    <w:rsid w:val="00306ABD"/>
    <w:rsid w:val="003078C0"/>
    <w:rsid w:val="00307E16"/>
    <w:rsid w:val="00310E89"/>
    <w:rsid w:val="00313B4B"/>
    <w:rsid w:val="00313C79"/>
    <w:rsid w:val="0031486C"/>
    <w:rsid w:val="003149B4"/>
    <w:rsid w:val="00314E76"/>
    <w:rsid w:val="003151E0"/>
    <w:rsid w:val="003155F8"/>
    <w:rsid w:val="003158CD"/>
    <w:rsid w:val="003171AF"/>
    <w:rsid w:val="00320F46"/>
    <w:rsid w:val="00321311"/>
    <w:rsid w:val="003213FF"/>
    <w:rsid w:val="00322423"/>
    <w:rsid w:val="00322A5C"/>
    <w:rsid w:val="0032592F"/>
    <w:rsid w:val="00326760"/>
    <w:rsid w:val="00327259"/>
    <w:rsid w:val="00327CA8"/>
    <w:rsid w:val="00330CC2"/>
    <w:rsid w:val="003310FA"/>
    <w:rsid w:val="00331A8B"/>
    <w:rsid w:val="00334568"/>
    <w:rsid w:val="00334FD9"/>
    <w:rsid w:val="00335E88"/>
    <w:rsid w:val="003406C6"/>
    <w:rsid w:val="003420D7"/>
    <w:rsid w:val="00342ACD"/>
    <w:rsid w:val="0034393F"/>
    <w:rsid w:val="00343F47"/>
    <w:rsid w:val="00344814"/>
    <w:rsid w:val="00344893"/>
    <w:rsid w:val="00344E6E"/>
    <w:rsid w:val="0034535F"/>
    <w:rsid w:val="00345DE9"/>
    <w:rsid w:val="00346CD8"/>
    <w:rsid w:val="00347600"/>
    <w:rsid w:val="0035069C"/>
    <w:rsid w:val="00352010"/>
    <w:rsid w:val="00352147"/>
    <w:rsid w:val="00352643"/>
    <w:rsid w:val="003534CF"/>
    <w:rsid w:val="003565AB"/>
    <w:rsid w:val="0035795D"/>
    <w:rsid w:val="00357999"/>
    <w:rsid w:val="00357DCD"/>
    <w:rsid w:val="003638D8"/>
    <w:rsid w:val="00364E32"/>
    <w:rsid w:val="00365D3F"/>
    <w:rsid w:val="00366519"/>
    <w:rsid w:val="00371AFE"/>
    <w:rsid w:val="003736B2"/>
    <w:rsid w:val="00374227"/>
    <w:rsid w:val="003743E3"/>
    <w:rsid w:val="00375AC7"/>
    <w:rsid w:val="00376302"/>
    <w:rsid w:val="00376674"/>
    <w:rsid w:val="0037672A"/>
    <w:rsid w:val="00377295"/>
    <w:rsid w:val="00377562"/>
    <w:rsid w:val="00380306"/>
    <w:rsid w:val="00382CA3"/>
    <w:rsid w:val="003838F1"/>
    <w:rsid w:val="0038418C"/>
    <w:rsid w:val="0038529E"/>
    <w:rsid w:val="003864A2"/>
    <w:rsid w:val="003870AE"/>
    <w:rsid w:val="003876DA"/>
    <w:rsid w:val="00394674"/>
    <w:rsid w:val="003953AA"/>
    <w:rsid w:val="00396B1F"/>
    <w:rsid w:val="00397219"/>
    <w:rsid w:val="003A0E44"/>
    <w:rsid w:val="003A2BCC"/>
    <w:rsid w:val="003A4CE5"/>
    <w:rsid w:val="003A7AA8"/>
    <w:rsid w:val="003A7B1F"/>
    <w:rsid w:val="003B083F"/>
    <w:rsid w:val="003B0C7E"/>
    <w:rsid w:val="003B31DC"/>
    <w:rsid w:val="003B35E6"/>
    <w:rsid w:val="003B4237"/>
    <w:rsid w:val="003B447B"/>
    <w:rsid w:val="003B54D2"/>
    <w:rsid w:val="003B58CF"/>
    <w:rsid w:val="003B5954"/>
    <w:rsid w:val="003B628A"/>
    <w:rsid w:val="003B6C4F"/>
    <w:rsid w:val="003B731E"/>
    <w:rsid w:val="003B778D"/>
    <w:rsid w:val="003C0E63"/>
    <w:rsid w:val="003C0FF0"/>
    <w:rsid w:val="003C168F"/>
    <w:rsid w:val="003C1DB8"/>
    <w:rsid w:val="003C24AF"/>
    <w:rsid w:val="003C355E"/>
    <w:rsid w:val="003C3E74"/>
    <w:rsid w:val="003C3EBA"/>
    <w:rsid w:val="003C47CA"/>
    <w:rsid w:val="003C5C53"/>
    <w:rsid w:val="003C69F4"/>
    <w:rsid w:val="003C7659"/>
    <w:rsid w:val="003D04BA"/>
    <w:rsid w:val="003D0AE3"/>
    <w:rsid w:val="003D30EC"/>
    <w:rsid w:val="003D31FD"/>
    <w:rsid w:val="003D5F58"/>
    <w:rsid w:val="003D71B1"/>
    <w:rsid w:val="003D7E41"/>
    <w:rsid w:val="003E0F5F"/>
    <w:rsid w:val="003E124B"/>
    <w:rsid w:val="003E2F9C"/>
    <w:rsid w:val="003E3109"/>
    <w:rsid w:val="003E52D1"/>
    <w:rsid w:val="003E65DF"/>
    <w:rsid w:val="003E71F5"/>
    <w:rsid w:val="003E77E4"/>
    <w:rsid w:val="003E7F31"/>
    <w:rsid w:val="003F2979"/>
    <w:rsid w:val="003F2F3B"/>
    <w:rsid w:val="003F40DE"/>
    <w:rsid w:val="003F4714"/>
    <w:rsid w:val="003F4D95"/>
    <w:rsid w:val="003F5010"/>
    <w:rsid w:val="003F5308"/>
    <w:rsid w:val="003F5A0D"/>
    <w:rsid w:val="003F5E02"/>
    <w:rsid w:val="003F6C52"/>
    <w:rsid w:val="003F71CB"/>
    <w:rsid w:val="003F72B9"/>
    <w:rsid w:val="00400034"/>
    <w:rsid w:val="004014CB"/>
    <w:rsid w:val="00402556"/>
    <w:rsid w:val="00402FAB"/>
    <w:rsid w:val="0040579F"/>
    <w:rsid w:val="004072DB"/>
    <w:rsid w:val="004105A9"/>
    <w:rsid w:val="004109A4"/>
    <w:rsid w:val="00410DEA"/>
    <w:rsid w:val="00411B1F"/>
    <w:rsid w:val="00411F1C"/>
    <w:rsid w:val="00412A25"/>
    <w:rsid w:val="004135CF"/>
    <w:rsid w:val="00415666"/>
    <w:rsid w:val="00416A6F"/>
    <w:rsid w:val="004172CA"/>
    <w:rsid w:val="00420281"/>
    <w:rsid w:val="00420605"/>
    <w:rsid w:val="00420674"/>
    <w:rsid w:val="00421A02"/>
    <w:rsid w:val="00425ABE"/>
    <w:rsid w:val="004264C0"/>
    <w:rsid w:val="00426890"/>
    <w:rsid w:val="00426EC0"/>
    <w:rsid w:val="00427EC8"/>
    <w:rsid w:val="00431F03"/>
    <w:rsid w:val="00432B6A"/>
    <w:rsid w:val="004337AE"/>
    <w:rsid w:val="004337CE"/>
    <w:rsid w:val="00433C96"/>
    <w:rsid w:val="00433E9C"/>
    <w:rsid w:val="00435B72"/>
    <w:rsid w:val="0043622A"/>
    <w:rsid w:val="0043658E"/>
    <w:rsid w:val="0043683E"/>
    <w:rsid w:val="00440534"/>
    <w:rsid w:val="004462FE"/>
    <w:rsid w:val="00450B6F"/>
    <w:rsid w:val="0045122D"/>
    <w:rsid w:val="00451F09"/>
    <w:rsid w:val="004523D0"/>
    <w:rsid w:val="004528EE"/>
    <w:rsid w:val="00452943"/>
    <w:rsid w:val="00453233"/>
    <w:rsid w:val="00453E5C"/>
    <w:rsid w:val="00453E98"/>
    <w:rsid w:val="0045594F"/>
    <w:rsid w:val="00456437"/>
    <w:rsid w:val="00456572"/>
    <w:rsid w:val="00456DD9"/>
    <w:rsid w:val="0045780B"/>
    <w:rsid w:val="00457FA2"/>
    <w:rsid w:val="00460C63"/>
    <w:rsid w:val="004615EC"/>
    <w:rsid w:val="00461A7D"/>
    <w:rsid w:val="00461DF9"/>
    <w:rsid w:val="00463A3F"/>
    <w:rsid w:val="0046621F"/>
    <w:rsid w:val="00471431"/>
    <w:rsid w:val="0047267C"/>
    <w:rsid w:val="00472712"/>
    <w:rsid w:val="004734FB"/>
    <w:rsid w:val="00473671"/>
    <w:rsid w:val="004753C5"/>
    <w:rsid w:val="00475414"/>
    <w:rsid w:val="00475AD3"/>
    <w:rsid w:val="00476AC2"/>
    <w:rsid w:val="00482FEE"/>
    <w:rsid w:val="00483004"/>
    <w:rsid w:val="0048373E"/>
    <w:rsid w:val="00483769"/>
    <w:rsid w:val="004842ED"/>
    <w:rsid w:val="00484571"/>
    <w:rsid w:val="00484656"/>
    <w:rsid w:val="00491A23"/>
    <w:rsid w:val="00491ADE"/>
    <w:rsid w:val="00497928"/>
    <w:rsid w:val="00497BAA"/>
    <w:rsid w:val="004A08A0"/>
    <w:rsid w:val="004A0B72"/>
    <w:rsid w:val="004A1E33"/>
    <w:rsid w:val="004A20F9"/>
    <w:rsid w:val="004A24DA"/>
    <w:rsid w:val="004A2E69"/>
    <w:rsid w:val="004A337E"/>
    <w:rsid w:val="004A4E27"/>
    <w:rsid w:val="004A502E"/>
    <w:rsid w:val="004A520B"/>
    <w:rsid w:val="004A56F0"/>
    <w:rsid w:val="004A6E46"/>
    <w:rsid w:val="004A7F79"/>
    <w:rsid w:val="004B021D"/>
    <w:rsid w:val="004B057D"/>
    <w:rsid w:val="004B17D2"/>
    <w:rsid w:val="004B24A9"/>
    <w:rsid w:val="004B2772"/>
    <w:rsid w:val="004B37DD"/>
    <w:rsid w:val="004B4E8E"/>
    <w:rsid w:val="004B7AAA"/>
    <w:rsid w:val="004C0407"/>
    <w:rsid w:val="004C2AAB"/>
    <w:rsid w:val="004C41CF"/>
    <w:rsid w:val="004C5AD5"/>
    <w:rsid w:val="004C620D"/>
    <w:rsid w:val="004C65B3"/>
    <w:rsid w:val="004C65D4"/>
    <w:rsid w:val="004C687A"/>
    <w:rsid w:val="004C6A35"/>
    <w:rsid w:val="004C6E56"/>
    <w:rsid w:val="004C7ADC"/>
    <w:rsid w:val="004D1128"/>
    <w:rsid w:val="004D3451"/>
    <w:rsid w:val="004D4B98"/>
    <w:rsid w:val="004D6165"/>
    <w:rsid w:val="004D7FBE"/>
    <w:rsid w:val="004E162D"/>
    <w:rsid w:val="004E3C62"/>
    <w:rsid w:val="004E40C0"/>
    <w:rsid w:val="004E6059"/>
    <w:rsid w:val="004E7489"/>
    <w:rsid w:val="004E74E5"/>
    <w:rsid w:val="004E75E3"/>
    <w:rsid w:val="004E7F7C"/>
    <w:rsid w:val="004F021F"/>
    <w:rsid w:val="004F179A"/>
    <w:rsid w:val="004F237A"/>
    <w:rsid w:val="004F5288"/>
    <w:rsid w:val="004F5A63"/>
    <w:rsid w:val="004F611A"/>
    <w:rsid w:val="004F6A90"/>
    <w:rsid w:val="004F6F0C"/>
    <w:rsid w:val="004F72E6"/>
    <w:rsid w:val="004F7DD8"/>
    <w:rsid w:val="00501AF9"/>
    <w:rsid w:val="0050390E"/>
    <w:rsid w:val="00503FBC"/>
    <w:rsid w:val="00504F68"/>
    <w:rsid w:val="005055FC"/>
    <w:rsid w:val="00505A99"/>
    <w:rsid w:val="00505C8A"/>
    <w:rsid w:val="00507D64"/>
    <w:rsid w:val="00511F2B"/>
    <w:rsid w:val="00512F9F"/>
    <w:rsid w:val="00513BF9"/>
    <w:rsid w:val="00514366"/>
    <w:rsid w:val="00514A0F"/>
    <w:rsid w:val="00517527"/>
    <w:rsid w:val="00517A0C"/>
    <w:rsid w:val="00517EF6"/>
    <w:rsid w:val="00517FF8"/>
    <w:rsid w:val="0052021A"/>
    <w:rsid w:val="005202D5"/>
    <w:rsid w:val="005205C3"/>
    <w:rsid w:val="00522EEE"/>
    <w:rsid w:val="005239EC"/>
    <w:rsid w:val="0052704B"/>
    <w:rsid w:val="005278E3"/>
    <w:rsid w:val="00535AE6"/>
    <w:rsid w:val="005364D0"/>
    <w:rsid w:val="00540B54"/>
    <w:rsid w:val="00541173"/>
    <w:rsid w:val="00541F7C"/>
    <w:rsid w:val="0054233E"/>
    <w:rsid w:val="0054254C"/>
    <w:rsid w:val="005425FB"/>
    <w:rsid w:val="0054339C"/>
    <w:rsid w:val="00543EB6"/>
    <w:rsid w:val="00544D33"/>
    <w:rsid w:val="00544E62"/>
    <w:rsid w:val="00545E10"/>
    <w:rsid w:val="005460F6"/>
    <w:rsid w:val="0055022D"/>
    <w:rsid w:val="005503F8"/>
    <w:rsid w:val="00551B3D"/>
    <w:rsid w:val="00552987"/>
    <w:rsid w:val="0055363A"/>
    <w:rsid w:val="00553F1C"/>
    <w:rsid w:val="00556D82"/>
    <w:rsid w:val="0055730E"/>
    <w:rsid w:val="00563769"/>
    <w:rsid w:val="005656C1"/>
    <w:rsid w:val="00566D68"/>
    <w:rsid w:val="005672BE"/>
    <w:rsid w:val="005700D2"/>
    <w:rsid w:val="005709AB"/>
    <w:rsid w:val="0057106A"/>
    <w:rsid w:val="005719EE"/>
    <w:rsid w:val="005736D7"/>
    <w:rsid w:val="00575FDF"/>
    <w:rsid w:val="00576452"/>
    <w:rsid w:val="005768CE"/>
    <w:rsid w:val="00576D71"/>
    <w:rsid w:val="00577BDD"/>
    <w:rsid w:val="005822BF"/>
    <w:rsid w:val="005823F7"/>
    <w:rsid w:val="00583F70"/>
    <w:rsid w:val="00584474"/>
    <w:rsid w:val="00585107"/>
    <w:rsid w:val="00586183"/>
    <w:rsid w:val="00586434"/>
    <w:rsid w:val="00586569"/>
    <w:rsid w:val="00587A9F"/>
    <w:rsid w:val="00587BC8"/>
    <w:rsid w:val="00590C50"/>
    <w:rsid w:val="00590C8A"/>
    <w:rsid w:val="00590CD9"/>
    <w:rsid w:val="00591965"/>
    <w:rsid w:val="005919D1"/>
    <w:rsid w:val="0059226A"/>
    <w:rsid w:val="00592707"/>
    <w:rsid w:val="00596169"/>
    <w:rsid w:val="00596760"/>
    <w:rsid w:val="00596802"/>
    <w:rsid w:val="00597AE4"/>
    <w:rsid w:val="005A06AC"/>
    <w:rsid w:val="005A1B12"/>
    <w:rsid w:val="005A2777"/>
    <w:rsid w:val="005A514D"/>
    <w:rsid w:val="005A5531"/>
    <w:rsid w:val="005A5837"/>
    <w:rsid w:val="005A58BA"/>
    <w:rsid w:val="005A58F0"/>
    <w:rsid w:val="005B0008"/>
    <w:rsid w:val="005B03B8"/>
    <w:rsid w:val="005B0F72"/>
    <w:rsid w:val="005B112F"/>
    <w:rsid w:val="005B122A"/>
    <w:rsid w:val="005B25C6"/>
    <w:rsid w:val="005B361D"/>
    <w:rsid w:val="005B3D1F"/>
    <w:rsid w:val="005B45BF"/>
    <w:rsid w:val="005B5B24"/>
    <w:rsid w:val="005B679B"/>
    <w:rsid w:val="005C0671"/>
    <w:rsid w:val="005C099C"/>
    <w:rsid w:val="005C0A65"/>
    <w:rsid w:val="005C10E9"/>
    <w:rsid w:val="005C1885"/>
    <w:rsid w:val="005C1CC1"/>
    <w:rsid w:val="005C237F"/>
    <w:rsid w:val="005C3107"/>
    <w:rsid w:val="005C3610"/>
    <w:rsid w:val="005C50A2"/>
    <w:rsid w:val="005C6E7E"/>
    <w:rsid w:val="005D01EF"/>
    <w:rsid w:val="005D165D"/>
    <w:rsid w:val="005D2B39"/>
    <w:rsid w:val="005D2CFE"/>
    <w:rsid w:val="005D77D9"/>
    <w:rsid w:val="005E1048"/>
    <w:rsid w:val="005E1058"/>
    <w:rsid w:val="005E1EEF"/>
    <w:rsid w:val="005E37DE"/>
    <w:rsid w:val="005E5D9D"/>
    <w:rsid w:val="005F19A1"/>
    <w:rsid w:val="005F289A"/>
    <w:rsid w:val="005F2B96"/>
    <w:rsid w:val="005F39B8"/>
    <w:rsid w:val="005F4604"/>
    <w:rsid w:val="005F4993"/>
    <w:rsid w:val="005F61B6"/>
    <w:rsid w:val="005F6B8C"/>
    <w:rsid w:val="005F76A1"/>
    <w:rsid w:val="006012EA"/>
    <w:rsid w:val="006017FB"/>
    <w:rsid w:val="006025DD"/>
    <w:rsid w:val="006033A3"/>
    <w:rsid w:val="00604A92"/>
    <w:rsid w:val="00607C94"/>
    <w:rsid w:val="00607D3B"/>
    <w:rsid w:val="00610343"/>
    <w:rsid w:val="0061102B"/>
    <w:rsid w:val="00611085"/>
    <w:rsid w:val="006124B8"/>
    <w:rsid w:val="0061285E"/>
    <w:rsid w:val="00613307"/>
    <w:rsid w:val="00613EB0"/>
    <w:rsid w:val="006143A6"/>
    <w:rsid w:val="00614BB5"/>
    <w:rsid w:val="00614C50"/>
    <w:rsid w:val="00616341"/>
    <w:rsid w:val="00616FFA"/>
    <w:rsid w:val="00621DB5"/>
    <w:rsid w:val="00621FA9"/>
    <w:rsid w:val="0062557A"/>
    <w:rsid w:val="00627715"/>
    <w:rsid w:val="00627A9F"/>
    <w:rsid w:val="00627D76"/>
    <w:rsid w:val="006309CB"/>
    <w:rsid w:val="00631E9E"/>
    <w:rsid w:val="00633D36"/>
    <w:rsid w:val="00636474"/>
    <w:rsid w:val="00636556"/>
    <w:rsid w:val="006404DC"/>
    <w:rsid w:val="006406BA"/>
    <w:rsid w:val="00640BA8"/>
    <w:rsid w:val="00641250"/>
    <w:rsid w:val="00642CDE"/>
    <w:rsid w:val="0064401C"/>
    <w:rsid w:val="006452AE"/>
    <w:rsid w:val="00646370"/>
    <w:rsid w:val="00647165"/>
    <w:rsid w:val="006514DF"/>
    <w:rsid w:val="00655C9C"/>
    <w:rsid w:val="00655F89"/>
    <w:rsid w:val="00662340"/>
    <w:rsid w:val="00662536"/>
    <w:rsid w:val="00662622"/>
    <w:rsid w:val="006638FF"/>
    <w:rsid w:val="00670FF1"/>
    <w:rsid w:val="0067253D"/>
    <w:rsid w:val="00673A49"/>
    <w:rsid w:val="0067417E"/>
    <w:rsid w:val="006747A3"/>
    <w:rsid w:val="0067605A"/>
    <w:rsid w:val="006761BA"/>
    <w:rsid w:val="00676864"/>
    <w:rsid w:val="00676AEE"/>
    <w:rsid w:val="006770C2"/>
    <w:rsid w:val="00677CD4"/>
    <w:rsid w:val="0068021A"/>
    <w:rsid w:val="006805CA"/>
    <w:rsid w:val="00680C7C"/>
    <w:rsid w:val="006817E6"/>
    <w:rsid w:val="00681D61"/>
    <w:rsid w:val="00681D7F"/>
    <w:rsid w:val="00683F47"/>
    <w:rsid w:val="006843CB"/>
    <w:rsid w:val="006846BE"/>
    <w:rsid w:val="006853E1"/>
    <w:rsid w:val="00685414"/>
    <w:rsid w:val="00685EE4"/>
    <w:rsid w:val="00686554"/>
    <w:rsid w:val="00686918"/>
    <w:rsid w:val="0068737B"/>
    <w:rsid w:val="006901A9"/>
    <w:rsid w:val="00691BAE"/>
    <w:rsid w:val="00692E13"/>
    <w:rsid w:val="00694E1E"/>
    <w:rsid w:val="00695021"/>
    <w:rsid w:val="00695E62"/>
    <w:rsid w:val="006966F7"/>
    <w:rsid w:val="006A218A"/>
    <w:rsid w:val="006A26E2"/>
    <w:rsid w:val="006A348B"/>
    <w:rsid w:val="006A4490"/>
    <w:rsid w:val="006A4B73"/>
    <w:rsid w:val="006A61FC"/>
    <w:rsid w:val="006A6E79"/>
    <w:rsid w:val="006B0419"/>
    <w:rsid w:val="006B0536"/>
    <w:rsid w:val="006B0D47"/>
    <w:rsid w:val="006B2429"/>
    <w:rsid w:val="006B25EB"/>
    <w:rsid w:val="006B2E9B"/>
    <w:rsid w:val="006B342A"/>
    <w:rsid w:val="006B4551"/>
    <w:rsid w:val="006B46A3"/>
    <w:rsid w:val="006B4C6A"/>
    <w:rsid w:val="006B6C41"/>
    <w:rsid w:val="006B7240"/>
    <w:rsid w:val="006C16E6"/>
    <w:rsid w:val="006C3BEB"/>
    <w:rsid w:val="006C3E03"/>
    <w:rsid w:val="006D1A4A"/>
    <w:rsid w:val="006D384E"/>
    <w:rsid w:val="006D53D7"/>
    <w:rsid w:val="006D540B"/>
    <w:rsid w:val="006D57E1"/>
    <w:rsid w:val="006D58E5"/>
    <w:rsid w:val="006D5C93"/>
    <w:rsid w:val="006D6783"/>
    <w:rsid w:val="006D6D8D"/>
    <w:rsid w:val="006D7AB8"/>
    <w:rsid w:val="006E0CBD"/>
    <w:rsid w:val="006E6333"/>
    <w:rsid w:val="006F0C1E"/>
    <w:rsid w:val="006F1419"/>
    <w:rsid w:val="006F1A21"/>
    <w:rsid w:val="006F224B"/>
    <w:rsid w:val="006F36B4"/>
    <w:rsid w:val="006F3E2B"/>
    <w:rsid w:val="006F5D9E"/>
    <w:rsid w:val="00700A7C"/>
    <w:rsid w:val="007023B5"/>
    <w:rsid w:val="00702B88"/>
    <w:rsid w:val="00702E51"/>
    <w:rsid w:val="00703155"/>
    <w:rsid w:val="007035D5"/>
    <w:rsid w:val="007038C2"/>
    <w:rsid w:val="007042DA"/>
    <w:rsid w:val="00704DFD"/>
    <w:rsid w:val="00706442"/>
    <w:rsid w:val="00706C50"/>
    <w:rsid w:val="00706D9F"/>
    <w:rsid w:val="007117CF"/>
    <w:rsid w:val="007119E4"/>
    <w:rsid w:val="00713462"/>
    <w:rsid w:val="00714CB4"/>
    <w:rsid w:val="00722B49"/>
    <w:rsid w:val="0072413F"/>
    <w:rsid w:val="00725222"/>
    <w:rsid w:val="00733B83"/>
    <w:rsid w:val="007350C2"/>
    <w:rsid w:val="007354B9"/>
    <w:rsid w:val="00735BF9"/>
    <w:rsid w:val="00735FCC"/>
    <w:rsid w:val="007379DE"/>
    <w:rsid w:val="00737C9B"/>
    <w:rsid w:val="00743C87"/>
    <w:rsid w:val="00745BF6"/>
    <w:rsid w:val="00746297"/>
    <w:rsid w:val="007467F7"/>
    <w:rsid w:val="00752422"/>
    <w:rsid w:val="00752C85"/>
    <w:rsid w:val="00754D9B"/>
    <w:rsid w:val="00755FF7"/>
    <w:rsid w:val="00760047"/>
    <w:rsid w:val="0076109D"/>
    <w:rsid w:val="00763CA4"/>
    <w:rsid w:val="007640CB"/>
    <w:rsid w:val="007641E1"/>
    <w:rsid w:val="0076531C"/>
    <w:rsid w:val="007669B6"/>
    <w:rsid w:val="00766B8E"/>
    <w:rsid w:val="00771CE0"/>
    <w:rsid w:val="0077214B"/>
    <w:rsid w:val="0077720E"/>
    <w:rsid w:val="00780DB9"/>
    <w:rsid w:val="00780EFE"/>
    <w:rsid w:val="0078115B"/>
    <w:rsid w:val="00782140"/>
    <w:rsid w:val="00783574"/>
    <w:rsid w:val="00784307"/>
    <w:rsid w:val="00784F72"/>
    <w:rsid w:val="00787E97"/>
    <w:rsid w:val="00787FFA"/>
    <w:rsid w:val="00790E31"/>
    <w:rsid w:val="00794EF9"/>
    <w:rsid w:val="00795607"/>
    <w:rsid w:val="00795B04"/>
    <w:rsid w:val="00796870"/>
    <w:rsid w:val="00797D9B"/>
    <w:rsid w:val="007A279F"/>
    <w:rsid w:val="007A3ACC"/>
    <w:rsid w:val="007A3B6F"/>
    <w:rsid w:val="007A7143"/>
    <w:rsid w:val="007A758B"/>
    <w:rsid w:val="007B0531"/>
    <w:rsid w:val="007B0970"/>
    <w:rsid w:val="007B16AF"/>
    <w:rsid w:val="007B1942"/>
    <w:rsid w:val="007B1A48"/>
    <w:rsid w:val="007B52E6"/>
    <w:rsid w:val="007C05E4"/>
    <w:rsid w:val="007C0F94"/>
    <w:rsid w:val="007C1165"/>
    <w:rsid w:val="007C151C"/>
    <w:rsid w:val="007C1FB2"/>
    <w:rsid w:val="007C208E"/>
    <w:rsid w:val="007C23A3"/>
    <w:rsid w:val="007C3D92"/>
    <w:rsid w:val="007C614E"/>
    <w:rsid w:val="007D05FD"/>
    <w:rsid w:val="007D0741"/>
    <w:rsid w:val="007D094B"/>
    <w:rsid w:val="007D0E96"/>
    <w:rsid w:val="007D1DE8"/>
    <w:rsid w:val="007D2FB8"/>
    <w:rsid w:val="007D32B5"/>
    <w:rsid w:val="007D47A0"/>
    <w:rsid w:val="007D65C8"/>
    <w:rsid w:val="007D69FC"/>
    <w:rsid w:val="007D7F7C"/>
    <w:rsid w:val="007E1BAC"/>
    <w:rsid w:val="007E5FC6"/>
    <w:rsid w:val="007E6C99"/>
    <w:rsid w:val="007E6E2B"/>
    <w:rsid w:val="007E6FF1"/>
    <w:rsid w:val="007E72FD"/>
    <w:rsid w:val="007E7BFE"/>
    <w:rsid w:val="007F1109"/>
    <w:rsid w:val="007F12DA"/>
    <w:rsid w:val="007F17EE"/>
    <w:rsid w:val="007F1994"/>
    <w:rsid w:val="007F40A5"/>
    <w:rsid w:val="007F47C9"/>
    <w:rsid w:val="007F4CA9"/>
    <w:rsid w:val="007F5E83"/>
    <w:rsid w:val="007F792D"/>
    <w:rsid w:val="007F7992"/>
    <w:rsid w:val="00800622"/>
    <w:rsid w:val="00802124"/>
    <w:rsid w:val="00802962"/>
    <w:rsid w:val="0080399F"/>
    <w:rsid w:val="00803DE6"/>
    <w:rsid w:val="00804264"/>
    <w:rsid w:val="00804A19"/>
    <w:rsid w:val="00804B06"/>
    <w:rsid w:val="00806419"/>
    <w:rsid w:val="00810CA1"/>
    <w:rsid w:val="0081139C"/>
    <w:rsid w:val="00812437"/>
    <w:rsid w:val="00813459"/>
    <w:rsid w:val="0081351C"/>
    <w:rsid w:val="00813985"/>
    <w:rsid w:val="00814003"/>
    <w:rsid w:val="00814037"/>
    <w:rsid w:val="00815461"/>
    <w:rsid w:val="00815823"/>
    <w:rsid w:val="00815D37"/>
    <w:rsid w:val="00816B05"/>
    <w:rsid w:val="00817825"/>
    <w:rsid w:val="00817CFE"/>
    <w:rsid w:val="00820191"/>
    <w:rsid w:val="00824051"/>
    <w:rsid w:val="00824F59"/>
    <w:rsid w:val="008252AE"/>
    <w:rsid w:val="008261F6"/>
    <w:rsid w:val="0083189A"/>
    <w:rsid w:val="00831F1A"/>
    <w:rsid w:val="0083287C"/>
    <w:rsid w:val="00832D7C"/>
    <w:rsid w:val="008343B4"/>
    <w:rsid w:val="00834499"/>
    <w:rsid w:val="00835D89"/>
    <w:rsid w:val="008361A7"/>
    <w:rsid w:val="00837270"/>
    <w:rsid w:val="00837341"/>
    <w:rsid w:val="008444B7"/>
    <w:rsid w:val="00845128"/>
    <w:rsid w:val="0084753F"/>
    <w:rsid w:val="008509E8"/>
    <w:rsid w:val="00851202"/>
    <w:rsid w:val="008516E2"/>
    <w:rsid w:val="00851F8D"/>
    <w:rsid w:val="00852D57"/>
    <w:rsid w:val="008540D1"/>
    <w:rsid w:val="00854990"/>
    <w:rsid w:val="00854E50"/>
    <w:rsid w:val="00854E7C"/>
    <w:rsid w:val="00855C27"/>
    <w:rsid w:val="00855E8E"/>
    <w:rsid w:val="00856B42"/>
    <w:rsid w:val="00856E3C"/>
    <w:rsid w:val="00860FEC"/>
    <w:rsid w:val="0086103C"/>
    <w:rsid w:val="0086257E"/>
    <w:rsid w:val="00862D75"/>
    <w:rsid w:val="00865245"/>
    <w:rsid w:val="0086544D"/>
    <w:rsid w:val="008656CC"/>
    <w:rsid w:val="00865C89"/>
    <w:rsid w:val="00866E52"/>
    <w:rsid w:val="00867E8E"/>
    <w:rsid w:val="00870D3A"/>
    <w:rsid w:val="008713A2"/>
    <w:rsid w:val="008725B3"/>
    <w:rsid w:val="00875831"/>
    <w:rsid w:val="00875881"/>
    <w:rsid w:val="00875E9A"/>
    <w:rsid w:val="008761DF"/>
    <w:rsid w:val="0087665D"/>
    <w:rsid w:val="00877998"/>
    <w:rsid w:val="00880769"/>
    <w:rsid w:val="008814C4"/>
    <w:rsid w:val="0088344D"/>
    <w:rsid w:val="00885E3F"/>
    <w:rsid w:val="008862F9"/>
    <w:rsid w:val="00887425"/>
    <w:rsid w:val="00890021"/>
    <w:rsid w:val="00892FC1"/>
    <w:rsid w:val="0089397D"/>
    <w:rsid w:val="00895146"/>
    <w:rsid w:val="0089546E"/>
    <w:rsid w:val="00895F15"/>
    <w:rsid w:val="00897987"/>
    <w:rsid w:val="008A1208"/>
    <w:rsid w:val="008A14A7"/>
    <w:rsid w:val="008A3B26"/>
    <w:rsid w:val="008A5A57"/>
    <w:rsid w:val="008A5D8E"/>
    <w:rsid w:val="008A613F"/>
    <w:rsid w:val="008A67D3"/>
    <w:rsid w:val="008A68E1"/>
    <w:rsid w:val="008B0560"/>
    <w:rsid w:val="008B193D"/>
    <w:rsid w:val="008B1FDB"/>
    <w:rsid w:val="008B3D9A"/>
    <w:rsid w:val="008B5FD3"/>
    <w:rsid w:val="008B6819"/>
    <w:rsid w:val="008C12C2"/>
    <w:rsid w:val="008C2676"/>
    <w:rsid w:val="008C388D"/>
    <w:rsid w:val="008C5460"/>
    <w:rsid w:val="008C6545"/>
    <w:rsid w:val="008C7013"/>
    <w:rsid w:val="008C764E"/>
    <w:rsid w:val="008C777D"/>
    <w:rsid w:val="008D2B90"/>
    <w:rsid w:val="008D3938"/>
    <w:rsid w:val="008D3FF4"/>
    <w:rsid w:val="008D62DB"/>
    <w:rsid w:val="008D6619"/>
    <w:rsid w:val="008D74F9"/>
    <w:rsid w:val="008E2317"/>
    <w:rsid w:val="008E2B46"/>
    <w:rsid w:val="008E31D3"/>
    <w:rsid w:val="008E4B0D"/>
    <w:rsid w:val="008E57A2"/>
    <w:rsid w:val="008E6B1C"/>
    <w:rsid w:val="008E724B"/>
    <w:rsid w:val="008E74DA"/>
    <w:rsid w:val="008E75F9"/>
    <w:rsid w:val="008E78C8"/>
    <w:rsid w:val="008F0087"/>
    <w:rsid w:val="008F1EB3"/>
    <w:rsid w:val="008F200F"/>
    <w:rsid w:val="008F2E72"/>
    <w:rsid w:val="008F43BD"/>
    <w:rsid w:val="008F4D15"/>
    <w:rsid w:val="008F5047"/>
    <w:rsid w:val="008F5C48"/>
    <w:rsid w:val="008F603E"/>
    <w:rsid w:val="008F60C4"/>
    <w:rsid w:val="008F610B"/>
    <w:rsid w:val="008F6759"/>
    <w:rsid w:val="00901E84"/>
    <w:rsid w:val="009025E3"/>
    <w:rsid w:val="00903E29"/>
    <w:rsid w:val="00904E97"/>
    <w:rsid w:val="00905055"/>
    <w:rsid w:val="0090578B"/>
    <w:rsid w:val="00906129"/>
    <w:rsid w:val="00906CF4"/>
    <w:rsid w:val="00906FD4"/>
    <w:rsid w:val="009102A4"/>
    <w:rsid w:val="00911C79"/>
    <w:rsid w:val="00911CBA"/>
    <w:rsid w:val="0091399A"/>
    <w:rsid w:val="00913C6D"/>
    <w:rsid w:val="00914D55"/>
    <w:rsid w:val="00914DF1"/>
    <w:rsid w:val="00914FC4"/>
    <w:rsid w:val="00915984"/>
    <w:rsid w:val="00915C11"/>
    <w:rsid w:val="00916CD5"/>
    <w:rsid w:val="00921397"/>
    <w:rsid w:val="00921B97"/>
    <w:rsid w:val="00922286"/>
    <w:rsid w:val="0092386E"/>
    <w:rsid w:val="009245CF"/>
    <w:rsid w:val="0092482E"/>
    <w:rsid w:val="00924F5C"/>
    <w:rsid w:val="00925181"/>
    <w:rsid w:val="00927323"/>
    <w:rsid w:val="009276A0"/>
    <w:rsid w:val="00927A66"/>
    <w:rsid w:val="00930579"/>
    <w:rsid w:val="009329A3"/>
    <w:rsid w:val="00932D8F"/>
    <w:rsid w:val="009334CD"/>
    <w:rsid w:val="00933681"/>
    <w:rsid w:val="00933EB6"/>
    <w:rsid w:val="00934F41"/>
    <w:rsid w:val="00935FDD"/>
    <w:rsid w:val="009362E9"/>
    <w:rsid w:val="00936488"/>
    <w:rsid w:val="0093650E"/>
    <w:rsid w:val="00936941"/>
    <w:rsid w:val="00940A68"/>
    <w:rsid w:val="00940C44"/>
    <w:rsid w:val="009412CC"/>
    <w:rsid w:val="00943E26"/>
    <w:rsid w:val="00944721"/>
    <w:rsid w:val="00952893"/>
    <w:rsid w:val="009538EB"/>
    <w:rsid w:val="00957565"/>
    <w:rsid w:val="00960E70"/>
    <w:rsid w:val="00961615"/>
    <w:rsid w:val="00964E73"/>
    <w:rsid w:val="009659C1"/>
    <w:rsid w:val="00965D7C"/>
    <w:rsid w:val="00966FD2"/>
    <w:rsid w:val="00972215"/>
    <w:rsid w:val="00972656"/>
    <w:rsid w:val="00972BA1"/>
    <w:rsid w:val="00974B36"/>
    <w:rsid w:val="00974F73"/>
    <w:rsid w:val="00975809"/>
    <w:rsid w:val="00975B18"/>
    <w:rsid w:val="00977B27"/>
    <w:rsid w:val="009805E3"/>
    <w:rsid w:val="00984AAB"/>
    <w:rsid w:val="009852BC"/>
    <w:rsid w:val="0098612C"/>
    <w:rsid w:val="00990C17"/>
    <w:rsid w:val="0099168F"/>
    <w:rsid w:val="009926A1"/>
    <w:rsid w:val="00993B86"/>
    <w:rsid w:val="00994223"/>
    <w:rsid w:val="0099447F"/>
    <w:rsid w:val="009944D9"/>
    <w:rsid w:val="00995661"/>
    <w:rsid w:val="00996062"/>
    <w:rsid w:val="0099668F"/>
    <w:rsid w:val="00997710"/>
    <w:rsid w:val="009A0BBD"/>
    <w:rsid w:val="009A1872"/>
    <w:rsid w:val="009A7B8D"/>
    <w:rsid w:val="009B1759"/>
    <w:rsid w:val="009B1DD6"/>
    <w:rsid w:val="009B2B6E"/>
    <w:rsid w:val="009B2BC4"/>
    <w:rsid w:val="009B3552"/>
    <w:rsid w:val="009B3ACE"/>
    <w:rsid w:val="009B45CB"/>
    <w:rsid w:val="009B46A4"/>
    <w:rsid w:val="009B5416"/>
    <w:rsid w:val="009B6026"/>
    <w:rsid w:val="009B7C76"/>
    <w:rsid w:val="009C03D3"/>
    <w:rsid w:val="009C0E2A"/>
    <w:rsid w:val="009C2C75"/>
    <w:rsid w:val="009C3770"/>
    <w:rsid w:val="009C3CCB"/>
    <w:rsid w:val="009C67F3"/>
    <w:rsid w:val="009C780B"/>
    <w:rsid w:val="009D1717"/>
    <w:rsid w:val="009D1C0F"/>
    <w:rsid w:val="009D3956"/>
    <w:rsid w:val="009D3E9E"/>
    <w:rsid w:val="009D4178"/>
    <w:rsid w:val="009D4369"/>
    <w:rsid w:val="009D4553"/>
    <w:rsid w:val="009D6E24"/>
    <w:rsid w:val="009E0B82"/>
    <w:rsid w:val="009E1614"/>
    <w:rsid w:val="009E1B57"/>
    <w:rsid w:val="009E243F"/>
    <w:rsid w:val="009E29D1"/>
    <w:rsid w:val="009E393C"/>
    <w:rsid w:val="009E4C39"/>
    <w:rsid w:val="009E5A05"/>
    <w:rsid w:val="009E7A35"/>
    <w:rsid w:val="009F051E"/>
    <w:rsid w:val="009F1AD5"/>
    <w:rsid w:val="009F301F"/>
    <w:rsid w:val="009F306A"/>
    <w:rsid w:val="009F3865"/>
    <w:rsid w:val="009F4BAA"/>
    <w:rsid w:val="009F5005"/>
    <w:rsid w:val="009F516C"/>
    <w:rsid w:val="009F6476"/>
    <w:rsid w:val="009F6C00"/>
    <w:rsid w:val="00A00DDB"/>
    <w:rsid w:val="00A04269"/>
    <w:rsid w:val="00A050DC"/>
    <w:rsid w:val="00A06B75"/>
    <w:rsid w:val="00A06E92"/>
    <w:rsid w:val="00A07B81"/>
    <w:rsid w:val="00A101AF"/>
    <w:rsid w:val="00A10662"/>
    <w:rsid w:val="00A106E0"/>
    <w:rsid w:val="00A11C2C"/>
    <w:rsid w:val="00A13434"/>
    <w:rsid w:val="00A16C1C"/>
    <w:rsid w:val="00A21D64"/>
    <w:rsid w:val="00A21E55"/>
    <w:rsid w:val="00A220E9"/>
    <w:rsid w:val="00A22FB4"/>
    <w:rsid w:val="00A234CC"/>
    <w:rsid w:val="00A240AA"/>
    <w:rsid w:val="00A24227"/>
    <w:rsid w:val="00A24EF0"/>
    <w:rsid w:val="00A26DF5"/>
    <w:rsid w:val="00A337BF"/>
    <w:rsid w:val="00A34B72"/>
    <w:rsid w:val="00A40E27"/>
    <w:rsid w:val="00A413EF"/>
    <w:rsid w:val="00A4169C"/>
    <w:rsid w:val="00A42539"/>
    <w:rsid w:val="00A4426E"/>
    <w:rsid w:val="00A4437D"/>
    <w:rsid w:val="00A445E2"/>
    <w:rsid w:val="00A44D03"/>
    <w:rsid w:val="00A45135"/>
    <w:rsid w:val="00A45524"/>
    <w:rsid w:val="00A45EC7"/>
    <w:rsid w:val="00A46465"/>
    <w:rsid w:val="00A4685D"/>
    <w:rsid w:val="00A46B84"/>
    <w:rsid w:val="00A46FAE"/>
    <w:rsid w:val="00A50203"/>
    <w:rsid w:val="00A51862"/>
    <w:rsid w:val="00A529EF"/>
    <w:rsid w:val="00A52AF4"/>
    <w:rsid w:val="00A52BF8"/>
    <w:rsid w:val="00A52EDD"/>
    <w:rsid w:val="00A533D8"/>
    <w:rsid w:val="00A5381B"/>
    <w:rsid w:val="00A54278"/>
    <w:rsid w:val="00A5449C"/>
    <w:rsid w:val="00A55F72"/>
    <w:rsid w:val="00A5758D"/>
    <w:rsid w:val="00A576DC"/>
    <w:rsid w:val="00A57A11"/>
    <w:rsid w:val="00A57E63"/>
    <w:rsid w:val="00A60907"/>
    <w:rsid w:val="00A63189"/>
    <w:rsid w:val="00A635CB"/>
    <w:rsid w:val="00A652B0"/>
    <w:rsid w:val="00A67C54"/>
    <w:rsid w:val="00A7003E"/>
    <w:rsid w:val="00A705C0"/>
    <w:rsid w:val="00A70CB1"/>
    <w:rsid w:val="00A70F60"/>
    <w:rsid w:val="00A72A51"/>
    <w:rsid w:val="00A72D16"/>
    <w:rsid w:val="00A77B89"/>
    <w:rsid w:val="00A81A56"/>
    <w:rsid w:val="00A81CD5"/>
    <w:rsid w:val="00A81F43"/>
    <w:rsid w:val="00A826D5"/>
    <w:rsid w:val="00A82EAA"/>
    <w:rsid w:val="00A838AB"/>
    <w:rsid w:val="00A83C06"/>
    <w:rsid w:val="00A85120"/>
    <w:rsid w:val="00A85DAC"/>
    <w:rsid w:val="00A865E4"/>
    <w:rsid w:val="00A872CD"/>
    <w:rsid w:val="00A87F1F"/>
    <w:rsid w:val="00A91225"/>
    <w:rsid w:val="00A92949"/>
    <w:rsid w:val="00A929A6"/>
    <w:rsid w:val="00A92CED"/>
    <w:rsid w:val="00A95EF8"/>
    <w:rsid w:val="00A97680"/>
    <w:rsid w:val="00AA54C8"/>
    <w:rsid w:val="00AA5645"/>
    <w:rsid w:val="00AA5824"/>
    <w:rsid w:val="00AA6277"/>
    <w:rsid w:val="00AB04C7"/>
    <w:rsid w:val="00AB1197"/>
    <w:rsid w:val="00AB20A4"/>
    <w:rsid w:val="00AB31BF"/>
    <w:rsid w:val="00AB46FD"/>
    <w:rsid w:val="00AB4EC5"/>
    <w:rsid w:val="00AB68E2"/>
    <w:rsid w:val="00AC1880"/>
    <w:rsid w:val="00AC44D2"/>
    <w:rsid w:val="00AC5EEE"/>
    <w:rsid w:val="00AC6A89"/>
    <w:rsid w:val="00AC7409"/>
    <w:rsid w:val="00AC751E"/>
    <w:rsid w:val="00AC7BDC"/>
    <w:rsid w:val="00AD12E1"/>
    <w:rsid w:val="00AD1319"/>
    <w:rsid w:val="00AD2846"/>
    <w:rsid w:val="00AD299E"/>
    <w:rsid w:val="00AD2B66"/>
    <w:rsid w:val="00AD5297"/>
    <w:rsid w:val="00AD7306"/>
    <w:rsid w:val="00AE09EA"/>
    <w:rsid w:val="00AE13F8"/>
    <w:rsid w:val="00AE434D"/>
    <w:rsid w:val="00AE4394"/>
    <w:rsid w:val="00AE5706"/>
    <w:rsid w:val="00AE6365"/>
    <w:rsid w:val="00AE6DA3"/>
    <w:rsid w:val="00AF00EB"/>
    <w:rsid w:val="00AF0173"/>
    <w:rsid w:val="00AF054B"/>
    <w:rsid w:val="00AF0583"/>
    <w:rsid w:val="00AF3384"/>
    <w:rsid w:val="00AF42B2"/>
    <w:rsid w:val="00AF4D7D"/>
    <w:rsid w:val="00AF5100"/>
    <w:rsid w:val="00AF6B4B"/>
    <w:rsid w:val="00AF6D1C"/>
    <w:rsid w:val="00AF7338"/>
    <w:rsid w:val="00AF76E6"/>
    <w:rsid w:val="00B00A40"/>
    <w:rsid w:val="00B014B5"/>
    <w:rsid w:val="00B02304"/>
    <w:rsid w:val="00B03317"/>
    <w:rsid w:val="00B044ED"/>
    <w:rsid w:val="00B05BF9"/>
    <w:rsid w:val="00B064A1"/>
    <w:rsid w:val="00B105C7"/>
    <w:rsid w:val="00B10EAE"/>
    <w:rsid w:val="00B11BBB"/>
    <w:rsid w:val="00B11C62"/>
    <w:rsid w:val="00B126CB"/>
    <w:rsid w:val="00B16AE8"/>
    <w:rsid w:val="00B21168"/>
    <w:rsid w:val="00B215BE"/>
    <w:rsid w:val="00B21B5A"/>
    <w:rsid w:val="00B24112"/>
    <w:rsid w:val="00B24B8B"/>
    <w:rsid w:val="00B26E86"/>
    <w:rsid w:val="00B26FC6"/>
    <w:rsid w:val="00B27B3F"/>
    <w:rsid w:val="00B27E77"/>
    <w:rsid w:val="00B30D6C"/>
    <w:rsid w:val="00B30DF5"/>
    <w:rsid w:val="00B31CB2"/>
    <w:rsid w:val="00B33781"/>
    <w:rsid w:val="00B34A0C"/>
    <w:rsid w:val="00B3608B"/>
    <w:rsid w:val="00B37955"/>
    <w:rsid w:val="00B37CEF"/>
    <w:rsid w:val="00B412BB"/>
    <w:rsid w:val="00B414FB"/>
    <w:rsid w:val="00B43232"/>
    <w:rsid w:val="00B434E1"/>
    <w:rsid w:val="00B437CE"/>
    <w:rsid w:val="00B44D1A"/>
    <w:rsid w:val="00B45480"/>
    <w:rsid w:val="00B46C7C"/>
    <w:rsid w:val="00B46F33"/>
    <w:rsid w:val="00B47064"/>
    <w:rsid w:val="00B4706A"/>
    <w:rsid w:val="00B471DC"/>
    <w:rsid w:val="00B478C5"/>
    <w:rsid w:val="00B47959"/>
    <w:rsid w:val="00B47A9B"/>
    <w:rsid w:val="00B47FA8"/>
    <w:rsid w:val="00B525E5"/>
    <w:rsid w:val="00B529A8"/>
    <w:rsid w:val="00B52E7D"/>
    <w:rsid w:val="00B535DE"/>
    <w:rsid w:val="00B5450E"/>
    <w:rsid w:val="00B55A95"/>
    <w:rsid w:val="00B56E8D"/>
    <w:rsid w:val="00B572E3"/>
    <w:rsid w:val="00B60D72"/>
    <w:rsid w:val="00B61271"/>
    <w:rsid w:val="00B61F3A"/>
    <w:rsid w:val="00B62D13"/>
    <w:rsid w:val="00B639D7"/>
    <w:rsid w:val="00B64227"/>
    <w:rsid w:val="00B65838"/>
    <w:rsid w:val="00B7131E"/>
    <w:rsid w:val="00B71620"/>
    <w:rsid w:val="00B717E0"/>
    <w:rsid w:val="00B72188"/>
    <w:rsid w:val="00B721A0"/>
    <w:rsid w:val="00B721B2"/>
    <w:rsid w:val="00B729C4"/>
    <w:rsid w:val="00B7418C"/>
    <w:rsid w:val="00B74629"/>
    <w:rsid w:val="00B752CA"/>
    <w:rsid w:val="00B7530B"/>
    <w:rsid w:val="00B75C8F"/>
    <w:rsid w:val="00B76335"/>
    <w:rsid w:val="00B76EE1"/>
    <w:rsid w:val="00B81BA0"/>
    <w:rsid w:val="00B82368"/>
    <w:rsid w:val="00B835EB"/>
    <w:rsid w:val="00B84965"/>
    <w:rsid w:val="00B86399"/>
    <w:rsid w:val="00B87903"/>
    <w:rsid w:val="00B929D9"/>
    <w:rsid w:val="00B93F9B"/>
    <w:rsid w:val="00B94519"/>
    <w:rsid w:val="00B94CF1"/>
    <w:rsid w:val="00B97181"/>
    <w:rsid w:val="00B978CB"/>
    <w:rsid w:val="00B97A02"/>
    <w:rsid w:val="00BA1735"/>
    <w:rsid w:val="00BA242E"/>
    <w:rsid w:val="00BA2C50"/>
    <w:rsid w:val="00BA3624"/>
    <w:rsid w:val="00BA38F6"/>
    <w:rsid w:val="00BA4117"/>
    <w:rsid w:val="00BA5A86"/>
    <w:rsid w:val="00BA7D3D"/>
    <w:rsid w:val="00BB193D"/>
    <w:rsid w:val="00BB2BE0"/>
    <w:rsid w:val="00BB3017"/>
    <w:rsid w:val="00BB3F57"/>
    <w:rsid w:val="00BB513C"/>
    <w:rsid w:val="00BB5BFA"/>
    <w:rsid w:val="00BB5D8D"/>
    <w:rsid w:val="00BB5FC6"/>
    <w:rsid w:val="00BB7A0B"/>
    <w:rsid w:val="00BC01B6"/>
    <w:rsid w:val="00BC14E8"/>
    <w:rsid w:val="00BC2281"/>
    <w:rsid w:val="00BC2E89"/>
    <w:rsid w:val="00BC306F"/>
    <w:rsid w:val="00BC3415"/>
    <w:rsid w:val="00BC35C6"/>
    <w:rsid w:val="00BC35FC"/>
    <w:rsid w:val="00BC5937"/>
    <w:rsid w:val="00BC6196"/>
    <w:rsid w:val="00BC7948"/>
    <w:rsid w:val="00BC79CC"/>
    <w:rsid w:val="00BD00F1"/>
    <w:rsid w:val="00BD0C9E"/>
    <w:rsid w:val="00BD10B1"/>
    <w:rsid w:val="00BD1196"/>
    <w:rsid w:val="00BD244D"/>
    <w:rsid w:val="00BD2B07"/>
    <w:rsid w:val="00BD39A2"/>
    <w:rsid w:val="00BD5B74"/>
    <w:rsid w:val="00BD7361"/>
    <w:rsid w:val="00BE0C13"/>
    <w:rsid w:val="00BE1722"/>
    <w:rsid w:val="00BE2420"/>
    <w:rsid w:val="00BE40C0"/>
    <w:rsid w:val="00BE4E5F"/>
    <w:rsid w:val="00BE5B8E"/>
    <w:rsid w:val="00BE6613"/>
    <w:rsid w:val="00BF4306"/>
    <w:rsid w:val="00BF44D0"/>
    <w:rsid w:val="00BF5D79"/>
    <w:rsid w:val="00BF7854"/>
    <w:rsid w:val="00C01BD2"/>
    <w:rsid w:val="00C02FF2"/>
    <w:rsid w:val="00C0340C"/>
    <w:rsid w:val="00C07C59"/>
    <w:rsid w:val="00C13AEC"/>
    <w:rsid w:val="00C15913"/>
    <w:rsid w:val="00C167DA"/>
    <w:rsid w:val="00C202F1"/>
    <w:rsid w:val="00C20452"/>
    <w:rsid w:val="00C20F64"/>
    <w:rsid w:val="00C21EEF"/>
    <w:rsid w:val="00C21FBE"/>
    <w:rsid w:val="00C2237A"/>
    <w:rsid w:val="00C23006"/>
    <w:rsid w:val="00C232CD"/>
    <w:rsid w:val="00C23F7C"/>
    <w:rsid w:val="00C2513B"/>
    <w:rsid w:val="00C258E3"/>
    <w:rsid w:val="00C26E29"/>
    <w:rsid w:val="00C275CD"/>
    <w:rsid w:val="00C350BF"/>
    <w:rsid w:val="00C364FC"/>
    <w:rsid w:val="00C372E9"/>
    <w:rsid w:val="00C40A09"/>
    <w:rsid w:val="00C4133B"/>
    <w:rsid w:val="00C42F22"/>
    <w:rsid w:val="00C43460"/>
    <w:rsid w:val="00C450A8"/>
    <w:rsid w:val="00C453BF"/>
    <w:rsid w:val="00C45D5F"/>
    <w:rsid w:val="00C45D77"/>
    <w:rsid w:val="00C461EE"/>
    <w:rsid w:val="00C50CF3"/>
    <w:rsid w:val="00C51136"/>
    <w:rsid w:val="00C53221"/>
    <w:rsid w:val="00C536A9"/>
    <w:rsid w:val="00C53842"/>
    <w:rsid w:val="00C55E5A"/>
    <w:rsid w:val="00C57AAE"/>
    <w:rsid w:val="00C60150"/>
    <w:rsid w:val="00C60773"/>
    <w:rsid w:val="00C6083D"/>
    <w:rsid w:val="00C62AEF"/>
    <w:rsid w:val="00C63CDC"/>
    <w:rsid w:val="00C67A58"/>
    <w:rsid w:val="00C71759"/>
    <w:rsid w:val="00C73C70"/>
    <w:rsid w:val="00C742BA"/>
    <w:rsid w:val="00C75714"/>
    <w:rsid w:val="00C76118"/>
    <w:rsid w:val="00C76E34"/>
    <w:rsid w:val="00C77808"/>
    <w:rsid w:val="00C77B6F"/>
    <w:rsid w:val="00C82012"/>
    <w:rsid w:val="00C8207B"/>
    <w:rsid w:val="00C82144"/>
    <w:rsid w:val="00C85428"/>
    <w:rsid w:val="00C86912"/>
    <w:rsid w:val="00C86C3C"/>
    <w:rsid w:val="00C8758D"/>
    <w:rsid w:val="00C87F51"/>
    <w:rsid w:val="00C9167E"/>
    <w:rsid w:val="00C91D86"/>
    <w:rsid w:val="00C92B62"/>
    <w:rsid w:val="00C95A85"/>
    <w:rsid w:val="00C96F75"/>
    <w:rsid w:val="00C97048"/>
    <w:rsid w:val="00CA02A3"/>
    <w:rsid w:val="00CA02CE"/>
    <w:rsid w:val="00CA28E4"/>
    <w:rsid w:val="00CA4B5C"/>
    <w:rsid w:val="00CA5D55"/>
    <w:rsid w:val="00CA63DF"/>
    <w:rsid w:val="00CA7DE9"/>
    <w:rsid w:val="00CB167F"/>
    <w:rsid w:val="00CB1D89"/>
    <w:rsid w:val="00CB2D0A"/>
    <w:rsid w:val="00CB3A34"/>
    <w:rsid w:val="00CC1754"/>
    <w:rsid w:val="00CC19DC"/>
    <w:rsid w:val="00CC2C07"/>
    <w:rsid w:val="00CC2EBE"/>
    <w:rsid w:val="00CC3642"/>
    <w:rsid w:val="00CC37A5"/>
    <w:rsid w:val="00CC3BCD"/>
    <w:rsid w:val="00CC4004"/>
    <w:rsid w:val="00CC4353"/>
    <w:rsid w:val="00CD13BC"/>
    <w:rsid w:val="00CD234A"/>
    <w:rsid w:val="00CD2B79"/>
    <w:rsid w:val="00CD3793"/>
    <w:rsid w:val="00CD43E2"/>
    <w:rsid w:val="00CD47FF"/>
    <w:rsid w:val="00CD4ADD"/>
    <w:rsid w:val="00CD64F9"/>
    <w:rsid w:val="00CD7106"/>
    <w:rsid w:val="00CD7DE2"/>
    <w:rsid w:val="00CE1D40"/>
    <w:rsid w:val="00CE326D"/>
    <w:rsid w:val="00CE44DB"/>
    <w:rsid w:val="00CE4C71"/>
    <w:rsid w:val="00CE5009"/>
    <w:rsid w:val="00CE5E89"/>
    <w:rsid w:val="00CE69A4"/>
    <w:rsid w:val="00CE7215"/>
    <w:rsid w:val="00CE7350"/>
    <w:rsid w:val="00CE7FE3"/>
    <w:rsid w:val="00CF0124"/>
    <w:rsid w:val="00CF0D7C"/>
    <w:rsid w:val="00CF20D4"/>
    <w:rsid w:val="00CF2DA9"/>
    <w:rsid w:val="00CF300F"/>
    <w:rsid w:val="00CF3777"/>
    <w:rsid w:val="00CF38B1"/>
    <w:rsid w:val="00CF40EB"/>
    <w:rsid w:val="00CF6FDA"/>
    <w:rsid w:val="00D01CD9"/>
    <w:rsid w:val="00D02FE2"/>
    <w:rsid w:val="00D04F32"/>
    <w:rsid w:val="00D06315"/>
    <w:rsid w:val="00D064CC"/>
    <w:rsid w:val="00D07D63"/>
    <w:rsid w:val="00D10EF9"/>
    <w:rsid w:val="00D119C2"/>
    <w:rsid w:val="00D11E57"/>
    <w:rsid w:val="00D12238"/>
    <w:rsid w:val="00D12938"/>
    <w:rsid w:val="00D13407"/>
    <w:rsid w:val="00D13AC8"/>
    <w:rsid w:val="00D13DFD"/>
    <w:rsid w:val="00D154DD"/>
    <w:rsid w:val="00D16341"/>
    <w:rsid w:val="00D16B1E"/>
    <w:rsid w:val="00D177A3"/>
    <w:rsid w:val="00D215C2"/>
    <w:rsid w:val="00D22263"/>
    <w:rsid w:val="00D2243D"/>
    <w:rsid w:val="00D227F8"/>
    <w:rsid w:val="00D228C7"/>
    <w:rsid w:val="00D23DE3"/>
    <w:rsid w:val="00D257CC"/>
    <w:rsid w:val="00D26683"/>
    <w:rsid w:val="00D26879"/>
    <w:rsid w:val="00D2732E"/>
    <w:rsid w:val="00D27FDA"/>
    <w:rsid w:val="00D304B0"/>
    <w:rsid w:val="00D30714"/>
    <w:rsid w:val="00D31D9F"/>
    <w:rsid w:val="00D323A2"/>
    <w:rsid w:val="00D335FE"/>
    <w:rsid w:val="00D34093"/>
    <w:rsid w:val="00D3450B"/>
    <w:rsid w:val="00D34D2E"/>
    <w:rsid w:val="00D3566E"/>
    <w:rsid w:val="00D35798"/>
    <w:rsid w:val="00D37718"/>
    <w:rsid w:val="00D40B2C"/>
    <w:rsid w:val="00D40D62"/>
    <w:rsid w:val="00D417A4"/>
    <w:rsid w:val="00D41870"/>
    <w:rsid w:val="00D42002"/>
    <w:rsid w:val="00D442A8"/>
    <w:rsid w:val="00D4799C"/>
    <w:rsid w:val="00D47E81"/>
    <w:rsid w:val="00D47FCB"/>
    <w:rsid w:val="00D521F1"/>
    <w:rsid w:val="00D52935"/>
    <w:rsid w:val="00D54ADB"/>
    <w:rsid w:val="00D54C84"/>
    <w:rsid w:val="00D54FBF"/>
    <w:rsid w:val="00D57DC7"/>
    <w:rsid w:val="00D61365"/>
    <w:rsid w:val="00D625C8"/>
    <w:rsid w:val="00D63DE8"/>
    <w:rsid w:val="00D6508B"/>
    <w:rsid w:val="00D65216"/>
    <w:rsid w:val="00D654F6"/>
    <w:rsid w:val="00D65F31"/>
    <w:rsid w:val="00D66111"/>
    <w:rsid w:val="00D71C07"/>
    <w:rsid w:val="00D74281"/>
    <w:rsid w:val="00D74AAF"/>
    <w:rsid w:val="00D74AD6"/>
    <w:rsid w:val="00D754CE"/>
    <w:rsid w:val="00D75B86"/>
    <w:rsid w:val="00D77B55"/>
    <w:rsid w:val="00D80A89"/>
    <w:rsid w:val="00D81880"/>
    <w:rsid w:val="00D8194A"/>
    <w:rsid w:val="00D82620"/>
    <w:rsid w:val="00D82796"/>
    <w:rsid w:val="00D82E0F"/>
    <w:rsid w:val="00D838AE"/>
    <w:rsid w:val="00D85B92"/>
    <w:rsid w:val="00D870F4"/>
    <w:rsid w:val="00D900B4"/>
    <w:rsid w:val="00D9041D"/>
    <w:rsid w:val="00D9309F"/>
    <w:rsid w:val="00D95739"/>
    <w:rsid w:val="00D9628F"/>
    <w:rsid w:val="00D9674E"/>
    <w:rsid w:val="00DA1BA0"/>
    <w:rsid w:val="00DA57BE"/>
    <w:rsid w:val="00DA7FAC"/>
    <w:rsid w:val="00DB143F"/>
    <w:rsid w:val="00DB17B3"/>
    <w:rsid w:val="00DB2A44"/>
    <w:rsid w:val="00DB3F1E"/>
    <w:rsid w:val="00DB45E4"/>
    <w:rsid w:val="00DB59AA"/>
    <w:rsid w:val="00DB7CA4"/>
    <w:rsid w:val="00DC2D50"/>
    <w:rsid w:val="00DC3023"/>
    <w:rsid w:val="00DC33ED"/>
    <w:rsid w:val="00DC56AD"/>
    <w:rsid w:val="00DD04F1"/>
    <w:rsid w:val="00DD39A4"/>
    <w:rsid w:val="00DD5167"/>
    <w:rsid w:val="00DD5505"/>
    <w:rsid w:val="00DD6949"/>
    <w:rsid w:val="00DD6C4F"/>
    <w:rsid w:val="00DD76DF"/>
    <w:rsid w:val="00DE090F"/>
    <w:rsid w:val="00DE10E4"/>
    <w:rsid w:val="00DE1476"/>
    <w:rsid w:val="00DE2846"/>
    <w:rsid w:val="00DE3601"/>
    <w:rsid w:val="00DE455D"/>
    <w:rsid w:val="00DE4B6F"/>
    <w:rsid w:val="00DE5C9D"/>
    <w:rsid w:val="00DE6DF0"/>
    <w:rsid w:val="00DE7300"/>
    <w:rsid w:val="00DE7E8F"/>
    <w:rsid w:val="00DF2B83"/>
    <w:rsid w:val="00DF3753"/>
    <w:rsid w:val="00DF3928"/>
    <w:rsid w:val="00DF3C43"/>
    <w:rsid w:val="00DF4006"/>
    <w:rsid w:val="00DF4031"/>
    <w:rsid w:val="00DF48AC"/>
    <w:rsid w:val="00DF6DD4"/>
    <w:rsid w:val="00DF739A"/>
    <w:rsid w:val="00DF7BBF"/>
    <w:rsid w:val="00E0000B"/>
    <w:rsid w:val="00E0206F"/>
    <w:rsid w:val="00E02128"/>
    <w:rsid w:val="00E037FF"/>
    <w:rsid w:val="00E05B2F"/>
    <w:rsid w:val="00E06458"/>
    <w:rsid w:val="00E0756F"/>
    <w:rsid w:val="00E100EA"/>
    <w:rsid w:val="00E113F2"/>
    <w:rsid w:val="00E126D9"/>
    <w:rsid w:val="00E12D32"/>
    <w:rsid w:val="00E13235"/>
    <w:rsid w:val="00E134F8"/>
    <w:rsid w:val="00E14FE2"/>
    <w:rsid w:val="00E159EB"/>
    <w:rsid w:val="00E15B99"/>
    <w:rsid w:val="00E16E4A"/>
    <w:rsid w:val="00E1739F"/>
    <w:rsid w:val="00E179AA"/>
    <w:rsid w:val="00E2066C"/>
    <w:rsid w:val="00E21DF9"/>
    <w:rsid w:val="00E235E9"/>
    <w:rsid w:val="00E23A16"/>
    <w:rsid w:val="00E25304"/>
    <w:rsid w:val="00E3022C"/>
    <w:rsid w:val="00E302E9"/>
    <w:rsid w:val="00E32C3C"/>
    <w:rsid w:val="00E34094"/>
    <w:rsid w:val="00E36705"/>
    <w:rsid w:val="00E36ABB"/>
    <w:rsid w:val="00E3707E"/>
    <w:rsid w:val="00E3789E"/>
    <w:rsid w:val="00E43210"/>
    <w:rsid w:val="00E4428D"/>
    <w:rsid w:val="00E442BB"/>
    <w:rsid w:val="00E45D59"/>
    <w:rsid w:val="00E45E88"/>
    <w:rsid w:val="00E46CB9"/>
    <w:rsid w:val="00E47F40"/>
    <w:rsid w:val="00E50A1C"/>
    <w:rsid w:val="00E52525"/>
    <w:rsid w:val="00E52BAE"/>
    <w:rsid w:val="00E52CA8"/>
    <w:rsid w:val="00E54759"/>
    <w:rsid w:val="00E5618C"/>
    <w:rsid w:val="00E56AF0"/>
    <w:rsid w:val="00E6052D"/>
    <w:rsid w:val="00E60C46"/>
    <w:rsid w:val="00E6144A"/>
    <w:rsid w:val="00E61B64"/>
    <w:rsid w:val="00E61DFE"/>
    <w:rsid w:val="00E6288F"/>
    <w:rsid w:val="00E62F91"/>
    <w:rsid w:val="00E64AC0"/>
    <w:rsid w:val="00E65CC0"/>
    <w:rsid w:val="00E66AAF"/>
    <w:rsid w:val="00E67726"/>
    <w:rsid w:val="00E67A01"/>
    <w:rsid w:val="00E67E9C"/>
    <w:rsid w:val="00E70D9C"/>
    <w:rsid w:val="00E713EE"/>
    <w:rsid w:val="00E72154"/>
    <w:rsid w:val="00E72FB5"/>
    <w:rsid w:val="00E758EC"/>
    <w:rsid w:val="00E76AEE"/>
    <w:rsid w:val="00E77949"/>
    <w:rsid w:val="00E77A4D"/>
    <w:rsid w:val="00E802A0"/>
    <w:rsid w:val="00E81D87"/>
    <w:rsid w:val="00E85A44"/>
    <w:rsid w:val="00E86965"/>
    <w:rsid w:val="00E87BB8"/>
    <w:rsid w:val="00E901BF"/>
    <w:rsid w:val="00E90458"/>
    <w:rsid w:val="00E939DA"/>
    <w:rsid w:val="00E93A9F"/>
    <w:rsid w:val="00E9498F"/>
    <w:rsid w:val="00E94A8B"/>
    <w:rsid w:val="00E9695B"/>
    <w:rsid w:val="00E97203"/>
    <w:rsid w:val="00EA014D"/>
    <w:rsid w:val="00EA12AC"/>
    <w:rsid w:val="00EA15AE"/>
    <w:rsid w:val="00EA184C"/>
    <w:rsid w:val="00EA1EB6"/>
    <w:rsid w:val="00EA208C"/>
    <w:rsid w:val="00EA299A"/>
    <w:rsid w:val="00EA32F0"/>
    <w:rsid w:val="00EA3377"/>
    <w:rsid w:val="00EA39C0"/>
    <w:rsid w:val="00EA70F4"/>
    <w:rsid w:val="00EB2187"/>
    <w:rsid w:val="00EB2B85"/>
    <w:rsid w:val="00EB2EAC"/>
    <w:rsid w:val="00EB32FA"/>
    <w:rsid w:val="00EB3309"/>
    <w:rsid w:val="00EB4630"/>
    <w:rsid w:val="00EB507B"/>
    <w:rsid w:val="00EB5910"/>
    <w:rsid w:val="00EC0DA8"/>
    <w:rsid w:val="00EC164C"/>
    <w:rsid w:val="00EC1738"/>
    <w:rsid w:val="00EC3626"/>
    <w:rsid w:val="00EC3A04"/>
    <w:rsid w:val="00EC49C2"/>
    <w:rsid w:val="00EC4EC3"/>
    <w:rsid w:val="00EC5CE9"/>
    <w:rsid w:val="00EC5FF2"/>
    <w:rsid w:val="00EC612B"/>
    <w:rsid w:val="00EC66C9"/>
    <w:rsid w:val="00EC760F"/>
    <w:rsid w:val="00EC7900"/>
    <w:rsid w:val="00ED0FF7"/>
    <w:rsid w:val="00ED319D"/>
    <w:rsid w:val="00ED3444"/>
    <w:rsid w:val="00ED41E8"/>
    <w:rsid w:val="00ED4648"/>
    <w:rsid w:val="00ED4E29"/>
    <w:rsid w:val="00ED57EE"/>
    <w:rsid w:val="00ED6DF5"/>
    <w:rsid w:val="00EE0862"/>
    <w:rsid w:val="00EE0D9F"/>
    <w:rsid w:val="00EE1BCA"/>
    <w:rsid w:val="00EE1BCC"/>
    <w:rsid w:val="00EE23E2"/>
    <w:rsid w:val="00EE2A64"/>
    <w:rsid w:val="00EE366F"/>
    <w:rsid w:val="00EE4240"/>
    <w:rsid w:val="00EE5429"/>
    <w:rsid w:val="00EE5508"/>
    <w:rsid w:val="00EF0744"/>
    <w:rsid w:val="00EF0FC1"/>
    <w:rsid w:val="00EF2456"/>
    <w:rsid w:val="00EF2A80"/>
    <w:rsid w:val="00EF5FE7"/>
    <w:rsid w:val="00EF6706"/>
    <w:rsid w:val="00EF7CA8"/>
    <w:rsid w:val="00EF7D51"/>
    <w:rsid w:val="00EF7FCA"/>
    <w:rsid w:val="00F00519"/>
    <w:rsid w:val="00F007FB"/>
    <w:rsid w:val="00F022EE"/>
    <w:rsid w:val="00F05157"/>
    <w:rsid w:val="00F0670D"/>
    <w:rsid w:val="00F07354"/>
    <w:rsid w:val="00F0791A"/>
    <w:rsid w:val="00F07943"/>
    <w:rsid w:val="00F07A7D"/>
    <w:rsid w:val="00F10F6E"/>
    <w:rsid w:val="00F11C3F"/>
    <w:rsid w:val="00F13777"/>
    <w:rsid w:val="00F139A5"/>
    <w:rsid w:val="00F13CE7"/>
    <w:rsid w:val="00F141A8"/>
    <w:rsid w:val="00F147F1"/>
    <w:rsid w:val="00F1615E"/>
    <w:rsid w:val="00F16546"/>
    <w:rsid w:val="00F16887"/>
    <w:rsid w:val="00F173ED"/>
    <w:rsid w:val="00F1766F"/>
    <w:rsid w:val="00F239C8"/>
    <w:rsid w:val="00F247D1"/>
    <w:rsid w:val="00F24B97"/>
    <w:rsid w:val="00F25B69"/>
    <w:rsid w:val="00F262B0"/>
    <w:rsid w:val="00F2773F"/>
    <w:rsid w:val="00F27B6D"/>
    <w:rsid w:val="00F27ECF"/>
    <w:rsid w:val="00F31EE4"/>
    <w:rsid w:val="00F31F7A"/>
    <w:rsid w:val="00F32BD2"/>
    <w:rsid w:val="00F335B2"/>
    <w:rsid w:val="00F347A0"/>
    <w:rsid w:val="00F34AD0"/>
    <w:rsid w:val="00F354F3"/>
    <w:rsid w:val="00F3570F"/>
    <w:rsid w:val="00F3651B"/>
    <w:rsid w:val="00F37109"/>
    <w:rsid w:val="00F37BB2"/>
    <w:rsid w:val="00F403BC"/>
    <w:rsid w:val="00F4152F"/>
    <w:rsid w:val="00F42472"/>
    <w:rsid w:val="00F436D5"/>
    <w:rsid w:val="00F4393C"/>
    <w:rsid w:val="00F43AA9"/>
    <w:rsid w:val="00F441C6"/>
    <w:rsid w:val="00F44899"/>
    <w:rsid w:val="00F44A99"/>
    <w:rsid w:val="00F4588E"/>
    <w:rsid w:val="00F46599"/>
    <w:rsid w:val="00F4696E"/>
    <w:rsid w:val="00F46E68"/>
    <w:rsid w:val="00F472F1"/>
    <w:rsid w:val="00F47A5D"/>
    <w:rsid w:val="00F50203"/>
    <w:rsid w:val="00F51F3A"/>
    <w:rsid w:val="00F52007"/>
    <w:rsid w:val="00F52C1B"/>
    <w:rsid w:val="00F52E5F"/>
    <w:rsid w:val="00F53488"/>
    <w:rsid w:val="00F53506"/>
    <w:rsid w:val="00F53954"/>
    <w:rsid w:val="00F541F2"/>
    <w:rsid w:val="00F54558"/>
    <w:rsid w:val="00F54ADC"/>
    <w:rsid w:val="00F55F15"/>
    <w:rsid w:val="00F56701"/>
    <w:rsid w:val="00F56CAC"/>
    <w:rsid w:val="00F5782E"/>
    <w:rsid w:val="00F57C13"/>
    <w:rsid w:val="00F609E1"/>
    <w:rsid w:val="00F62035"/>
    <w:rsid w:val="00F63438"/>
    <w:rsid w:val="00F63664"/>
    <w:rsid w:val="00F6394D"/>
    <w:rsid w:val="00F65032"/>
    <w:rsid w:val="00F66865"/>
    <w:rsid w:val="00F67422"/>
    <w:rsid w:val="00F700EE"/>
    <w:rsid w:val="00F70D3B"/>
    <w:rsid w:val="00F71460"/>
    <w:rsid w:val="00F7159E"/>
    <w:rsid w:val="00F71D95"/>
    <w:rsid w:val="00F7267A"/>
    <w:rsid w:val="00F7418C"/>
    <w:rsid w:val="00F74D9F"/>
    <w:rsid w:val="00F757C8"/>
    <w:rsid w:val="00F75C1D"/>
    <w:rsid w:val="00F76260"/>
    <w:rsid w:val="00F76771"/>
    <w:rsid w:val="00F80614"/>
    <w:rsid w:val="00F81E32"/>
    <w:rsid w:val="00F83A61"/>
    <w:rsid w:val="00F8424C"/>
    <w:rsid w:val="00F86ED8"/>
    <w:rsid w:val="00F8736A"/>
    <w:rsid w:val="00F87F6A"/>
    <w:rsid w:val="00F904FB"/>
    <w:rsid w:val="00F9123A"/>
    <w:rsid w:val="00F92578"/>
    <w:rsid w:val="00F944FF"/>
    <w:rsid w:val="00F950C0"/>
    <w:rsid w:val="00FA0126"/>
    <w:rsid w:val="00FA1258"/>
    <w:rsid w:val="00FA1C0B"/>
    <w:rsid w:val="00FA3A66"/>
    <w:rsid w:val="00FA3F41"/>
    <w:rsid w:val="00FA4A7F"/>
    <w:rsid w:val="00FA4B02"/>
    <w:rsid w:val="00FA51A1"/>
    <w:rsid w:val="00FA56DA"/>
    <w:rsid w:val="00FB044F"/>
    <w:rsid w:val="00FB15FF"/>
    <w:rsid w:val="00FB2698"/>
    <w:rsid w:val="00FB32CE"/>
    <w:rsid w:val="00FB38B5"/>
    <w:rsid w:val="00FB3B9B"/>
    <w:rsid w:val="00FB5A9C"/>
    <w:rsid w:val="00FB62AF"/>
    <w:rsid w:val="00FB71B2"/>
    <w:rsid w:val="00FB736A"/>
    <w:rsid w:val="00FB7A63"/>
    <w:rsid w:val="00FC1DD4"/>
    <w:rsid w:val="00FC21CC"/>
    <w:rsid w:val="00FC4119"/>
    <w:rsid w:val="00FC438E"/>
    <w:rsid w:val="00FC44CC"/>
    <w:rsid w:val="00FC5A69"/>
    <w:rsid w:val="00FC6679"/>
    <w:rsid w:val="00FC68B2"/>
    <w:rsid w:val="00FC6FEA"/>
    <w:rsid w:val="00FC733F"/>
    <w:rsid w:val="00FD1B7E"/>
    <w:rsid w:val="00FD1D0C"/>
    <w:rsid w:val="00FD2070"/>
    <w:rsid w:val="00FD2606"/>
    <w:rsid w:val="00FD415D"/>
    <w:rsid w:val="00FD4FA4"/>
    <w:rsid w:val="00FE110C"/>
    <w:rsid w:val="00FE13C9"/>
    <w:rsid w:val="00FE19D3"/>
    <w:rsid w:val="00FE211E"/>
    <w:rsid w:val="00FE236D"/>
    <w:rsid w:val="00FE2392"/>
    <w:rsid w:val="00FE564A"/>
    <w:rsid w:val="00FE582B"/>
    <w:rsid w:val="00FE5EC1"/>
    <w:rsid w:val="00FE5FE8"/>
    <w:rsid w:val="00FE7135"/>
    <w:rsid w:val="00FF203F"/>
    <w:rsid w:val="00FF227C"/>
    <w:rsid w:val="00FF300D"/>
    <w:rsid w:val="00FF422F"/>
    <w:rsid w:val="00FF5EFF"/>
    <w:rsid w:val="00FF61B1"/>
    <w:rsid w:val="00FF630F"/>
    <w:rsid w:val="00FF6557"/>
    <w:rsid w:val="00FF791F"/>
    <w:rsid w:val="01087556"/>
    <w:rsid w:val="0109037E"/>
    <w:rsid w:val="010F6429"/>
    <w:rsid w:val="01122841"/>
    <w:rsid w:val="01292EFC"/>
    <w:rsid w:val="01372AAD"/>
    <w:rsid w:val="014C1A33"/>
    <w:rsid w:val="014D176D"/>
    <w:rsid w:val="0151538F"/>
    <w:rsid w:val="017C1EB3"/>
    <w:rsid w:val="01841F72"/>
    <w:rsid w:val="01967CC8"/>
    <w:rsid w:val="01A966E6"/>
    <w:rsid w:val="020E14CD"/>
    <w:rsid w:val="0232201F"/>
    <w:rsid w:val="027227C1"/>
    <w:rsid w:val="028012E9"/>
    <w:rsid w:val="028D72E5"/>
    <w:rsid w:val="029A189B"/>
    <w:rsid w:val="02EF44BC"/>
    <w:rsid w:val="02F5480C"/>
    <w:rsid w:val="031674B9"/>
    <w:rsid w:val="03183E2B"/>
    <w:rsid w:val="03201D0D"/>
    <w:rsid w:val="0320532E"/>
    <w:rsid w:val="033D1869"/>
    <w:rsid w:val="03516049"/>
    <w:rsid w:val="038A5D8D"/>
    <w:rsid w:val="039F48C4"/>
    <w:rsid w:val="03AD755A"/>
    <w:rsid w:val="03CB394D"/>
    <w:rsid w:val="03D432D5"/>
    <w:rsid w:val="03E40B22"/>
    <w:rsid w:val="03F603EB"/>
    <w:rsid w:val="03FE230B"/>
    <w:rsid w:val="04022AD6"/>
    <w:rsid w:val="04296E72"/>
    <w:rsid w:val="04392F50"/>
    <w:rsid w:val="04671BC2"/>
    <w:rsid w:val="048538B9"/>
    <w:rsid w:val="04AD0C71"/>
    <w:rsid w:val="04B81DFB"/>
    <w:rsid w:val="04BA5687"/>
    <w:rsid w:val="04CB5985"/>
    <w:rsid w:val="04E93666"/>
    <w:rsid w:val="04EB10AB"/>
    <w:rsid w:val="05141833"/>
    <w:rsid w:val="051C73D2"/>
    <w:rsid w:val="0527512F"/>
    <w:rsid w:val="056B4D6E"/>
    <w:rsid w:val="05770C61"/>
    <w:rsid w:val="05965E7C"/>
    <w:rsid w:val="05A5080F"/>
    <w:rsid w:val="05C91D22"/>
    <w:rsid w:val="05FA12DB"/>
    <w:rsid w:val="05FC3DE8"/>
    <w:rsid w:val="061C691F"/>
    <w:rsid w:val="063B02E9"/>
    <w:rsid w:val="066151F6"/>
    <w:rsid w:val="0661522B"/>
    <w:rsid w:val="069B583F"/>
    <w:rsid w:val="06B72B94"/>
    <w:rsid w:val="06C24F6C"/>
    <w:rsid w:val="06C73C44"/>
    <w:rsid w:val="06D501D7"/>
    <w:rsid w:val="06F4703C"/>
    <w:rsid w:val="070009A3"/>
    <w:rsid w:val="070D322A"/>
    <w:rsid w:val="07296B35"/>
    <w:rsid w:val="073D388B"/>
    <w:rsid w:val="074505B7"/>
    <w:rsid w:val="0767654D"/>
    <w:rsid w:val="077432EA"/>
    <w:rsid w:val="07750541"/>
    <w:rsid w:val="0782179E"/>
    <w:rsid w:val="07835567"/>
    <w:rsid w:val="0795143D"/>
    <w:rsid w:val="08200CF9"/>
    <w:rsid w:val="082D09A9"/>
    <w:rsid w:val="083E0ABB"/>
    <w:rsid w:val="083E7598"/>
    <w:rsid w:val="084748DC"/>
    <w:rsid w:val="085F4925"/>
    <w:rsid w:val="086A141C"/>
    <w:rsid w:val="08751E7C"/>
    <w:rsid w:val="08B46EA0"/>
    <w:rsid w:val="08DF178E"/>
    <w:rsid w:val="090E4E17"/>
    <w:rsid w:val="091C6DAB"/>
    <w:rsid w:val="09210336"/>
    <w:rsid w:val="0946487B"/>
    <w:rsid w:val="09540D40"/>
    <w:rsid w:val="095D777E"/>
    <w:rsid w:val="09966F66"/>
    <w:rsid w:val="09A3021D"/>
    <w:rsid w:val="09B31BB3"/>
    <w:rsid w:val="09B35A9A"/>
    <w:rsid w:val="09BD708A"/>
    <w:rsid w:val="09DB2E9B"/>
    <w:rsid w:val="09E97011"/>
    <w:rsid w:val="09FE0506"/>
    <w:rsid w:val="0A046CF4"/>
    <w:rsid w:val="0A0E5806"/>
    <w:rsid w:val="0A132400"/>
    <w:rsid w:val="0A1F2CE6"/>
    <w:rsid w:val="0A2B511A"/>
    <w:rsid w:val="0A483964"/>
    <w:rsid w:val="0A5D11D3"/>
    <w:rsid w:val="0A787DF6"/>
    <w:rsid w:val="0A8A1E0D"/>
    <w:rsid w:val="0A95756A"/>
    <w:rsid w:val="0ABD1936"/>
    <w:rsid w:val="0AD824B3"/>
    <w:rsid w:val="0B0D7E16"/>
    <w:rsid w:val="0B1856C2"/>
    <w:rsid w:val="0B2379DE"/>
    <w:rsid w:val="0B415FE0"/>
    <w:rsid w:val="0B4C0A1A"/>
    <w:rsid w:val="0B5803B3"/>
    <w:rsid w:val="0B61626A"/>
    <w:rsid w:val="0B6A66CB"/>
    <w:rsid w:val="0B746E55"/>
    <w:rsid w:val="0B765AFB"/>
    <w:rsid w:val="0B902D82"/>
    <w:rsid w:val="0B9C3F12"/>
    <w:rsid w:val="0BCF4A8A"/>
    <w:rsid w:val="0BE465E5"/>
    <w:rsid w:val="0BE53B96"/>
    <w:rsid w:val="0BF208AE"/>
    <w:rsid w:val="0BF42CF1"/>
    <w:rsid w:val="0C0B00A0"/>
    <w:rsid w:val="0C197A95"/>
    <w:rsid w:val="0C1D274C"/>
    <w:rsid w:val="0C224603"/>
    <w:rsid w:val="0C2A5D93"/>
    <w:rsid w:val="0C2F11CB"/>
    <w:rsid w:val="0C2F1217"/>
    <w:rsid w:val="0C38284D"/>
    <w:rsid w:val="0C3A5FD2"/>
    <w:rsid w:val="0C487457"/>
    <w:rsid w:val="0C4D3E72"/>
    <w:rsid w:val="0C645AAC"/>
    <w:rsid w:val="0C6A3679"/>
    <w:rsid w:val="0C7050B3"/>
    <w:rsid w:val="0C851CB5"/>
    <w:rsid w:val="0C9A2CF1"/>
    <w:rsid w:val="0C9B6ED1"/>
    <w:rsid w:val="0CAC6509"/>
    <w:rsid w:val="0CD01EDD"/>
    <w:rsid w:val="0CEB76FF"/>
    <w:rsid w:val="0D1D4386"/>
    <w:rsid w:val="0D2E461D"/>
    <w:rsid w:val="0D704B34"/>
    <w:rsid w:val="0D786D8F"/>
    <w:rsid w:val="0DA27C4E"/>
    <w:rsid w:val="0DBE2BA7"/>
    <w:rsid w:val="0DBF025A"/>
    <w:rsid w:val="0DCB58E0"/>
    <w:rsid w:val="0DCF729B"/>
    <w:rsid w:val="0DD064E4"/>
    <w:rsid w:val="0DE25E6F"/>
    <w:rsid w:val="0DE8285D"/>
    <w:rsid w:val="0DF21802"/>
    <w:rsid w:val="0DFB3725"/>
    <w:rsid w:val="0E0F0252"/>
    <w:rsid w:val="0E20305B"/>
    <w:rsid w:val="0E274328"/>
    <w:rsid w:val="0E2C1552"/>
    <w:rsid w:val="0E4207F3"/>
    <w:rsid w:val="0E8419C8"/>
    <w:rsid w:val="0E8C1E8F"/>
    <w:rsid w:val="0E8C6008"/>
    <w:rsid w:val="0E95061B"/>
    <w:rsid w:val="0EE57D2C"/>
    <w:rsid w:val="0EE85D11"/>
    <w:rsid w:val="0F1A061C"/>
    <w:rsid w:val="0F6727A4"/>
    <w:rsid w:val="0F697CBD"/>
    <w:rsid w:val="0F6D0443"/>
    <w:rsid w:val="0F7108B9"/>
    <w:rsid w:val="0F86559E"/>
    <w:rsid w:val="0FA93E85"/>
    <w:rsid w:val="0FCC16E6"/>
    <w:rsid w:val="0FD11B25"/>
    <w:rsid w:val="0FDF5BBA"/>
    <w:rsid w:val="101E262F"/>
    <w:rsid w:val="1024146E"/>
    <w:rsid w:val="10464063"/>
    <w:rsid w:val="1077789D"/>
    <w:rsid w:val="10793963"/>
    <w:rsid w:val="10867DC4"/>
    <w:rsid w:val="10875409"/>
    <w:rsid w:val="108A73BD"/>
    <w:rsid w:val="10937CC8"/>
    <w:rsid w:val="10A35287"/>
    <w:rsid w:val="10B72953"/>
    <w:rsid w:val="112D30F4"/>
    <w:rsid w:val="113F0351"/>
    <w:rsid w:val="11545CE7"/>
    <w:rsid w:val="115D4206"/>
    <w:rsid w:val="117102D3"/>
    <w:rsid w:val="1174474D"/>
    <w:rsid w:val="11805B89"/>
    <w:rsid w:val="118846A4"/>
    <w:rsid w:val="11981571"/>
    <w:rsid w:val="11B70474"/>
    <w:rsid w:val="11D52C07"/>
    <w:rsid w:val="11EF39AC"/>
    <w:rsid w:val="120D1DC8"/>
    <w:rsid w:val="12117D95"/>
    <w:rsid w:val="12376BBF"/>
    <w:rsid w:val="126A132C"/>
    <w:rsid w:val="126E4B28"/>
    <w:rsid w:val="12786B8E"/>
    <w:rsid w:val="127A10E4"/>
    <w:rsid w:val="12855BDD"/>
    <w:rsid w:val="12A12202"/>
    <w:rsid w:val="12C4205A"/>
    <w:rsid w:val="12CC3B52"/>
    <w:rsid w:val="12D036D9"/>
    <w:rsid w:val="12E51FA6"/>
    <w:rsid w:val="12F10061"/>
    <w:rsid w:val="1302731F"/>
    <w:rsid w:val="132B6E30"/>
    <w:rsid w:val="13356091"/>
    <w:rsid w:val="133B2CD0"/>
    <w:rsid w:val="133B44B6"/>
    <w:rsid w:val="13471DEB"/>
    <w:rsid w:val="13587E65"/>
    <w:rsid w:val="136209B5"/>
    <w:rsid w:val="137B6935"/>
    <w:rsid w:val="13802CCE"/>
    <w:rsid w:val="13EF0A4A"/>
    <w:rsid w:val="1405446F"/>
    <w:rsid w:val="140C5E3B"/>
    <w:rsid w:val="14186A41"/>
    <w:rsid w:val="14336A14"/>
    <w:rsid w:val="1465452C"/>
    <w:rsid w:val="146B7497"/>
    <w:rsid w:val="148378C1"/>
    <w:rsid w:val="148E192A"/>
    <w:rsid w:val="14917CFE"/>
    <w:rsid w:val="14AA4066"/>
    <w:rsid w:val="14B82E50"/>
    <w:rsid w:val="14BF5E31"/>
    <w:rsid w:val="14D9103E"/>
    <w:rsid w:val="14DE0B0A"/>
    <w:rsid w:val="14E54722"/>
    <w:rsid w:val="14EF58A2"/>
    <w:rsid w:val="14F00272"/>
    <w:rsid w:val="14F2514F"/>
    <w:rsid w:val="150D3555"/>
    <w:rsid w:val="15150BD5"/>
    <w:rsid w:val="15181D83"/>
    <w:rsid w:val="151D3046"/>
    <w:rsid w:val="151F1961"/>
    <w:rsid w:val="15202785"/>
    <w:rsid w:val="15356379"/>
    <w:rsid w:val="155E5BF2"/>
    <w:rsid w:val="157054AD"/>
    <w:rsid w:val="157E2B7B"/>
    <w:rsid w:val="15912175"/>
    <w:rsid w:val="15A970A2"/>
    <w:rsid w:val="15B16F26"/>
    <w:rsid w:val="15B74F6D"/>
    <w:rsid w:val="15D85D3D"/>
    <w:rsid w:val="15EB67DE"/>
    <w:rsid w:val="15ED3377"/>
    <w:rsid w:val="15F67C5E"/>
    <w:rsid w:val="1608176F"/>
    <w:rsid w:val="161855D9"/>
    <w:rsid w:val="16302154"/>
    <w:rsid w:val="164B5239"/>
    <w:rsid w:val="164F0390"/>
    <w:rsid w:val="165E4B4E"/>
    <w:rsid w:val="16704E04"/>
    <w:rsid w:val="16796C3B"/>
    <w:rsid w:val="168F45A5"/>
    <w:rsid w:val="16B029EF"/>
    <w:rsid w:val="16B170E5"/>
    <w:rsid w:val="16C41DBE"/>
    <w:rsid w:val="16E55A99"/>
    <w:rsid w:val="17235910"/>
    <w:rsid w:val="172A3096"/>
    <w:rsid w:val="174A72AC"/>
    <w:rsid w:val="175875CB"/>
    <w:rsid w:val="178C6A30"/>
    <w:rsid w:val="179956A1"/>
    <w:rsid w:val="17B0466A"/>
    <w:rsid w:val="17B46532"/>
    <w:rsid w:val="17B575FC"/>
    <w:rsid w:val="17B8452A"/>
    <w:rsid w:val="17BA063C"/>
    <w:rsid w:val="17C37280"/>
    <w:rsid w:val="17CA493D"/>
    <w:rsid w:val="17CC4878"/>
    <w:rsid w:val="17DE26E7"/>
    <w:rsid w:val="17E134B5"/>
    <w:rsid w:val="17FD2F0B"/>
    <w:rsid w:val="180903BE"/>
    <w:rsid w:val="181210E4"/>
    <w:rsid w:val="181A328D"/>
    <w:rsid w:val="18225167"/>
    <w:rsid w:val="182D5393"/>
    <w:rsid w:val="18392563"/>
    <w:rsid w:val="184270C7"/>
    <w:rsid w:val="18865069"/>
    <w:rsid w:val="18AB7D5D"/>
    <w:rsid w:val="18AF33FC"/>
    <w:rsid w:val="18C9422A"/>
    <w:rsid w:val="19074052"/>
    <w:rsid w:val="1964037B"/>
    <w:rsid w:val="199A1A8F"/>
    <w:rsid w:val="19BC3FED"/>
    <w:rsid w:val="19FD2E8B"/>
    <w:rsid w:val="1A242A0C"/>
    <w:rsid w:val="1A2B2A81"/>
    <w:rsid w:val="1A3502CA"/>
    <w:rsid w:val="1A3759CA"/>
    <w:rsid w:val="1A4878F3"/>
    <w:rsid w:val="1A4C1321"/>
    <w:rsid w:val="1A5D5F9F"/>
    <w:rsid w:val="1A6E260A"/>
    <w:rsid w:val="1AAE6A50"/>
    <w:rsid w:val="1AAF6A06"/>
    <w:rsid w:val="1AD42679"/>
    <w:rsid w:val="1B0E1001"/>
    <w:rsid w:val="1B2C6B85"/>
    <w:rsid w:val="1B321027"/>
    <w:rsid w:val="1B3D6DF5"/>
    <w:rsid w:val="1B494C30"/>
    <w:rsid w:val="1B7178D5"/>
    <w:rsid w:val="1B85235E"/>
    <w:rsid w:val="1B8C16BD"/>
    <w:rsid w:val="1B902967"/>
    <w:rsid w:val="1BA37721"/>
    <w:rsid w:val="1BCC301B"/>
    <w:rsid w:val="1BEB12DB"/>
    <w:rsid w:val="1C0C5250"/>
    <w:rsid w:val="1C0E2557"/>
    <w:rsid w:val="1C1C51D2"/>
    <w:rsid w:val="1C275DB8"/>
    <w:rsid w:val="1C4F2985"/>
    <w:rsid w:val="1C757DE2"/>
    <w:rsid w:val="1C8D2094"/>
    <w:rsid w:val="1C90363C"/>
    <w:rsid w:val="1CB43133"/>
    <w:rsid w:val="1CC1454C"/>
    <w:rsid w:val="1CC83F6A"/>
    <w:rsid w:val="1D0F14CD"/>
    <w:rsid w:val="1D261FF6"/>
    <w:rsid w:val="1DFA01C5"/>
    <w:rsid w:val="1E0C2960"/>
    <w:rsid w:val="1E2349D7"/>
    <w:rsid w:val="1E281723"/>
    <w:rsid w:val="1E413881"/>
    <w:rsid w:val="1E651FE8"/>
    <w:rsid w:val="1E6A2E1C"/>
    <w:rsid w:val="1E6B7E95"/>
    <w:rsid w:val="1E77640B"/>
    <w:rsid w:val="1E802A3A"/>
    <w:rsid w:val="1E9C76FF"/>
    <w:rsid w:val="1EF633F1"/>
    <w:rsid w:val="1F25522D"/>
    <w:rsid w:val="1F2A0D80"/>
    <w:rsid w:val="1F5A37D3"/>
    <w:rsid w:val="1F75188B"/>
    <w:rsid w:val="1FA61308"/>
    <w:rsid w:val="1FD07922"/>
    <w:rsid w:val="2004161F"/>
    <w:rsid w:val="2016651D"/>
    <w:rsid w:val="2042538A"/>
    <w:rsid w:val="207523CB"/>
    <w:rsid w:val="20776FC1"/>
    <w:rsid w:val="208B540D"/>
    <w:rsid w:val="20901305"/>
    <w:rsid w:val="2091606D"/>
    <w:rsid w:val="209A62B2"/>
    <w:rsid w:val="20AB4581"/>
    <w:rsid w:val="20AC5E2A"/>
    <w:rsid w:val="21343DF3"/>
    <w:rsid w:val="2140306E"/>
    <w:rsid w:val="21456939"/>
    <w:rsid w:val="215A1DC2"/>
    <w:rsid w:val="2179250E"/>
    <w:rsid w:val="217F143F"/>
    <w:rsid w:val="21880CBC"/>
    <w:rsid w:val="219864BB"/>
    <w:rsid w:val="21BD21BB"/>
    <w:rsid w:val="22207797"/>
    <w:rsid w:val="22304F09"/>
    <w:rsid w:val="22606531"/>
    <w:rsid w:val="2262196D"/>
    <w:rsid w:val="226E5394"/>
    <w:rsid w:val="22814C1F"/>
    <w:rsid w:val="229B1293"/>
    <w:rsid w:val="22A32290"/>
    <w:rsid w:val="22A37E3A"/>
    <w:rsid w:val="22BB3CA2"/>
    <w:rsid w:val="22C611FF"/>
    <w:rsid w:val="22DB6364"/>
    <w:rsid w:val="2314394D"/>
    <w:rsid w:val="23163AB7"/>
    <w:rsid w:val="23271CAA"/>
    <w:rsid w:val="23476E45"/>
    <w:rsid w:val="234F5667"/>
    <w:rsid w:val="238D1F7B"/>
    <w:rsid w:val="23A27E69"/>
    <w:rsid w:val="23A411F0"/>
    <w:rsid w:val="23B273D8"/>
    <w:rsid w:val="23C95AD1"/>
    <w:rsid w:val="23D42349"/>
    <w:rsid w:val="23D92343"/>
    <w:rsid w:val="23F232AF"/>
    <w:rsid w:val="24132E2D"/>
    <w:rsid w:val="24201932"/>
    <w:rsid w:val="244E62B3"/>
    <w:rsid w:val="2472002F"/>
    <w:rsid w:val="24792C83"/>
    <w:rsid w:val="248E0179"/>
    <w:rsid w:val="24EF420F"/>
    <w:rsid w:val="24F07EA2"/>
    <w:rsid w:val="251054FA"/>
    <w:rsid w:val="25145980"/>
    <w:rsid w:val="251E13EC"/>
    <w:rsid w:val="252D4449"/>
    <w:rsid w:val="25304ADE"/>
    <w:rsid w:val="25866648"/>
    <w:rsid w:val="258A53B0"/>
    <w:rsid w:val="25F458B5"/>
    <w:rsid w:val="25FA00FF"/>
    <w:rsid w:val="261309E7"/>
    <w:rsid w:val="265F2AF6"/>
    <w:rsid w:val="268629AF"/>
    <w:rsid w:val="26D37C4B"/>
    <w:rsid w:val="26DD194C"/>
    <w:rsid w:val="2701129D"/>
    <w:rsid w:val="27160695"/>
    <w:rsid w:val="272B1B84"/>
    <w:rsid w:val="272D6432"/>
    <w:rsid w:val="27326537"/>
    <w:rsid w:val="2746455D"/>
    <w:rsid w:val="276E3E6E"/>
    <w:rsid w:val="2779246C"/>
    <w:rsid w:val="278A716E"/>
    <w:rsid w:val="27B220BB"/>
    <w:rsid w:val="27C5596E"/>
    <w:rsid w:val="27DE5431"/>
    <w:rsid w:val="27EF564F"/>
    <w:rsid w:val="28034FE1"/>
    <w:rsid w:val="28085335"/>
    <w:rsid w:val="280D5E75"/>
    <w:rsid w:val="28333174"/>
    <w:rsid w:val="288450B9"/>
    <w:rsid w:val="28BC6DDD"/>
    <w:rsid w:val="28C271CF"/>
    <w:rsid w:val="28DA09C9"/>
    <w:rsid w:val="28DD7962"/>
    <w:rsid w:val="28E64E06"/>
    <w:rsid w:val="28F8484B"/>
    <w:rsid w:val="29026C70"/>
    <w:rsid w:val="291E6D53"/>
    <w:rsid w:val="29275833"/>
    <w:rsid w:val="29293E0A"/>
    <w:rsid w:val="296D6548"/>
    <w:rsid w:val="296E1D19"/>
    <w:rsid w:val="296E7DC0"/>
    <w:rsid w:val="298B41C2"/>
    <w:rsid w:val="29A2365F"/>
    <w:rsid w:val="29AD68EC"/>
    <w:rsid w:val="29DF32B6"/>
    <w:rsid w:val="2A1052F6"/>
    <w:rsid w:val="2A182025"/>
    <w:rsid w:val="2A235B8A"/>
    <w:rsid w:val="2A307FF5"/>
    <w:rsid w:val="2A4E5F82"/>
    <w:rsid w:val="2A680B64"/>
    <w:rsid w:val="2A696FA6"/>
    <w:rsid w:val="2A7C0093"/>
    <w:rsid w:val="2A7F1E01"/>
    <w:rsid w:val="2A825470"/>
    <w:rsid w:val="2A8C0625"/>
    <w:rsid w:val="2A955932"/>
    <w:rsid w:val="2A980D09"/>
    <w:rsid w:val="2A9A0282"/>
    <w:rsid w:val="2AA12766"/>
    <w:rsid w:val="2AA67CBC"/>
    <w:rsid w:val="2AA766C3"/>
    <w:rsid w:val="2AB466A0"/>
    <w:rsid w:val="2AD15C9A"/>
    <w:rsid w:val="2AEE0D97"/>
    <w:rsid w:val="2B013D18"/>
    <w:rsid w:val="2B1148D1"/>
    <w:rsid w:val="2B5E55F4"/>
    <w:rsid w:val="2B6D08F4"/>
    <w:rsid w:val="2B7A60DF"/>
    <w:rsid w:val="2B7F3A86"/>
    <w:rsid w:val="2B985ECE"/>
    <w:rsid w:val="2BA55346"/>
    <w:rsid w:val="2BA73409"/>
    <w:rsid w:val="2BA76B79"/>
    <w:rsid w:val="2BAA79B0"/>
    <w:rsid w:val="2BE92928"/>
    <w:rsid w:val="2BEB5E8B"/>
    <w:rsid w:val="2C022374"/>
    <w:rsid w:val="2C04752A"/>
    <w:rsid w:val="2C217E2B"/>
    <w:rsid w:val="2C2C668B"/>
    <w:rsid w:val="2C3A0C61"/>
    <w:rsid w:val="2C585FDB"/>
    <w:rsid w:val="2C6F723A"/>
    <w:rsid w:val="2C8F7651"/>
    <w:rsid w:val="2CB97C93"/>
    <w:rsid w:val="2CBD3735"/>
    <w:rsid w:val="2CE0006C"/>
    <w:rsid w:val="2CEB16F9"/>
    <w:rsid w:val="2D06044F"/>
    <w:rsid w:val="2D215476"/>
    <w:rsid w:val="2D3566E4"/>
    <w:rsid w:val="2D4813F7"/>
    <w:rsid w:val="2D4E6667"/>
    <w:rsid w:val="2D591C02"/>
    <w:rsid w:val="2D5F7E28"/>
    <w:rsid w:val="2D7829CD"/>
    <w:rsid w:val="2D7E664A"/>
    <w:rsid w:val="2D8A3143"/>
    <w:rsid w:val="2DA740DA"/>
    <w:rsid w:val="2DCA4B94"/>
    <w:rsid w:val="2DD82B8E"/>
    <w:rsid w:val="2DDC2B26"/>
    <w:rsid w:val="2DE70125"/>
    <w:rsid w:val="2DF26649"/>
    <w:rsid w:val="2E217340"/>
    <w:rsid w:val="2E471DC9"/>
    <w:rsid w:val="2E482E31"/>
    <w:rsid w:val="2E4C0380"/>
    <w:rsid w:val="2E551F63"/>
    <w:rsid w:val="2E6E0562"/>
    <w:rsid w:val="2E777AC0"/>
    <w:rsid w:val="2E9456CD"/>
    <w:rsid w:val="2EB261A4"/>
    <w:rsid w:val="2EB566ED"/>
    <w:rsid w:val="2EB84F43"/>
    <w:rsid w:val="2EDD44E0"/>
    <w:rsid w:val="2EDD6610"/>
    <w:rsid w:val="2EE25446"/>
    <w:rsid w:val="2F0C137B"/>
    <w:rsid w:val="2F18198B"/>
    <w:rsid w:val="2F181BA1"/>
    <w:rsid w:val="2F26591E"/>
    <w:rsid w:val="2F3E7702"/>
    <w:rsid w:val="2F601D5E"/>
    <w:rsid w:val="2F6D1701"/>
    <w:rsid w:val="2F7429D2"/>
    <w:rsid w:val="2F911382"/>
    <w:rsid w:val="2F9118A0"/>
    <w:rsid w:val="2F94346E"/>
    <w:rsid w:val="2FA624E0"/>
    <w:rsid w:val="2FB840CB"/>
    <w:rsid w:val="2FC55486"/>
    <w:rsid w:val="2FC579C6"/>
    <w:rsid w:val="2FC63FAE"/>
    <w:rsid w:val="2FC838E5"/>
    <w:rsid w:val="2FCE5A4A"/>
    <w:rsid w:val="2FE76798"/>
    <w:rsid w:val="2FED7A60"/>
    <w:rsid w:val="30022E5C"/>
    <w:rsid w:val="30304003"/>
    <w:rsid w:val="304F581D"/>
    <w:rsid w:val="30687229"/>
    <w:rsid w:val="30740841"/>
    <w:rsid w:val="307A07CB"/>
    <w:rsid w:val="30AF237B"/>
    <w:rsid w:val="30B0246F"/>
    <w:rsid w:val="30C47763"/>
    <w:rsid w:val="30F83501"/>
    <w:rsid w:val="310307BA"/>
    <w:rsid w:val="310D569D"/>
    <w:rsid w:val="312F2409"/>
    <w:rsid w:val="31462187"/>
    <w:rsid w:val="3147244B"/>
    <w:rsid w:val="316E7B2B"/>
    <w:rsid w:val="31A20D8B"/>
    <w:rsid w:val="31A267F7"/>
    <w:rsid w:val="31A6641D"/>
    <w:rsid w:val="31C0525C"/>
    <w:rsid w:val="31D76199"/>
    <w:rsid w:val="31E73379"/>
    <w:rsid w:val="32356868"/>
    <w:rsid w:val="32486A68"/>
    <w:rsid w:val="327B5BC1"/>
    <w:rsid w:val="327F354F"/>
    <w:rsid w:val="32880ADA"/>
    <w:rsid w:val="32B749D1"/>
    <w:rsid w:val="32C568B2"/>
    <w:rsid w:val="32DE601C"/>
    <w:rsid w:val="32E57314"/>
    <w:rsid w:val="331B622C"/>
    <w:rsid w:val="3322247E"/>
    <w:rsid w:val="33317383"/>
    <w:rsid w:val="334F431D"/>
    <w:rsid w:val="33520415"/>
    <w:rsid w:val="335C0747"/>
    <w:rsid w:val="33697A3D"/>
    <w:rsid w:val="33743302"/>
    <w:rsid w:val="339C41E0"/>
    <w:rsid w:val="339E00A6"/>
    <w:rsid w:val="33A63661"/>
    <w:rsid w:val="33A95EF6"/>
    <w:rsid w:val="33B67564"/>
    <w:rsid w:val="33B72CA9"/>
    <w:rsid w:val="33B77F12"/>
    <w:rsid w:val="33CA0F62"/>
    <w:rsid w:val="33D13A9C"/>
    <w:rsid w:val="340D44F3"/>
    <w:rsid w:val="34323D64"/>
    <w:rsid w:val="344132CA"/>
    <w:rsid w:val="345C0FF9"/>
    <w:rsid w:val="346271DB"/>
    <w:rsid w:val="346642E6"/>
    <w:rsid w:val="346E3492"/>
    <w:rsid w:val="347C5174"/>
    <w:rsid w:val="34974986"/>
    <w:rsid w:val="34B55D56"/>
    <w:rsid w:val="34E069F4"/>
    <w:rsid w:val="350E1001"/>
    <w:rsid w:val="350E6C1F"/>
    <w:rsid w:val="35236991"/>
    <w:rsid w:val="352724C3"/>
    <w:rsid w:val="35276322"/>
    <w:rsid w:val="35613179"/>
    <w:rsid w:val="35692DA6"/>
    <w:rsid w:val="356E691A"/>
    <w:rsid w:val="35724CD5"/>
    <w:rsid w:val="357E2E62"/>
    <w:rsid w:val="35AC71A5"/>
    <w:rsid w:val="35B52DC6"/>
    <w:rsid w:val="35D702FB"/>
    <w:rsid w:val="36295B54"/>
    <w:rsid w:val="365B1CD8"/>
    <w:rsid w:val="367605F9"/>
    <w:rsid w:val="36A168C4"/>
    <w:rsid w:val="36A22E1D"/>
    <w:rsid w:val="36FB5A45"/>
    <w:rsid w:val="370A3E81"/>
    <w:rsid w:val="3722377D"/>
    <w:rsid w:val="373D08B9"/>
    <w:rsid w:val="374B3031"/>
    <w:rsid w:val="375D6566"/>
    <w:rsid w:val="376E1EBE"/>
    <w:rsid w:val="37876824"/>
    <w:rsid w:val="378D5259"/>
    <w:rsid w:val="37A44939"/>
    <w:rsid w:val="381234C7"/>
    <w:rsid w:val="382A6F0B"/>
    <w:rsid w:val="38391591"/>
    <w:rsid w:val="385668D7"/>
    <w:rsid w:val="38566C93"/>
    <w:rsid w:val="38721BAE"/>
    <w:rsid w:val="387570E9"/>
    <w:rsid w:val="388B5719"/>
    <w:rsid w:val="38AE5F19"/>
    <w:rsid w:val="38B231AE"/>
    <w:rsid w:val="38C3747F"/>
    <w:rsid w:val="38CB7B30"/>
    <w:rsid w:val="38CC1249"/>
    <w:rsid w:val="38CE7377"/>
    <w:rsid w:val="38D9208E"/>
    <w:rsid w:val="38DA238F"/>
    <w:rsid w:val="38F35E76"/>
    <w:rsid w:val="39103234"/>
    <w:rsid w:val="394020D8"/>
    <w:rsid w:val="395D0109"/>
    <w:rsid w:val="398B2B56"/>
    <w:rsid w:val="3A157425"/>
    <w:rsid w:val="3A2F1B59"/>
    <w:rsid w:val="3A3001D9"/>
    <w:rsid w:val="3A3A5D38"/>
    <w:rsid w:val="3A4A5D9B"/>
    <w:rsid w:val="3A4F0648"/>
    <w:rsid w:val="3A562500"/>
    <w:rsid w:val="3A564551"/>
    <w:rsid w:val="3A575653"/>
    <w:rsid w:val="3A66154E"/>
    <w:rsid w:val="3A736BA4"/>
    <w:rsid w:val="3A756D2D"/>
    <w:rsid w:val="3A945A27"/>
    <w:rsid w:val="3AC24115"/>
    <w:rsid w:val="3AC31760"/>
    <w:rsid w:val="3B055787"/>
    <w:rsid w:val="3B374508"/>
    <w:rsid w:val="3B5C3ED5"/>
    <w:rsid w:val="3B602F91"/>
    <w:rsid w:val="3B654DB4"/>
    <w:rsid w:val="3B6E4107"/>
    <w:rsid w:val="3B8E74A8"/>
    <w:rsid w:val="3B9E5773"/>
    <w:rsid w:val="3BC615B7"/>
    <w:rsid w:val="3BE73334"/>
    <w:rsid w:val="3BEF6B95"/>
    <w:rsid w:val="3C3E41C7"/>
    <w:rsid w:val="3C463485"/>
    <w:rsid w:val="3C6F3DF6"/>
    <w:rsid w:val="3C9A55DE"/>
    <w:rsid w:val="3CBB7982"/>
    <w:rsid w:val="3CC72562"/>
    <w:rsid w:val="3CD6312A"/>
    <w:rsid w:val="3CEC4B3E"/>
    <w:rsid w:val="3CF801D2"/>
    <w:rsid w:val="3D281722"/>
    <w:rsid w:val="3D5B5B79"/>
    <w:rsid w:val="3D645E35"/>
    <w:rsid w:val="3D73156D"/>
    <w:rsid w:val="3D734BB0"/>
    <w:rsid w:val="3D9801A4"/>
    <w:rsid w:val="3DAA79BE"/>
    <w:rsid w:val="3DBA26E4"/>
    <w:rsid w:val="3DD42DBE"/>
    <w:rsid w:val="3E0E1813"/>
    <w:rsid w:val="3E157E6E"/>
    <w:rsid w:val="3E242DF1"/>
    <w:rsid w:val="3E3069F4"/>
    <w:rsid w:val="3E5A3FA9"/>
    <w:rsid w:val="3E6A0B68"/>
    <w:rsid w:val="3E762180"/>
    <w:rsid w:val="3E7C30E0"/>
    <w:rsid w:val="3EAF3BD6"/>
    <w:rsid w:val="3EE41293"/>
    <w:rsid w:val="3EEA4F34"/>
    <w:rsid w:val="3EEE660C"/>
    <w:rsid w:val="3EF1426E"/>
    <w:rsid w:val="3EF85C42"/>
    <w:rsid w:val="3F071D27"/>
    <w:rsid w:val="3F1D754D"/>
    <w:rsid w:val="3F2A76EE"/>
    <w:rsid w:val="3F47243B"/>
    <w:rsid w:val="3F487914"/>
    <w:rsid w:val="3F6D1C24"/>
    <w:rsid w:val="3F7F3224"/>
    <w:rsid w:val="3FB51DC2"/>
    <w:rsid w:val="3FE57187"/>
    <w:rsid w:val="4003639C"/>
    <w:rsid w:val="401520A5"/>
    <w:rsid w:val="402761C5"/>
    <w:rsid w:val="402F7600"/>
    <w:rsid w:val="40356FF3"/>
    <w:rsid w:val="40783C26"/>
    <w:rsid w:val="409015D0"/>
    <w:rsid w:val="40AA7FFE"/>
    <w:rsid w:val="40B353AA"/>
    <w:rsid w:val="40D51879"/>
    <w:rsid w:val="40DC603F"/>
    <w:rsid w:val="40DE7D6A"/>
    <w:rsid w:val="40F41AC2"/>
    <w:rsid w:val="40FA45F6"/>
    <w:rsid w:val="41064B1E"/>
    <w:rsid w:val="413966D0"/>
    <w:rsid w:val="414756C9"/>
    <w:rsid w:val="414952F2"/>
    <w:rsid w:val="417403F6"/>
    <w:rsid w:val="418228BC"/>
    <w:rsid w:val="419F070F"/>
    <w:rsid w:val="41D0311F"/>
    <w:rsid w:val="41F64284"/>
    <w:rsid w:val="420102C4"/>
    <w:rsid w:val="420C5E1F"/>
    <w:rsid w:val="42165C14"/>
    <w:rsid w:val="4219183C"/>
    <w:rsid w:val="421C1C7D"/>
    <w:rsid w:val="42353F05"/>
    <w:rsid w:val="428505C4"/>
    <w:rsid w:val="42A00D63"/>
    <w:rsid w:val="42A40518"/>
    <w:rsid w:val="42A70CA5"/>
    <w:rsid w:val="42AA3604"/>
    <w:rsid w:val="42C9057F"/>
    <w:rsid w:val="42DC7AEC"/>
    <w:rsid w:val="42EC7674"/>
    <w:rsid w:val="42F316B0"/>
    <w:rsid w:val="42FF6431"/>
    <w:rsid w:val="43121FEF"/>
    <w:rsid w:val="431D66F8"/>
    <w:rsid w:val="433A6E21"/>
    <w:rsid w:val="435941BB"/>
    <w:rsid w:val="43801356"/>
    <w:rsid w:val="438A1BD9"/>
    <w:rsid w:val="439B64F0"/>
    <w:rsid w:val="43B4189F"/>
    <w:rsid w:val="43D1281F"/>
    <w:rsid w:val="43DA206E"/>
    <w:rsid w:val="43E844CF"/>
    <w:rsid w:val="43F80886"/>
    <w:rsid w:val="4442339D"/>
    <w:rsid w:val="445442BA"/>
    <w:rsid w:val="447A1F4D"/>
    <w:rsid w:val="44AE51CD"/>
    <w:rsid w:val="44AF0BAF"/>
    <w:rsid w:val="44CE2B87"/>
    <w:rsid w:val="44FB3081"/>
    <w:rsid w:val="45110352"/>
    <w:rsid w:val="454B1B11"/>
    <w:rsid w:val="455F3488"/>
    <w:rsid w:val="45660CEA"/>
    <w:rsid w:val="4571792A"/>
    <w:rsid w:val="459D6C6C"/>
    <w:rsid w:val="45AB7617"/>
    <w:rsid w:val="45BB5B0E"/>
    <w:rsid w:val="45D90D67"/>
    <w:rsid w:val="45DB79A5"/>
    <w:rsid w:val="45E649FD"/>
    <w:rsid w:val="45F65E9D"/>
    <w:rsid w:val="46297295"/>
    <w:rsid w:val="462D3044"/>
    <w:rsid w:val="46302254"/>
    <w:rsid w:val="4631731A"/>
    <w:rsid w:val="46436DFC"/>
    <w:rsid w:val="465479ED"/>
    <w:rsid w:val="46564730"/>
    <w:rsid w:val="46652BBF"/>
    <w:rsid w:val="4692108E"/>
    <w:rsid w:val="46A235F2"/>
    <w:rsid w:val="46BA0315"/>
    <w:rsid w:val="46D65759"/>
    <w:rsid w:val="46DE27BB"/>
    <w:rsid w:val="46E36C10"/>
    <w:rsid w:val="46E545A9"/>
    <w:rsid w:val="46EC41A4"/>
    <w:rsid w:val="46EF69B1"/>
    <w:rsid w:val="46F72FBA"/>
    <w:rsid w:val="470322E2"/>
    <w:rsid w:val="471A2B78"/>
    <w:rsid w:val="471F3412"/>
    <w:rsid w:val="472A70FD"/>
    <w:rsid w:val="474817BE"/>
    <w:rsid w:val="475A7335"/>
    <w:rsid w:val="47817710"/>
    <w:rsid w:val="478A5231"/>
    <w:rsid w:val="47924A66"/>
    <w:rsid w:val="4799061B"/>
    <w:rsid w:val="479A6BEF"/>
    <w:rsid w:val="47A0441C"/>
    <w:rsid w:val="47A5793B"/>
    <w:rsid w:val="47B2733E"/>
    <w:rsid w:val="47C73A8D"/>
    <w:rsid w:val="48001F28"/>
    <w:rsid w:val="48124CF6"/>
    <w:rsid w:val="482865E3"/>
    <w:rsid w:val="482D72A0"/>
    <w:rsid w:val="48325DCE"/>
    <w:rsid w:val="48393372"/>
    <w:rsid w:val="4842213E"/>
    <w:rsid w:val="48484A46"/>
    <w:rsid w:val="485F6311"/>
    <w:rsid w:val="48636529"/>
    <w:rsid w:val="48810B2A"/>
    <w:rsid w:val="48863018"/>
    <w:rsid w:val="48953255"/>
    <w:rsid w:val="48B64786"/>
    <w:rsid w:val="48D83B0B"/>
    <w:rsid w:val="491C3F21"/>
    <w:rsid w:val="4921422A"/>
    <w:rsid w:val="493459B4"/>
    <w:rsid w:val="4945035E"/>
    <w:rsid w:val="496C0B3D"/>
    <w:rsid w:val="499F03B5"/>
    <w:rsid w:val="49CF182C"/>
    <w:rsid w:val="49E71AEE"/>
    <w:rsid w:val="49EE77B7"/>
    <w:rsid w:val="49F56C7F"/>
    <w:rsid w:val="4A163F8A"/>
    <w:rsid w:val="4A340DFE"/>
    <w:rsid w:val="4A49107C"/>
    <w:rsid w:val="4A494C9B"/>
    <w:rsid w:val="4A4B0A65"/>
    <w:rsid w:val="4A587623"/>
    <w:rsid w:val="4A8119EC"/>
    <w:rsid w:val="4A934368"/>
    <w:rsid w:val="4AAA320E"/>
    <w:rsid w:val="4ABC3BEE"/>
    <w:rsid w:val="4ACF7B50"/>
    <w:rsid w:val="4AE36B86"/>
    <w:rsid w:val="4AE70F06"/>
    <w:rsid w:val="4AFC3AC5"/>
    <w:rsid w:val="4B057D4F"/>
    <w:rsid w:val="4B0C5FA0"/>
    <w:rsid w:val="4B197BE4"/>
    <w:rsid w:val="4B1F49D7"/>
    <w:rsid w:val="4B3042D2"/>
    <w:rsid w:val="4B422E18"/>
    <w:rsid w:val="4B6875FB"/>
    <w:rsid w:val="4B7706E8"/>
    <w:rsid w:val="4B770FCF"/>
    <w:rsid w:val="4B8B21C5"/>
    <w:rsid w:val="4B8E3C21"/>
    <w:rsid w:val="4BAD06CB"/>
    <w:rsid w:val="4BB1148F"/>
    <w:rsid w:val="4BD64286"/>
    <w:rsid w:val="4BD64CD0"/>
    <w:rsid w:val="4BEB5DF8"/>
    <w:rsid w:val="4BF92FB4"/>
    <w:rsid w:val="4C56166D"/>
    <w:rsid w:val="4C603854"/>
    <w:rsid w:val="4C6A27C2"/>
    <w:rsid w:val="4C896CB2"/>
    <w:rsid w:val="4CC62082"/>
    <w:rsid w:val="4CD95B12"/>
    <w:rsid w:val="4CE5608D"/>
    <w:rsid w:val="4CEC5A66"/>
    <w:rsid w:val="4CF2796B"/>
    <w:rsid w:val="4CFB2401"/>
    <w:rsid w:val="4D0132C1"/>
    <w:rsid w:val="4D0B0FE8"/>
    <w:rsid w:val="4D1B49EA"/>
    <w:rsid w:val="4D243141"/>
    <w:rsid w:val="4D403820"/>
    <w:rsid w:val="4D4A22EB"/>
    <w:rsid w:val="4D5E2598"/>
    <w:rsid w:val="4D6057F3"/>
    <w:rsid w:val="4D640F56"/>
    <w:rsid w:val="4D7B4FBB"/>
    <w:rsid w:val="4D83492B"/>
    <w:rsid w:val="4DB7773E"/>
    <w:rsid w:val="4DDB4A6A"/>
    <w:rsid w:val="4DE0439D"/>
    <w:rsid w:val="4DF469B0"/>
    <w:rsid w:val="4DFD39D4"/>
    <w:rsid w:val="4E0B7156"/>
    <w:rsid w:val="4E1F5532"/>
    <w:rsid w:val="4E21336D"/>
    <w:rsid w:val="4E2B4FF8"/>
    <w:rsid w:val="4E333E5B"/>
    <w:rsid w:val="4E346820"/>
    <w:rsid w:val="4E443F38"/>
    <w:rsid w:val="4E4C6A7C"/>
    <w:rsid w:val="4E54111F"/>
    <w:rsid w:val="4E671DA5"/>
    <w:rsid w:val="4E6F7241"/>
    <w:rsid w:val="4E7C044F"/>
    <w:rsid w:val="4E885E7A"/>
    <w:rsid w:val="4E8F69F6"/>
    <w:rsid w:val="4EAD1855"/>
    <w:rsid w:val="4EB004B1"/>
    <w:rsid w:val="4EE90E32"/>
    <w:rsid w:val="4EED0DE9"/>
    <w:rsid w:val="4F267CEA"/>
    <w:rsid w:val="4F3A4943"/>
    <w:rsid w:val="4F7A7868"/>
    <w:rsid w:val="4F88105E"/>
    <w:rsid w:val="4F8E3974"/>
    <w:rsid w:val="4FB411DA"/>
    <w:rsid w:val="4FBD3E8A"/>
    <w:rsid w:val="4FCD2957"/>
    <w:rsid w:val="500221FB"/>
    <w:rsid w:val="50264DF8"/>
    <w:rsid w:val="502F323A"/>
    <w:rsid w:val="50396AB3"/>
    <w:rsid w:val="5049727C"/>
    <w:rsid w:val="507009B5"/>
    <w:rsid w:val="507B3231"/>
    <w:rsid w:val="50921D19"/>
    <w:rsid w:val="5093556F"/>
    <w:rsid w:val="50A13FD0"/>
    <w:rsid w:val="50A965D0"/>
    <w:rsid w:val="50B744F7"/>
    <w:rsid w:val="50C13DF4"/>
    <w:rsid w:val="50DB2FB9"/>
    <w:rsid w:val="50E716F4"/>
    <w:rsid w:val="50F96D76"/>
    <w:rsid w:val="512E6C2D"/>
    <w:rsid w:val="5145404E"/>
    <w:rsid w:val="51594359"/>
    <w:rsid w:val="516530AF"/>
    <w:rsid w:val="517379DF"/>
    <w:rsid w:val="51C12E88"/>
    <w:rsid w:val="51D838ED"/>
    <w:rsid w:val="51E64356"/>
    <w:rsid w:val="51F00A9F"/>
    <w:rsid w:val="51F069A1"/>
    <w:rsid w:val="51F95194"/>
    <w:rsid w:val="52044A17"/>
    <w:rsid w:val="521D2E06"/>
    <w:rsid w:val="52456B3E"/>
    <w:rsid w:val="52A50FAE"/>
    <w:rsid w:val="52BF553A"/>
    <w:rsid w:val="530C01BB"/>
    <w:rsid w:val="530C5AAC"/>
    <w:rsid w:val="5323469E"/>
    <w:rsid w:val="532A6906"/>
    <w:rsid w:val="532E5010"/>
    <w:rsid w:val="53426787"/>
    <w:rsid w:val="536C5CE6"/>
    <w:rsid w:val="5378239F"/>
    <w:rsid w:val="537E6B94"/>
    <w:rsid w:val="538A3E98"/>
    <w:rsid w:val="53B64EA2"/>
    <w:rsid w:val="53BE6F92"/>
    <w:rsid w:val="53CB6221"/>
    <w:rsid w:val="541461B4"/>
    <w:rsid w:val="54162475"/>
    <w:rsid w:val="54407F75"/>
    <w:rsid w:val="547F0DBA"/>
    <w:rsid w:val="54A26F9F"/>
    <w:rsid w:val="54A70560"/>
    <w:rsid w:val="54C252EA"/>
    <w:rsid w:val="54DB6447"/>
    <w:rsid w:val="55022F73"/>
    <w:rsid w:val="5504155B"/>
    <w:rsid w:val="551A3A72"/>
    <w:rsid w:val="55295517"/>
    <w:rsid w:val="552E0889"/>
    <w:rsid w:val="55905B25"/>
    <w:rsid w:val="559F1B15"/>
    <w:rsid w:val="55B21A06"/>
    <w:rsid w:val="55BD0921"/>
    <w:rsid w:val="55D134A5"/>
    <w:rsid w:val="55D4373E"/>
    <w:rsid w:val="55DE3DFA"/>
    <w:rsid w:val="561B60B4"/>
    <w:rsid w:val="561D530C"/>
    <w:rsid w:val="562E168C"/>
    <w:rsid w:val="563C791A"/>
    <w:rsid w:val="564976B2"/>
    <w:rsid w:val="566E0F06"/>
    <w:rsid w:val="5689020C"/>
    <w:rsid w:val="5693602F"/>
    <w:rsid w:val="569812BA"/>
    <w:rsid w:val="56AD03CD"/>
    <w:rsid w:val="56B34FF5"/>
    <w:rsid w:val="56EC728F"/>
    <w:rsid w:val="56ED7854"/>
    <w:rsid w:val="570352C0"/>
    <w:rsid w:val="570B3EE2"/>
    <w:rsid w:val="57134F79"/>
    <w:rsid w:val="573C11C7"/>
    <w:rsid w:val="57450529"/>
    <w:rsid w:val="575B219C"/>
    <w:rsid w:val="576E19C1"/>
    <w:rsid w:val="57715A6A"/>
    <w:rsid w:val="57861A29"/>
    <w:rsid w:val="579876E3"/>
    <w:rsid w:val="57E229B3"/>
    <w:rsid w:val="582C7E80"/>
    <w:rsid w:val="5848680D"/>
    <w:rsid w:val="58BA06BF"/>
    <w:rsid w:val="58D1006D"/>
    <w:rsid w:val="58D84467"/>
    <w:rsid w:val="58DE3365"/>
    <w:rsid w:val="591E0A9E"/>
    <w:rsid w:val="592E7CC0"/>
    <w:rsid w:val="595867A9"/>
    <w:rsid w:val="597B113C"/>
    <w:rsid w:val="598056A2"/>
    <w:rsid w:val="5991173A"/>
    <w:rsid w:val="59B076D7"/>
    <w:rsid w:val="59B82000"/>
    <w:rsid w:val="59B91223"/>
    <w:rsid w:val="59B93D97"/>
    <w:rsid w:val="59D829BE"/>
    <w:rsid w:val="59D86329"/>
    <w:rsid w:val="59E7087A"/>
    <w:rsid w:val="59F555C0"/>
    <w:rsid w:val="59F83340"/>
    <w:rsid w:val="5A21068D"/>
    <w:rsid w:val="5A374207"/>
    <w:rsid w:val="5A3E0AC2"/>
    <w:rsid w:val="5A3F0CED"/>
    <w:rsid w:val="5A5C5A61"/>
    <w:rsid w:val="5A8920CE"/>
    <w:rsid w:val="5A8F55FB"/>
    <w:rsid w:val="5AEF4F72"/>
    <w:rsid w:val="5AFA76B3"/>
    <w:rsid w:val="5B443DF4"/>
    <w:rsid w:val="5B7371A2"/>
    <w:rsid w:val="5B7578F1"/>
    <w:rsid w:val="5B9638A0"/>
    <w:rsid w:val="5B9F2E62"/>
    <w:rsid w:val="5BBF0AFE"/>
    <w:rsid w:val="5BD00D43"/>
    <w:rsid w:val="5BD4258C"/>
    <w:rsid w:val="5BF10E0A"/>
    <w:rsid w:val="5BF41599"/>
    <w:rsid w:val="5BF707DA"/>
    <w:rsid w:val="5C0A5051"/>
    <w:rsid w:val="5C1D5366"/>
    <w:rsid w:val="5C2B57FE"/>
    <w:rsid w:val="5C383713"/>
    <w:rsid w:val="5C411227"/>
    <w:rsid w:val="5C686757"/>
    <w:rsid w:val="5C72332E"/>
    <w:rsid w:val="5CAE5C3E"/>
    <w:rsid w:val="5CB050E1"/>
    <w:rsid w:val="5CB05E55"/>
    <w:rsid w:val="5CB10195"/>
    <w:rsid w:val="5CC37345"/>
    <w:rsid w:val="5CDE5A92"/>
    <w:rsid w:val="5CEB12C4"/>
    <w:rsid w:val="5CF37A42"/>
    <w:rsid w:val="5CFF12CB"/>
    <w:rsid w:val="5D1A047A"/>
    <w:rsid w:val="5D226367"/>
    <w:rsid w:val="5D304F96"/>
    <w:rsid w:val="5D340E40"/>
    <w:rsid w:val="5D430D51"/>
    <w:rsid w:val="5D5476F1"/>
    <w:rsid w:val="5D706444"/>
    <w:rsid w:val="5D8C5FBC"/>
    <w:rsid w:val="5D9A783B"/>
    <w:rsid w:val="5DAF7C3B"/>
    <w:rsid w:val="5DB0119E"/>
    <w:rsid w:val="5DBD3C8B"/>
    <w:rsid w:val="5DC237AA"/>
    <w:rsid w:val="5DC6705F"/>
    <w:rsid w:val="5DDD0402"/>
    <w:rsid w:val="5DEB1C64"/>
    <w:rsid w:val="5E102E33"/>
    <w:rsid w:val="5E1E306E"/>
    <w:rsid w:val="5E237780"/>
    <w:rsid w:val="5E375081"/>
    <w:rsid w:val="5E437E5E"/>
    <w:rsid w:val="5E4440A5"/>
    <w:rsid w:val="5E454E08"/>
    <w:rsid w:val="5E4A156B"/>
    <w:rsid w:val="5E501463"/>
    <w:rsid w:val="5E736435"/>
    <w:rsid w:val="5E891A20"/>
    <w:rsid w:val="5E8940A0"/>
    <w:rsid w:val="5E960E28"/>
    <w:rsid w:val="5E9A2289"/>
    <w:rsid w:val="5EB30803"/>
    <w:rsid w:val="5EB73D49"/>
    <w:rsid w:val="5EBD22F0"/>
    <w:rsid w:val="5EE14620"/>
    <w:rsid w:val="5EF55102"/>
    <w:rsid w:val="5F196C95"/>
    <w:rsid w:val="5F23024A"/>
    <w:rsid w:val="5F391021"/>
    <w:rsid w:val="5F3D43DC"/>
    <w:rsid w:val="5F561E81"/>
    <w:rsid w:val="5F5C1037"/>
    <w:rsid w:val="5F67025C"/>
    <w:rsid w:val="5F7A7EA1"/>
    <w:rsid w:val="5F833679"/>
    <w:rsid w:val="5F840685"/>
    <w:rsid w:val="5F914774"/>
    <w:rsid w:val="5F980F91"/>
    <w:rsid w:val="5FFB4FD2"/>
    <w:rsid w:val="60204F5E"/>
    <w:rsid w:val="603166B4"/>
    <w:rsid w:val="603A6C78"/>
    <w:rsid w:val="604143DA"/>
    <w:rsid w:val="604A4D6E"/>
    <w:rsid w:val="60571A8C"/>
    <w:rsid w:val="606278BD"/>
    <w:rsid w:val="606A0FD8"/>
    <w:rsid w:val="6070482E"/>
    <w:rsid w:val="60AF6776"/>
    <w:rsid w:val="60B43D45"/>
    <w:rsid w:val="60B53B84"/>
    <w:rsid w:val="60D76062"/>
    <w:rsid w:val="60F50F39"/>
    <w:rsid w:val="61213898"/>
    <w:rsid w:val="613032BE"/>
    <w:rsid w:val="61496D73"/>
    <w:rsid w:val="617E32A2"/>
    <w:rsid w:val="618E6B41"/>
    <w:rsid w:val="61AD154A"/>
    <w:rsid w:val="61FC5476"/>
    <w:rsid w:val="6201502F"/>
    <w:rsid w:val="620B749C"/>
    <w:rsid w:val="621004FC"/>
    <w:rsid w:val="621A407D"/>
    <w:rsid w:val="622919DE"/>
    <w:rsid w:val="62337175"/>
    <w:rsid w:val="623B24C3"/>
    <w:rsid w:val="624D1772"/>
    <w:rsid w:val="62600163"/>
    <w:rsid w:val="626D1029"/>
    <w:rsid w:val="627A4A89"/>
    <w:rsid w:val="62940661"/>
    <w:rsid w:val="62954662"/>
    <w:rsid w:val="62BF6F10"/>
    <w:rsid w:val="62E97C56"/>
    <w:rsid w:val="631C548F"/>
    <w:rsid w:val="633D58AC"/>
    <w:rsid w:val="63497639"/>
    <w:rsid w:val="63616CB5"/>
    <w:rsid w:val="63802EAD"/>
    <w:rsid w:val="638824AE"/>
    <w:rsid w:val="639C7E46"/>
    <w:rsid w:val="63CE351A"/>
    <w:rsid w:val="63DF3E3A"/>
    <w:rsid w:val="63E3650C"/>
    <w:rsid w:val="64063DF7"/>
    <w:rsid w:val="64135A95"/>
    <w:rsid w:val="6435033E"/>
    <w:rsid w:val="64481FA7"/>
    <w:rsid w:val="644B5777"/>
    <w:rsid w:val="644B7B2F"/>
    <w:rsid w:val="648965B2"/>
    <w:rsid w:val="6496762F"/>
    <w:rsid w:val="64B571F0"/>
    <w:rsid w:val="64BF4F19"/>
    <w:rsid w:val="64DC0C85"/>
    <w:rsid w:val="64EF7732"/>
    <w:rsid w:val="651F6578"/>
    <w:rsid w:val="65325879"/>
    <w:rsid w:val="653809CB"/>
    <w:rsid w:val="65395503"/>
    <w:rsid w:val="654D4C48"/>
    <w:rsid w:val="65751064"/>
    <w:rsid w:val="658E6824"/>
    <w:rsid w:val="65E75B6D"/>
    <w:rsid w:val="661E0C93"/>
    <w:rsid w:val="66331FA5"/>
    <w:rsid w:val="663C51A5"/>
    <w:rsid w:val="663E1939"/>
    <w:rsid w:val="6660547B"/>
    <w:rsid w:val="66653A58"/>
    <w:rsid w:val="66665203"/>
    <w:rsid w:val="668665B2"/>
    <w:rsid w:val="66A15707"/>
    <w:rsid w:val="66C53CFC"/>
    <w:rsid w:val="66DD283B"/>
    <w:rsid w:val="66FA1CA4"/>
    <w:rsid w:val="67194282"/>
    <w:rsid w:val="6726411F"/>
    <w:rsid w:val="67270E64"/>
    <w:rsid w:val="673328AD"/>
    <w:rsid w:val="674A4081"/>
    <w:rsid w:val="676417B3"/>
    <w:rsid w:val="67943ED0"/>
    <w:rsid w:val="67C40DD1"/>
    <w:rsid w:val="67CA02A5"/>
    <w:rsid w:val="67FD0F60"/>
    <w:rsid w:val="68340D18"/>
    <w:rsid w:val="68383C3A"/>
    <w:rsid w:val="68545B90"/>
    <w:rsid w:val="686879BA"/>
    <w:rsid w:val="686902EC"/>
    <w:rsid w:val="686A2719"/>
    <w:rsid w:val="68711E35"/>
    <w:rsid w:val="68765D0C"/>
    <w:rsid w:val="68872577"/>
    <w:rsid w:val="68AD0C98"/>
    <w:rsid w:val="68B247C2"/>
    <w:rsid w:val="68D1378D"/>
    <w:rsid w:val="68E20002"/>
    <w:rsid w:val="68E26469"/>
    <w:rsid w:val="68F83813"/>
    <w:rsid w:val="693D1D2F"/>
    <w:rsid w:val="69446402"/>
    <w:rsid w:val="69544B49"/>
    <w:rsid w:val="6966666D"/>
    <w:rsid w:val="696A5F99"/>
    <w:rsid w:val="69A322C8"/>
    <w:rsid w:val="69B20592"/>
    <w:rsid w:val="69B40B53"/>
    <w:rsid w:val="69CE2EC5"/>
    <w:rsid w:val="69E60C5E"/>
    <w:rsid w:val="6A1D6A08"/>
    <w:rsid w:val="6A401183"/>
    <w:rsid w:val="6A4F72A4"/>
    <w:rsid w:val="6A540607"/>
    <w:rsid w:val="6A6201D0"/>
    <w:rsid w:val="6A761A53"/>
    <w:rsid w:val="6A881EED"/>
    <w:rsid w:val="6A887826"/>
    <w:rsid w:val="6AA84F9C"/>
    <w:rsid w:val="6AAC7B1E"/>
    <w:rsid w:val="6ABD789B"/>
    <w:rsid w:val="6AD771DB"/>
    <w:rsid w:val="6B113C11"/>
    <w:rsid w:val="6B2C15B0"/>
    <w:rsid w:val="6B3F4DE6"/>
    <w:rsid w:val="6B544C51"/>
    <w:rsid w:val="6B5A1743"/>
    <w:rsid w:val="6BD7768B"/>
    <w:rsid w:val="6BDE7A39"/>
    <w:rsid w:val="6BEA387D"/>
    <w:rsid w:val="6BF31B7D"/>
    <w:rsid w:val="6C13607B"/>
    <w:rsid w:val="6C1844B6"/>
    <w:rsid w:val="6C266593"/>
    <w:rsid w:val="6C367F7A"/>
    <w:rsid w:val="6C593812"/>
    <w:rsid w:val="6C65167B"/>
    <w:rsid w:val="6C804E91"/>
    <w:rsid w:val="6C9F19CC"/>
    <w:rsid w:val="6CA22AA4"/>
    <w:rsid w:val="6CAD13A2"/>
    <w:rsid w:val="6CAF01C1"/>
    <w:rsid w:val="6CB037A3"/>
    <w:rsid w:val="6CB858A6"/>
    <w:rsid w:val="6CC33010"/>
    <w:rsid w:val="6CD178F7"/>
    <w:rsid w:val="6CD47F29"/>
    <w:rsid w:val="6CEA3735"/>
    <w:rsid w:val="6D256528"/>
    <w:rsid w:val="6D2D6734"/>
    <w:rsid w:val="6D34091A"/>
    <w:rsid w:val="6D3B6FA3"/>
    <w:rsid w:val="6D417F2A"/>
    <w:rsid w:val="6D5D3E66"/>
    <w:rsid w:val="6D6B6F32"/>
    <w:rsid w:val="6D816024"/>
    <w:rsid w:val="6D8D75C5"/>
    <w:rsid w:val="6D9307DB"/>
    <w:rsid w:val="6D974680"/>
    <w:rsid w:val="6D984BB5"/>
    <w:rsid w:val="6D9D05C2"/>
    <w:rsid w:val="6DB14C49"/>
    <w:rsid w:val="6DE12EFE"/>
    <w:rsid w:val="6DE46D74"/>
    <w:rsid w:val="6DF316B3"/>
    <w:rsid w:val="6DF828FA"/>
    <w:rsid w:val="6E2E0FFB"/>
    <w:rsid w:val="6E9048E4"/>
    <w:rsid w:val="6E951DE6"/>
    <w:rsid w:val="6EAF49B6"/>
    <w:rsid w:val="6EBC622F"/>
    <w:rsid w:val="6EC5078C"/>
    <w:rsid w:val="6EC635E7"/>
    <w:rsid w:val="6ED45446"/>
    <w:rsid w:val="6F112358"/>
    <w:rsid w:val="6F1470EE"/>
    <w:rsid w:val="6F24293A"/>
    <w:rsid w:val="6F2E73A4"/>
    <w:rsid w:val="6F4B2A31"/>
    <w:rsid w:val="6F632E9D"/>
    <w:rsid w:val="6F9A0038"/>
    <w:rsid w:val="6FB342AA"/>
    <w:rsid w:val="6FB913EA"/>
    <w:rsid w:val="6FD23B95"/>
    <w:rsid w:val="700170B5"/>
    <w:rsid w:val="70063FE9"/>
    <w:rsid w:val="702559F8"/>
    <w:rsid w:val="702F0956"/>
    <w:rsid w:val="703360CF"/>
    <w:rsid w:val="703F517B"/>
    <w:rsid w:val="704C0BF6"/>
    <w:rsid w:val="70510B56"/>
    <w:rsid w:val="706067C1"/>
    <w:rsid w:val="7086550B"/>
    <w:rsid w:val="708B196A"/>
    <w:rsid w:val="709537ED"/>
    <w:rsid w:val="70A21E81"/>
    <w:rsid w:val="70AB024C"/>
    <w:rsid w:val="70CA4F41"/>
    <w:rsid w:val="70CB408C"/>
    <w:rsid w:val="70DD4A46"/>
    <w:rsid w:val="71035EDC"/>
    <w:rsid w:val="711D222A"/>
    <w:rsid w:val="711F1863"/>
    <w:rsid w:val="7139204A"/>
    <w:rsid w:val="71547742"/>
    <w:rsid w:val="71843650"/>
    <w:rsid w:val="71892269"/>
    <w:rsid w:val="718B307E"/>
    <w:rsid w:val="71D62A6B"/>
    <w:rsid w:val="71DD2EA1"/>
    <w:rsid w:val="71ED74EA"/>
    <w:rsid w:val="720751CF"/>
    <w:rsid w:val="72B66572"/>
    <w:rsid w:val="72D11B00"/>
    <w:rsid w:val="72FF4927"/>
    <w:rsid w:val="73172D14"/>
    <w:rsid w:val="731A5E55"/>
    <w:rsid w:val="732C2E92"/>
    <w:rsid w:val="73340AAD"/>
    <w:rsid w:val="73760BBA"/>
    <w:rsid w:val="738837E3"/>
    <w:rsid w:val="73883C4C"/>
    <w:rsid w:val="738C3C9E"/>
    <w:rsid w:val="739D3C96"/>
    <w:rsid w:val="73A03A74"/>
    <w:rsid w:val="741C4ABA"/>
    <w:rsid w:val="741D30AE"/>
    <w:rsid w:val="742A3724"/>
    <w:rsid w:val="744C39CA"/>
    <w:rsid w:val="74550467"/>
    <w:rsid w:val="748B79A1"/>
    <w:rsid w:val="74B04E9A"/>
    <w:rsid w:val="74B87EAE"/>
    <w:rsid w:val="74C14DE6"/>
    <w:rsid w:val="74F20199"/>
    <w:rsid w:val="74FA2300"/>
    <w:rsid w:val="74FC01D7"/>
    <w:rsid w:val="75223755"/>
    <w:rsid w:val="7540056B"/>
    <w:rsid w:val="75487A40"/>
    <w:rsid w:val="754A0F16"/>
    <w:rsid w:val="755A1AB3"/>
    <w:rsid w:val="757879C1"/>
    <w:rsid w:val="757B2C27"/>
    <w:rsid w:val="75805995"/>
    <w:rsid w:val="758075AF"/>
    <w:rsid w:val="759276DB"/>
    <w:rsid w:val="75AD252E"/>
    <w:rsid w:val="75B66FCD"/>
    <w:rsid w:val="75C17DCE"/>
    <w:rsid w:val="75DA7856"/>
    <w:rsid w:val="761419BA"/>
    <w:rsid w:val="761C6B27"/>
    <w:rsid w:val="76220827"/>
    <w:rsid w:val="76307793"/>
    <w:rsid w:val="7644417A"/>
    <w:rsid w:val="76497541"/>
    <w:rsid w:val="764A61C2"/>
    <w:rsid w:val="76993362"/>
    <w:rsid w:val="769D18E2"/>
    <w:rsid w:val="76A76EC8"/>
    <w:rsid w:val="76AB3BC6"/>
    <w:rsid w:val="76AB5D1B"/>
    <w:rsid w:val="76CD52C5"/>
    <w:rsid w:val="76ED7D36"/>
    <w:rsid w:val="770B747E"/>
    <w:rsid w:val="772C4C9A"/>
    <w:rsid w:val="776762CE"/>
    <w:rsid w:val="778F6697"/>
    <w:rsid w:val="77EA353C"/>
    <w:rsid w:val="77ED7FB4"/>
    <w:rsid w:val="782C4C12"/>
    <w:rsid w:val="78301A4B"/>
    <w:rsid w:val="784400C5"/>
    <w:rsid w:val="7845181D"/>
    <w:rsid w:val="78B971A0"/>
    <w:rsid w:val="78CC05EA"/>
    <w:rsid w:val="7901231F"/>
    <w:rsid w:val="791B0882"/>
    <w:rsid w:val="794D5757"/>
    <w:rsid w:val="7966136C"/>
    <w:rsid w:val="79965E18"/>
    <w:rsid w:val="79AA537C"/>
    <w:rsid w:val="79B93B69"/>
    <w:rsid w:val="79D4470F"/>
    <w:rsid w:val="79E27257"/>
    <w:rsid w:val="79EC4C37"/>
    <w:rsid w:val="7A200BB6"/>
    <w:rsid w:val="7A246A9D"/>
    <w:rsid w:val="7A48197B"/>
    <w:rsid w:val="7A4F1D56"/>
    <w:rsid w:val="7A532356"/>
    <w:rsid w:val="7A9E5BB5"/>
    <w:rsid w:val="7AA87FCD"/>
    <w:rsid w:val="7AF267A3"/>
    <w:rsid w:val="7AF41359"/>
    <w:rsid w:val="7B2240A5"/>
    <w:rsid w:val="7B2C1E20"/>
    <w:rsid w:val="7B3F2817"/>
    <w:rsid w:val="7B55399A"/>
    <w:rsid w:val="7B8D326A"/>
    <w:rsid w:val="7BA013EC"/>
    <w:rsid w:val="7BC257DE"/>
    <w:rsid w:val="7BDB5FCB"/>
    <w:rsid w:val="7BEC411A"/>
    <w:rsid w:val="7C3529BB"/>
    <w:rsid w:val="7C4C534B"/>
    <w:rsid w:val="7C565865"/>
    <w:rsid w:val="7C5E6B1A"/>
    <w:rsid w:val="7C6620F8"/>
    <w:rsid w:val="7C9162B9"/>
    <w:rsid w:val="7CE36478"/>
    <w:rsid w:val="7CE9574F"/>
    <w:rsid w:val="7CED53DF"/>
    <w:rsid w:val="7CF125CB"/>
    <w:rsid w:val="7CFA037E"/>
    <w:rsid w:val="7D0C757C"/>
    <w:rsid w:val="7D34222A"/>
    <w:rsid w:val="7D4F5E31"/>
    <w:rsid w:val="7D71433F"/>
    <w:rsid w:val="7D762347"/>
    <w:rsid w:val="7D7A3BEF"/>
    <w:rsid w:val="7D7F2DE2"/>
    <w:rsid w:val="7D8A1720"/>
    <w:rsid w:val="7D8D6EBE"/>
    <w:rsid w:val="7D9545BA"/>
    <w:rsid w:val="7D9F0509"/>
    <w:rsid w:val="7DA779BF"/>
    <w:rsid w:val="7DB56DBE"/>
    <w:rsid w:val="7DBB25DD"/>
    <w:rsid w:val="7DCE2F13"/>
    <w:rsid w:val="7DDA63B7"/>
    <w:rsid w:val="7DE009AD"/>
    <w:rsid w:val="7DF575A7"/>
    <w:rsid w:val="7E0936EE"/>
    <w:rsid w:val="7E0A7DB6"/>
    <w:rsid w:val="7E0E228E"/>
    <w:rsid w:val="7E1F4D2A"/>
    <w:rsid w:val="7E4C11B4"/>
    <w:rsid w:val="7E5D0EFC"/>
    <w:rsid w:val="7E682D8B"/>
    <w:rsid w:val="7E733165"/>
    <w:rsid w:val="7E7B2E6F"/>
    <w:rsid w:val="7EA007FB"/>
    <w:rsid w:val="7EC54576"/>
    <w:rsid w:val="7ECD387A"/>
    <w:rsid w:val="7ECE0BFC"/>
    <w:rsid w:val="7EE02830"/>
    <w:rsid w:val="7EF21A86"/>
    <w:rsid w:val="7EF30668"/>
    <w:rsid w:val="7EF73F0D"/>
    <w:rsid w:val="7F140B50"/>
    <w:rsid w:val="7F560C94"/>
    <w:rsid w:val="7F58456B"/>
    <w:rsid w:val="7FA64F48"/>
    <w:rsid w:val="7FBF4C63"/>
    <w:rsid w:val="7FC55D8C"/>
    <w:rsid w:val="7FC560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420" w:firstLineChars="200"/>
      <w:jc w:val="both"/>
    </w:pPr>
    <w:rPr>
      <w:rFonts w:eastAsia="仿宋" w:asciiTheme="minorHAnsi" w:hAnsiTheme="minorHAnsi" w:cstheme="minorBidi"/>
      <w:kern w:val="2"/>
      <w:sz w:val="32"/>
      <w:szCs w:val="24"/>
      <w:lang w:val="en-US" w:eastAsia="zh-CN" w:bidi="ar-SA"/>
    </w:rPr>
  </w:style>
  <w:style w:type="paragraph" w:styleId="4">
    <w:name w:val="heading 1"/>
    <w:basedOn w:val="1"/>
    <w:next w:val="1"/>
    <w:link w:val="44"/>
    <w:qFormat/>
    <w:uiPriority w:val="0"/>
    <w:pPr>
      <w:keepNext/>
      <w:keepLines/>
      <w:numPr>
        <w:ilvl w:val="0"/>
        <w:numId w:val="1"/>
      </w:numPr>
      <w:ind w:firstLine="0" w:firstLineChars="0"/>
      <w:outlineLvl w:val="0"/>
    </w:pPr>
    <w:rPr>
      <w:rFonts w:eastAsia="黑体"/>
      <w:kern w:val="44"/>
    </w:rPr>
  </w:style>
  <w:style w:type="paragraph" w:styleId="5">
    <w:name w:val="heading 2"/>
    <w:basedOn w:val="1"/>
    <w:next w:val="1"/>
    <w:link w:val="45"/>
    <w:unhideWhenUsed/>
    <w:qFormat/>
    <w:uiPriority w:val="9"/>
    <w:pPr>
      <w:keepNext/>
      <w:keepLines/>
      <w:spacing w:before="260" w:after="260" w:line="416" w:lineRule="auto"/>
      <w:outlineLvl w:val="1"/>
    </w:pPr>
    <w:rPr>
      <w:rFonts w:asciiTheme="majorHAnsi" w:hAnsiTheme="majorHAnsi" w:eastAsiaTheme="majorEastAsia" w:cstheme="majorBidi"/>
      <w:b/>
      <w:bCs/>
      <w:szCs w:val="32"/>
    </w:rPr>
  </w:style>
  <w:style w:type="paragraph" w:styleId="6">
    <w:name w:val="heading 3"/>
    <w:basedOn w:val="1"/>
    <w:next w:val="1"/>
    <w:link w:val="46"/>
    <w:unhideWhenUsed/>
    <w:qFormat/>
    <w:uiPriority w:val="0"/>
    <w:pPr>
      <w:keepNext/>
      <w:keepLines/>
      <w:spacing w:before="260" w:after="260" w:line="416" w:lineRule="auto"/>
      <w:outlineLvl w:val="2"/>
    </w:pPr>
    <w:rPr>
      <w:b/>
      <w:bCs/>
      <w:szCs w:val="32"/>
    </w:rPr>
  </w:style>
  <w:style w:type="paragraph" w:styleId="7">
    <w:name w:val="heading 4"/>
    <w:basedOn w:val="1"/>
    <w:next w:val="1"/>
    <w:link w:val="5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58"/>
    <w:unhideWhenUsed/>
    <w:qFormat/>
    <w:uiPriority w:val="9"/>
    <w:pPr>
      <w:keepNext/>
      <w:keepLines/>
      <w:spacing w:before="280" w:after="290" w:line="376" w:lineRule="auto"/>
      <w:outlineLvl w:val="4"/>
    </w:pPr>
    <w:rPr>
      <w:b/>
      <w:bCs/>
      <w:sz w:val="28"/>
      <w:szCs w:val="28"/>
    </w:rPr>
  </w:style>
  <w:style w:type="paragraph" w:styleId="9">
    <w:name w:val="heading 6"/>
    <w:basedOn w:val="1"/>
    <w:next w:val="1"/>
    <w:unhideWhenUsed/>
    <w:qFormat/>
    <w:uiPriority w:val="9"/>
    <w:pPr>
      <w:keepNext/>
      <w:keepLines/>
      <w:spacing w:before="240" w:after="64" w:line="317" w:lineRule="auto"/>
      <w:outlineLvl w:val="5"/>
    </w:pPr>
    <w:rPr>
      <w:rFonts w:ascii="Arial" w:hAnsi="Arial" w:eastAsia="黑体"/>
      <w:b/>
      <w:sz w:val="24"/>
    </w:rPr>
  </w:style>
  <w:style w:type="paragraph" w:styleId="10">
    <w:name w:val="heading 9"/>
    <w:basedOn w:val="1"/>
    <w:next w:val="1"/>
    <w:link w:val="68"/>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34">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Body Text First Indent"/>
    <w:basedOn w:val="3"/>
    <w:link w:val="43"/>
    <w:unhideWhenUsed/>
    <w:qFormat/>
    <w:uiPriority w:val="99"/>
    <w:pPr>
      <w:ind w:firstLine="100" w:firstLineChars="100"/>
    </w:pPr>
  </w:style>
  <w:style w:type="paragraph" w:styleId="3">
    <w:name w:val="Body Text"/>
    <w:basedOn w:val="1"/>
    <w:link w:val="42"/>
    <w:unhideWhenUsed/>
    <w:qFormat/>
    <w:uiPriority w:val="99"/>
    <w:pPr>
      <w:spacing w:after="120"/>
    </w:pPr>
  </w:style>
  <w:style w:type="paragraph" w:styleId="11">
    <w:name w:val="toc 7"/>
    <w:basedOn w:val="1"/>
    <w:next w:val="1"/>
    <w:unhideWhenUsed/>
    <w:qFormat/>
    <w:uiPriority w:val="39"/>
    <w:pPr>
      <w:ind w:left="1600"/>
      <w:jc w:val="left"/>
    </w:pPr>
    <w:rPr>
      <w:rFonts w:eastAsiaTheme="minorHAnsi"/>
      <w:sz w:val="20"/>
      <w:szCs w:val="20"/>
    </w:rPr>
  </w:style>
  <w:style w:type="paragraph" w:styleId="12">
    <w:name w:val="Document Map"/>
    <w:basedOn w:val="1"/>
    <w:link w:val="79"/>
    <w:semiHidden/>
    <w:unhideWhenUsed/>
    <w:qFormat/>
    <w:uiPriority w:val="99"/>
    <w:rPr>
      <w:rFonts w:ascii="Microsoft YaHei UI" w:eastAsia="Microsoft YaHei UI"/>
      <w:sz w:val="18"/>
      <w:szCs w:val="18"/>
    </w:rPr>
  </w:style>
  <w:style w:type="paragraph" w:styleId="13">
    <w:name w:val="annotation text"/>
    <w:basedOn w:val="1"/>
    <w:link w:val="67"/>
    <w:semiHidden/>
    <w:unhideWhenUsed/>
    <w:qFormat/>
    <w:uiPriority w:val="99"/>
    <w:pPr>
      <w:jc w:val="left"/>
    </w:pPr>
  </w:style>
  <w:style w:type="paragraph" w:styleId="14">
    <w:name w:val="Body Text Indent"/>
    <w:basedOn w:val="1"/>
    <w:unhideWhenUsed/>
    <w:qFormat/>
    <w:uiPriority w:val="99"/>
    <w:pPr>
      <w:spacing w:after="120"/>
      <w:ind w:left="420" w:leftChars="200"/>
    </w:pPr>
  </w:style>
  <w:style w:type="paragraph" w:styleId="15">
    <w:name w:val="toc 5"/>
    <w:basedOn w:val="1"/>
    <w:next w:val="1"/>
    <w:unhideWhenUsed/>
    <w:qFormat/>
    <w:uiPriority w:val="39"/>
    <w:pPr>
      <w:ind w:left="960"/>
      <w:jc w:val="left"/>
    </w:pPr>
    <w:rPr>
      <w:rFonts w:eastAsiaTheme="minorHAnsi"/>
      <w:sz w:val="20"/>
      <w:szCs w:val="20"/>
    </w:rPr>
  </w:style>
  <w:style w:type="paragraph" w:styleId="16">
    <w:name w:val="toc 3"/>
    <w:basedOn w:val="1"/>
    <w:next w:val="1"/>
    <w:unhideWhenUsed/>
    <w:qFormat/>
    <w:uiPriority w:val="39"/>
    <w:pPr>
      <w:adjustRightInd w:val="0"/>
      <w:snapToGrid w:val="0"/>
      <w:ind w:left="400" w:leftChars="400" w:firstLine="0" w:firstLineChars="0"/>
      <w:jc w:val="left"/>
    </w:pPr>
    <w:rPr>
      <w:rFonts w:ascii="仿宋_GB2312" w:hAnsi="仿宋_GB2312" w:eastAsia="仿宋_GB2312" w:cs="仿宋_GB2312"/>
      <w:szCs w:val="32"/>
    </w:rPr>
  </w:style>
  <w:style w:type="paragraph" w:styleId="17">
    <w:name w:val="toc 8"/>
    <w:basedOn w:val="1"/>
    <w:next w:val="1"/>
    <w:unhideWhenUsed/>
    <w:qFormat/>
    <w:uiPriority w:val="39"/>
    <w:pPr>
      <w:ind w:left="1920"/>
      <w:jc w:val="left"/>
    </w:pPr>
    <w:rPr>
      <w:rFonts w:eastAsiaTheme="minorHAnsi"/>
      <w:sz w:val="20"/>
      <w:szCs w:val="20"/>
    </w:rPr>
  </w:style>
  <w:style w:type="paragraph" w:styleId="18">
    <w:name w:val="Balloon Text"/>
    <w:basedOn w:val="1"/>
    <w:link w:val="72"/>
    <w:semiHidden/>
    <w:unhideWhenUsed/>
    <w:qFormat/>
    <w:uiPriority w:val="99"/>
    <w:rPr>
      <w:sz w:val="18"/>
      <w:szCs w:val="18"/>
    </w:rPr>
  </w:style>
  <w:style w:type="paragraph" w:styleId="19">
    <w:name w:val="footer"/>
    <w:basedOn w:val="1"/>
    <w:link w:val="48"/>
    <w:unhideWhenUsed/>
    <w:qFormat/>
    <w:uiPriority w:val="99"/>
    <w:pPr>
      <w:tabs>
        <w:tab w:val="center" w:pos="4153"/>
        <w:tab w:val="right" w:pos="8306"/>
      </w:tabs>
      <w:snapToGrid w:val="0"/>
      <w:jc w:val="left"/>
    </w:pPr>
    <w:rPr>
      <w:sz w:val="18"/>
      <w:szCs w:val="18"/>
    </w:rPr>
  </w:style>
  <w:style w:type="paragraph" w:styleId="20">
    <w:name w:val="header"/>
    <w:basedOn w:val="1"/>
    <w:link w:val="47"/>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adjustRightInd w:val="0"/>
      <w:snapToGrid w:val="0"/>
      <w:ind w:firstLine="0" w:firstLineChars="0"/>
      <w:jc w:val="left"/>
    </w:pPr>
    <w:rPr>
      <w:rFonts w:ascii="黑体" w:hAnsi="黑体" w:eastAsia="黑体" w:cs="黑体"/>
      <w:b/>
      <w:bCs/>
      <w:caps/>
      <w:szCs w:val="32"/>
    </w:rPr>
  </w:style>
  <w:style w:type="paragraph" w:styleId="22">
    <w:name w:val="toc 4"/>
    <w:basedOn w:val="1"/>
    <w:next w:val="1"/>
    <w:unhideWhenUsed/>
    <w:qFormat/>
    <w:uiPriority w:val="39"/>
    <w:pPr>
      <w:ind w:left="640"/>
      <w:jc w:val="left"/>
    </w:pPr>
    <w:rPr>
      <w:rFonts w:eastAsiaTheme="minorHAnsi"/>
      <w:sz w:val="20"/>
      <w:szCs w:val="20"/>
    </w:rPr>
  </w:style>
  <w:style w:type="paragraph" w:styleId="23">
    <w:name w:val="Subtitle"/>
    <w:basedOn w:val="1"/>
    <w:next w:val="1"/>
    <w:link w:val="55"/>
    <w:qFormat/>
    <w:uiPriority w:val="0"/>
    <w:pPr>
      <w:adjustRightInd w:val="0"/>
      <w:snapToGrid w:val="0"/>
      <w:spacing w:line="600" w:lineRule="exact"/>
      <w:ind w:firstLine="0" w:firstLineChars="0"/>
      <w:jc w:val="center"/>
      <w:outlineLvl w:val="1"/>
    </w:pPr>
    <w:rPr>
      <w:rFonts w:ascii="仿宋_GB2312" w:hAnsi="仿宋_GB2312" w:eastAsia="黑体" w:cs="仿宋_GB2312"/>
      <w:b/>
      <w:kern w:val="28"/>
      <w:szCs w:val="32"/>
    </w:rPr>
  </w:style>
  <w:style w:type="paragraph" w:styleId="24">
    <w:name w:val="footnote text"/>
    <w:basedOn w:val="1"/>
    <w:link w:val="61"/>
    <w:semiHidden/>
    <w:unhideWhenUsed/>
    <w:qFormat/>
    <w:uiPriority w:val="99"/>
    <w:pPr>
      <w:keepLines/>
      <w:snapToGrid w:val="0"/>
      <w:ind w:firstLine="883"/>
      <w:jc w:val="left"/>
    </w:pPr>
    <w:rPr>
      <w:rFonts w:ascii="Times New Roman" w:hAnsi="Times New Roman"/>
      <w:sz w:val="24"/>
      <w:szCs w:val="18"/>
    </w:rPr>
  </w:style>
  <w:style w:type="paragraph" w:styleId="25">
    <w:name w:val="toc 6"/>
    <w:basedOn w:val="1"/>
    <w:next w:val="1"/>
    <w:unhideWhenUsed/>
    <w:qFormat/>
    <w:uiPriority w:val="39"/>
    <w:pPr>
      <w:ind w:left="1280"/>
      <w:jc w:val="left"/>
    </w:pPr>
    <w:rPr>
      <w:rFonts w:eastAsiaTheme="minorHAnsi"/>
      <w:sz w:val="20"/>
      <w:szCs w:val="20"/>
    </w:rPr>
  </w:style>
  <w:style w:type="paragraph" w:styleId="26">
    <w:name w:val="toc 2"/>
    <w:basedOn w:val="1"/>
    <w:next w:val="1"/>
    <w:unhideWhenUsed/>
    <w:qFormat/>
    <w:uiPriority w:val="39"/>
    <w:pPr>
      <w:adjustRightInd w:val="0"/>
      <w:snapToGrid w:val="0"/>
      <w:ind w:left="200" w:leftChars="200" w:firstLine="0" w:firstLineChars="0"/>
      <w:jc w:val="left"/>
    </w:pPr>
    <w:rPr>
      <w:rFonts w:ascii="黑体" w:hAnsi="黑体" w:eastAsia="黑体" w:cs="黑体"/>
      <w:b/>
      <w:bCs/>
      <w:szCs w:val="32"/>
    </w:rPr>
  </w:style>
  <w:style w:type="paragraph" w:styleId="27">
    <w:name w:val="toc 9"/>
    <w:basedOn w:val="1"/>
    <w:next w:val="1"/>
    <w:unhideWhenUsed/>
    <w:qFormat/>
    <w:uiPriority w:val="39"/>
    <w:pPr>
      <w:ind w:left="2240"/>
      <w:jc w:val="left"/>
    </w:pPr>
    <w:rPr>
      <w:rFonts w:eastAsiaTheme="minorHAnsi"/>
      <w:sz w:val="20"/>
      <w:szCs w:val="20"/>
    </w:rPr>
  </w:style>
  <w:style w:type="paragraph" w:styleId="28">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29">
    <w:name w:val="Title"/>
    <w:basedOn w:val="1"/>
    <w:next w:val="1"/>
    <w:link w:val="49"/>
    <w:qFormat/>
    <w:uiPriority w:val="10"/>
    <w:pPr>
      <w:adjustRightInd w:val="0"/>
      <w:snapToGrid w:val="0"/>
      <w:spacing w:line="600" w:lineRule="exact"/>
      <w:ind w:firstLine="0" w:firstLineChars="0"/>
      <w:jc w:val="center"/>
      <w:outlineLvl w:val="0"/>
    </w:pPr>
    <w:rPr>
      <w:rFonts w:ascii="黑体" w:hAnsi="黑体" w:eastAsia="黑体" w:cs="黑体"/>
      <w:szCs w:val="32"/>
    </w:rPr>
  </w:style>
  <w:style w:type="paragraph" w:styleId="30">
    <w:name w:val="annotation subject"/>
    <w:basedOn w:val="13"/>
    <w:next w:val="13"/>
    <w:link w:val="81"/>
    <w:semiHidden/>
    <w:unhideWhenUsed/>
    <w:qFormat/>
    <w:uiPriority w:val="99"/>
    <w:rPr>
      <w:b/>
      <w:bCs/>
    </w:rPr>
  </w:style>
  <w:style w:type="paragraph" w:styleId="31">
    <w:name w:val="Body Text First Indent 2"/>
    <w:basedOn w:val="14"/>
    <w:qFormat/>
    <w:uiPriority w:val="99"/>
    <w:pPr>
      <w:autoSpaceDN w:val="0"/>
      <w:spacing w:after="0"/>
      <w:ind w:left="0" w:leftChars="0"/>
    </w:pPr>
    <w:rPr>
      <w:rFonts w:ascii="Times New Roman" w:hAnsi="Times New Roman" w:eastAsia="仿宋_GB2312" w:cs="仿宋_GB2312"/>
      <w:szCs w:val="32"/>
    </w:r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uiPriority w:val="0"/>
    <w:rPr>
      <w:b/>
      <w:bCs/>
    </w:rPr>
  </w:style>
  <w:style w:type="character" w:styleId="36">
    <w:name w:val="Hyperlink"/>
    <w:basedOn w:val="34"/>
    <w:unhideWhenUsed/>
    <w:qFormat/>
    <w:uiPriority w:val="99"/>
    <w:rPr>
      <w:color w:val="0563C1" w:themeColor="hyperlink"/>
      <w:u w:val="single"/>
    </w:rPr>
  </w:style>
  <w:style w:type="character" w:styleId="37">
    <w:name w:val="annotation reference"/>
    <w:basedOn w:val="34"/>
    <w:semiHidden/>
    <w:unhideWhenUsed/>
    <w:qFormat/>
    <w:uiPriority w:val="99"/>
    <w:rPr>
      <w:sz w:val="21"/>
      <w:szCs w:val="21"/>
    </w:rPr>
  </w:style>
  <w:style w:type="character" w:styleId="38">
    <w:name w:val="footnote reference"/>
    <w:basedOn w:val="34"/>
    <w:semiHidden/>
    <w:unhideWhenUsed/>
    <w:qFormat/>
    <w:uiPriority w:val="99"/>
    <w:rPr>
      <w:vertAlign w:val="superscript"/>
    </w:rPr>
  </w:style>
  <w:style w:type="paragraph" w:customStyle="1" w:styleId="39">
    <w:name w:val="二级标题"/>
    <w:basedOn w:val="29"/>
    <w:next w:val="1"/>
    <w:link w:val="40"/>
    <w:qFormat/>
    <w:uiPriority w:val="0"/>
    <w:pPr>
      <w:numPr>
        <w:ilvl w:val="0"/>
        <w:numId w:val="2"/>
      </w:numPr>
      <w:tabs>
        <w:tab w:val="left" w:pos="568"/>
      </w:tabs>
      <w:jc w:val="left"/>
    </w:pPr>
    <w:rPr>
      <w:rFonts w:ascii="Arial" w:hAnsi="Arial"/>
      <w:b/>
      <w:bCs/>
    </w:rPr>
  </w:style>
  <w:style w:type="character" w:customStyle="1" w:styleId="40">
    <w:name w:val="二级标题 Char"/>
    <w:link w:val="39"/>
    <w:qFormat/>
    <w:uiPriority w:val="0"/>
    <w:rPr>
      <w:rFonts w:ascii="Arial" w:hAnsi="Arial" w:eastAsia="黑体" w:cs="黑体"/>
      <w:b/>
      <w:bCs/>
      <w:kern w:val="2"/>
      <w:sz w:val="32"/>
      <w:szCs w:val="32"/>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正文文本 字符"/>
    <w:basedOn w:val="34"/>
    <w:link w:val="3"/>
    <w:autoRedefine/>
    <w:qFormat/>
    <w:uiPriority w:val="99"/>
    <w:rPr>
      <w:rFonts w:eastAsia="仿宋"/>
      <w:sz w:val="32"/>
      <w:szCs w:val="24"/>
    </w:rPr>
  </w:style>
  <w:style w:type="character" w:customStyle="1" w:styleId="43">
    <w:name w:val="正文文本首行缩进 字符"/>
    <w:basedOn w:val="42"/>
    <w:link w:val="2"/>
    <w:qFormat/>
    <w:uiPriority w:val="99"/>
    <w:rPr>
      <w:rFonts w:eastAsia="仿宋"/>
      <w:sz w:val="32"/>
      <w:szCs w:val="24"/>
    </w:rPr>
  </w:style>
  <w:style w:type="character" w:customStyle="1" w:styleId="44">
    <w:name w:val="标题 1 字符"/>
    <w:basedOn w:val="34"/>
    <w:link w:val="4"/>
    <w:qFormat/>
    <w:uiPriority w:val="0"/>
    <w:rPr>
      <w:rFonts w:eastAsia="黑体"/>
      <w:kern w:val="44"/>
      <w:sz w:val="32"/>
      <w:szCs w:val="24"/>
    </w:rPr>
  </w:style>
  <w:style w:type="character" w:customStyle="1" w:styleId="45">
    <w:name w:val="标题 2 字符"/>
    <w:basedOn w:val="34"/>
    <w:link w:val="5"/>
    <w:semiHidden/>
    <w:qFormat/>
    <w:uiPriority w:val="9"/>
    <w:rPr>
      <w:rFonts w:asciiTheme="majorHAnsi" w:hAnsiTheme="majorHAnsi" w:eastAsiaTheme="majorEastAsia" w:cstheme="majorBidi"/>
      <w:b/>
      <w:bCs/>
      <w:sz w:val="32"/>
      <w:szCs w:val="32"/>
    </w:rPr>
  </w:style>
  <w:style w:type="character" w:customStyle="1" w:styleId="46">
    <w:name w:val="标题 3 字符"/>
    <w:basedOn w:val="34"/>
    <w:link w:val="6"/>
    <w:qFormat/>
    <w:uiPriority w:val="0"/>
    <w:rPr>
      <w:rFonts w:eastAsia="仿宋"/>
      <w:b/>
      <w:bCs/>
      <w:sz w:val="32"/>
      <w:szCs w:val="32"/>
    </w:rPr>
  </w:style>
  <w:style w:type="character" w:customStyle="1" w:styleId="47">
    <w:name w:val="页眉 字符"/>
    <w:basedOn w:val="34"/>
    <w:link w:val="20"/>
    <w:qFormat/>
    <w:uiPriority w:val="99"/>
    <w:rPr>
      <w:sz w:val="18"/>
      <w:szCs w:val="18"/>
    </w:rPr>
  </w:style>
  <w:style w:type="character" w:customStyle="1" w:styleId="48">
    <w:name w:val="页脚 字符"/>
    <w:basedOn w:val="34"/>
    <w:link w:val="19"/>
    <w:qFormat/>
    <w:uiPriority w:val="99"/>
    <w:rPr>
      <w:sz w:val="18"/>
      <w:szCs w:val="18"/>
    </w:rPr>
  </w:style>
  <w:style w:type="character" w:customStyle="1" w:styleId="49">
    <w:name w:val="标题 字符"/>
    <w:basedOn w:val="34"/>
    <w:link w:val="29"/>
    <w:autoRedefine/>
    <w:qFormat/>
    <w:uiPriority w:val="10"/>
    <w:rPr>
      <w:rFonts w:ascii="黑体" w:hAnsi="黑体" w:eastAsia="黑体" w:cs="黑体"/>
      <w:sz w:val="32"/>
      <w:szCs w:val="32"/>
    </w:rPr>
  </w:style>
  <w:style w:type="paragraph" w:customStyle="1" w:styleId="50">
    <w:name w:val="正文缩进1"/>
    <w:qFormat/>
    <w:uiPriority w:val="0"/>
    <w:pPr>
      <w:widowControl w:val="0"/>
      <w:ind w:firstLine="420" w:firstLineChars="200"/>
      <w:jc w:val="both"/>
    </w:pPr>
    <w:rPr>
      <w:rFonts w:ascii="Times New Roman" w:hAnsi="Times New Roman" w:eastAsia="宋体" w:cs="Times New Roman"/>
      <w:kern w:val="2"/>
      <w:sz w:val="21"/>
      <w:lang w:val="en-US" w:eastAsia="zh-CN" w:bidi="ar-SA"/>
    </w:rPr>
  </w:style>
  <w:style w:type="paragraph" w:styleId="51">
    <w:name w:val="List Paragraph"/>
    <w:basedOn w:val="1"/>
    <w:qFormat/>
    <w:uiPriority w:val="99"/>
  </w:style>
  <w:style w:type="paragraph" w:customStyle="1" w:styleId="52">
    <w:name w:val="三级标题"/>
    <w:basedOn w:val="2"/>
    <w:qFormat/>
    <w:uiPriority w:val="0"/>
    <w:pPr>
      <w:numPr>
        <w:ilvl w:val="0"/>
        <w:numId w:val="3"/>
      </w:numPr>
      <w:ind w:firstLine="0" w:firstLineChars="0"/>
    </w:pPr>
    <w:rPr>
      <w:rFonts w:eastAsia="楷体"/>
    </w:rPr>
  </w:style>
  <w:style w:type="paragraph" w:customStyle="1" w:styleId="53">
    <w:name w:val="正文缩进2"/>
    <w:autoRedefine/>
    <w:qFormat/>
    <w:uiPriority w:val="0"/>
    <w:pPr>
      <w:widowControl w:val="0"/>
      <w:ind w:firstLine="420" w:firstLineChars="200"/>
      <w:jc w:val="both"/>
    </w:pPr>
    <w:rPr>
      <w:rFonts w:ascii="Calibri" w:hAnsi="Calibri" w:eastAsia="宋体" w:cs="Times New Roman"/>
      <w:kern w:val="2"/>
      <w:sz w:val="21"/>
      <w:lang w:val="en-US" w:eastAsia="zh-CN" w:bidi="ar-SA"/>
    </w:rPr>
  </w:style>
  <w:style w:type="paragraph" w:customStyle="1" w:styleId="54">
    <w:name w:val="TOC 标题1"/>
    <w:basedOn w:val="4"/>
    <w:next w:val="1"/>
    <w:unhideWhenUsed/>
    <w:qFormat/>
    <w:uiPriority w:val="39"/>
    <w:pPr>
      <w:widowControl/>
      <w:numPr>
        <w:numId w:val="0"/>
      </w:numPr>
      <w:tabs>
        <w:tab w:val="clear" w:pos="0"/>
      </w:tabs>
      <w:spacing w:before="240" w:line="259" w:lineRule="auto"/>
      <w:jc w:val="left"/>
      <w:outlineLvl w:val="9"/>
    </w:pPr>
    <w:rPr>
      <w:rFonts w:asciiTheme="majorHAnsi" w:hAnsiTheme="majorHAnsi" w:eastAsiaTheme="majorEastAsia" w:cstheme="majorBidi"/>
      <w:color w:val="2E75B5" w:themeColor="accent1" w:themeShade="BF"/>
      <w:kern w:val="0"/>
      <w:szCs w:val="32"/>
    </w:rPr>
  </w:style>
  <w:style w:type="character" w:customStyle="1" w:styleId="55">
    <w:name w:val="副标题 字符"/>
    <w:basedOn w:val="34"/>
    <w:link w:val="23"/>
    <w:qFormat/>
    <w:uiPriority w:val="0"/>
    <w:rPr>
      <w:rFonts w:ascii="仿宋_GB2312" w:hAnsi="仿宋_GB2312" w:eastAsia="黑体" w:cs="仿宋_GB2312"/>
      <w:b/>
      <w:kern w:val="28"/>
      <w:sz w:val="32"/>
      <w:szCs w:val="32"/>
    </w:rPr>
  </w:style>
  <w:style w:type="character" w:customStyle="1" w:styleId="56">
    <w:name w:val="不明显强调1"/>
    <w:basedOn w:val="34"/>
    <w:qFormat/>
    <w:uiPriority w:val="19"/>
    <w:rPr>
      <w:i/>
      <w:iCs/>
      <w:color w:val="3F3F3F" w:themeColor="text1" w:themeTint="BF"/>
    </w:rPr>
  </w:style>
  <w:style w:type="character" w:customStyle="1" w:styleId="57">
    <w:name w:val="标题 4 字符"/>
    <w:basedOn w:val="34"/>
    <w:link w:val="7"/>
    <w:autoRedefine/>
    <w:qFormat/>
    <w:uiPriority w:val="9"/>
    <w:rPr>
      <w:rFonts w:asciiTheme="majorHAnsi" w:hAnsiTheme="majorHAnsi" w:eastAsiaTheme="majorEastAsia" w:cstheme="majorBidi"/>
      <w:b/>
      <w:bCs/>
      <w:sz w:val="28"/>
      <w:szCs w:val="28"/>
    </w:rPr>
  </w:style>
  <w:style w:type="character" w:customStyle="1" w:styleId="58">
    <w:name w:val="标题 5 字符"/>
    <w:basedOn w:val="34"/>
    <w:link w:val="8"/>
    <w:qFormat/>
    <w:uiPriority w:val="9"/>
    <w:rPr>
      <w:rFonts w:eastAsia="仿宋"/>
      <w:b/>
      <w:bCs/>
      <w:sz w:val="28"/>
      <w:szCs w:val="28"/>
    </w:rPr>
  </w:style>
  <w:style w:type="paragraph" w:customStyle="1" w:styleId="59">
    <w:name w:val="本文正文"/>
    <w:basedOn w:val="1"/>
    <w:link w:val="60"/>
    <w:qFormat/>
    <w:uiPriority w:val="0"/>
    <w:pPr>
      <w:widowControl/>
      <w:adjustRightInd w:val="0"/>
      <w:snapToGrid w:val="0"/>
      <w:spacing w:line="600" w:lineRule="exact"/>
      <w:ind w:firstLine="200"/>
    </w:pPr>
    <w:rPr>
      <w:rFonts w:ascii="仿宋_GB2312" w:hAnsi="仿宋_GB2312" w:eastAsia="仿宋_GB2312" w:cs="仿宋_GB2312"/>
      <w:kern w:val="0"/>
      <w:szCs w:val="32"/>
    </w:rPr>
  </w:style>
  <w:style w:type="character" w:customStyle="1" w:styleId="60">
    <w:name w:val="本文正文 字符"/>
    <w:basedOn w:val="34"/>
    <w:link w:val="59"/>
    <w:autoRedefine/>
    <w:qFormat/>
    <w:uiPriority w:val="0"/>
    <w:rPr>
      <w:rFonts w:ascii="仿宋_GB2312" w:hAnsi="仿宋_GB2312" w:eastAsia="仿宋_GB2312" w:cs="仿宋_GB2312"/>
      <w:kern w:val="0"/>
      <w:sz w:val="32"/>
      <w:szCs w:val="32"/>
    </w:rPr>
  </w:style>
  <w:style w:type="character" w:customStyle="1" w:styleId="61">
    <w:name w:val="脚注文本 字符"/>
    <w:basedOn w:val="34"/>
    <w:link w:val="24"/>
    <w:autoRedefine/>
    <w:semiHidden/>
    <w:qFormat/>
    <w:uiPriority w:val="99"/>
    <w:rPr>
      <w:rFonts w:ascii="Times New Roman" w:hAnsi="Times New Roman" w:eastAsia="仿宋"/>
      <w:sz w:val="24"/>
      <w:szCs w:val="18"/>
    </w:rPr>
  </w:style>
  <w:style w:type="character" w:customStyle="1" w:styleId="62">
    <w:name w:val="NormalCharacter"/>
    <w:autoRedefine/>
    <w:semiHidden/>
    <w:qFormat/>
    <w:uiPriority w:val="0"/>
  </w:style>
  <w:style w:type="paragraph" w:styleId="63">
    <w:name w:val="No Spacing"/>
    <w:autoRedefine/>
    <w:qFormat/>
    <w:uiPriority w:val="1"/>
    <w:pPr>
      <w:widowControl w:val="0"/>
      <w:ind w:firstLine="420" w:firstLineChars="200"/>
      <w:jc w:val="both"/>
    </w:pPr>
    <w:rPr>
      <w:rFonts w:eastAsia="仿宋" w:asciiTheme="minorHAnsi" w:hAnsiTheme="minorHAnsi" w:cstheme="minorBidi"/>
      <w:kern w:val="2"/>
      <w:sz w:val="32"/>
      <w:szCs w:val="24"/>
      <w:lang w:val="en-US" w:eastAsia="zh-CN" w:bidi="ar-SA"/>
    </w:rPr>
  </w:style>
  <w:style w:type="table" w:customStyle="1" w:styleId="64">
    <w:name w:val="网格型1"/>
    <w:basedOn w:val="32"/>
    <w:autoRedefine/>
    <w:qFormat/>
    <w:uiPriority w:val="99"/>
    <w:rPr>
      <w:rFonts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
    <w:name w:val="网格型2"/>
    <w:basedOn w:val="32"/>
    <w:qFormat/>
    <w:uiPriority w:val="99"/>
    <w:rPr>
      <w:rFonts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6">
    <w:name w:val="未处理的提及1"/>
    <w:basedOn w:val="34"/>
    <w:autoRedefine/>
    <w:semiHidden/>
    <w:unhideWhenUsed/>
    <w:qFormat/>
    <w:uiPriority w:val="99"/>
    <w:rPr>
      <w:color w:val="605E5C"/>
      <w:shd w:val="clear" w:color="auto" w:fill="E1DFDD"/>
    </w:rPr>
  </w:style>
  <w:style w:type="character" w:customStyle="1" w:styleId="67">
    <w:name w:val="批注文字 字符"/>
    <w:basedOn w:val="34"/>
    <w:link w:val="13"/>
    <w:autoRedefine/>
    <w:semiHidden/>
    <w:qFormat/>
    <w:uiPriority w:val="99"/>
    <w:rPr>
      <w:rFonts w:eastAsia="仿宋"/>
      <w:sz w:val="32"/>
      <w:szCs w:val="24"/>
    </w:rPr>
  </w:style>
  <w:style w:type="character" w:customStyle="1" w:styleId="68">
    <w:name w:val="标题 9 字符"/>
    <w:basedOn w:val="34"/>
    <w:link w:val="10"/>
    <w:autoRedefine/>
    <w:semiHidden/>
    <w:qFormat/>
    <w:uiPriority w:val="9"/>
    <w:rPr>
      <w:rFonts w:asciiTheme="majorHAnsi" w:hAnsiTheme="majorHAnsi" w:eastAsiaTheme="majorEastAsia" w:cstheme="majorBidi"/>
      <w:szCs w:val="21"/>
    </w:rPr>
  </w:style>
  <w:style w:type="table" w:customStyle="1" w:styleId="69">
    <w:name w:val="网格型3"/>
    <w:basedOn w:val="32"/>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
    <w:name w:val="网格型4"/>
    <w:basedOn w:val="32"/>
    <w:autoRedefine/>
    <w:qFormat/>
    <w:uiPriority w:val="99"/>
    <w:rPr>
      <w:rFonts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
    <w:name w:val="网格型5"/>
    <w:basedOn w:val="32"/>
    <w:qFormat/>
    <w:uiPriority w:val="99"/>
    <w:rPr>
      <w:rFonts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2">
    <w:name w:val="批注框文本 字符"/>
    <w:basedOn w:val="34"/>
    <w:link w:val="18"/>
    <w:autoRedefine/>
    <w:semiHidden/>
    <w:qFormat/>
    <w:uiPriority w:val="99"/>
    <w:rPr>
      <w:rFonts w:eastAsia="仿宋"/>
      <w:sz w:val="18"/>
      <w:szCs w:val="18"/>
    </w:rPr>
  </w:style>
  <w:style w:type="character" w:customStyle="1" w:styleId="73">
    <w:name w:val="未处理的提及2"/>
    <w:basedOn w:val="34"/>
    <w:autoRedefine/>
    <w:semiHidden/>
    <w:unhideWhenUsed/>
    <w:qFormat/>
    <w:uiPriority w:val="99"/>
    <w:rPr>
      <w:color w:val="605E5C"/>
      <w:shd w:val="clear" w:color="auto" w:fill="E1DFDD"/>
    </w:rPr>
  </w:style>
  <w:style w:type="paragraph" w:customStyle="1" w:styleId="74">
    <w:name w:val="副标题2"/>
    <w:basedOn w:val="23"/>
    <w:link w:val="75"/>
    <w:autoRedefine/>
    <w:qFormat/>
    <w:uiPriority w:val="0"/>
    <w:pPr>
      <w:outlineLvl w:val="2"/>
    </w:pPr>
    <w:rPr>
      <w:rFonts w:eastAsia="仿宋_GB2312"/>
    </w:rPr>
  </w:style>
  <w:style w:type="character" w:customStyle="1" w:styleId="75">
    <w:name w:val="副标题2 字符"/>
    <w:basedOn w:val="55"/>
    <w:link w:val="74"/>
    <w:qFormat/>
    <w:uiPriority w:val="0"/>
    <w:rPr>
      <w:rFonts w:ascii="仿宋_GB2312" w:hAnsi="仿宋_GB2312" w:eastAsia="仿宋_GB2312" w:cs="仿宋_GB2312"/>
      <w:kern w:val="28"/>
      <w:sz w:val="32"/>
      <w:szCs w:val="32"/>
    </w:rPr>
  </w:style>
  <w:style w:type="character" w:styleId="76">
    <w:name w:val="Placeholder Text"/>
    <w:basedOn w:val="34"/>
    <w:autoRedefine/>
    <w:semiHidden/>
    <w:qFormat/>
    <w:uiPriority w:val="99"/>
    <w:rPr>
      <w:color w:val="808080"/>
    </w:rPr>
  </w:style>
  <w:style w:type="table" w:customStyle="1" w:styleId="77">
    <w:name w:val="网格型6"/>
    <w:basedOn w:val="32"/>
    <w:autoRedefine/>
    <w:qFormat/>
    <w:uiPriority w:val="99"/>
    <w:rPr>
      <w:rFonts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8">
    <w:name w:val="Char Char Char Char"/>
    <w:basedOn w:val="12"/>
    <w:autoRedefine/>
    <w:qFormat/>
    <w:uiPriority w:val="0"/>
    <w:pPr>
      <w:shd w:val="clear" w:color="auto" w:fill="000080"/>
      <w:ind w:firstLine="0" w:firstLineChars="0"/>
    </w:pPr>
    <w:rPr>
      <w:rFonts w:ascii="Tahoma" w:hAnsi="Tahoma" w:eastAsia="宋体" w:cs="Tahoma"/>
      <w:sz w:val="24"/>
      <w:szCs w:val="24"/>
    </w:rPr>
  </w:style>
  <w:style w:type="character" w:customStyle="1" w:styleId="79">
    <w:name w:val="文档结构图 字符"/>
    <w:basedOn w:val="34"/>
    <w:link w:val="12"/>
    <w:semiHidden/>
    <w:qFormat/>
    <w:uiPriority w:val="99"/>
    <w:rPr>
      <w:rFonts w:ascii="Microsoft YaHei UI" w:eastAsia="Microsoft YaHei UI"/>
      <w:sz w:val="18"/>
      <w:szCs w:val="18"/>
    </w:rPr>
  </w:style>
  <w:style w:type="table" w:customStyle="1" w:styleId="80">
    <w:name w:val="网格型7"/>
    <w:basedOn w:val="32"/>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1">
    <w:name w:val="批注主题 字符"/>
    <w:basedOn w:val="67"/>
    <w:link w:val="30"/>
    <w:autoRedefine/>
    <w:semiHidden/>
    <w:qFormat/>
    <w:uiPriority w:val="99"/>
    <w:rPr>
      <w:rFonts w:eastAsia="仿宋"/>
      <w:b/>
      <w:bCs/>
      <w:sz w:val="32"/>
      <w:szCs w:val="24"/>
    </w:rPr>
  </w:style>
  <w:style w:type="paragraph" w:customStyle="1" w:styleId="82">
    <w:name w:val="修订1"/>
    <w:autoRedefine/>
    <w:hidden/>
    <w:semiHidden/>
    <w:qFormat/>
    <w:uiPriority w:val="99"/>
    <w:rPr>
      <w:rFonts w:eastAsia="仿宋" w:asciiTheme="minorHAnsi" w:hAnsiTheme="minorHAnsi" w:cstheme="minorBidi"/>
      <w:kern w:val="2"/>
      <w:sz w:val="32"/>
      <w:szCs w:val="24"/>
      <w:lang w:val="en-US" w:eastAsia="zh-CN" w:bidi="ar-SA"/>
    </w:rPr>
  </w:style>
  <w:style w:type="character" w:customStyle="1" w:styleId="83">
    <w:name w:val="未处理的提及3"/>
    <w:basedOn w:val="34"/>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991A05-8943-46BA-B370-7CF6FA04CC36}">
  <ds:schemaRefs/>
</ds:datastoreItem>
</file>

<file path=docProps/app.xml><?xml version="1.0" encoding="utf-8"?>
<Properties xmlns="http://schemas.openxmlformats.org/officeDocument/2006/extended-properties" xmlns:vt="http://schemas.openxmlformats.org/officeDocument/2006/docPropsVTypes">
  <Template>Normal</Template>
  <Pages>185</Pages>
  <Words>17308</Words>
  <Characters>98659</Characters>
  <Lines>822</Lines>
  <Paragraphs>231</Paragraphs>
  <TotalTime>1560</TotalTime>
  <ScaleCrop>false</ScaleCrop>
  <LinksUpToDate>false</LinksUpToDate>
  <CharactersWithSpaces>115736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2021-03-08T10:05:00Z</dcterms:created>
  <dc:creator>DELL</dc:creator>
  <cp:lastModifiedBy>WPS_1677751212</cp:lastModifiedBy>
  <cp:lastPrinted>2021-03-11T02:54:00Z</cp:lastPrinted>
  <dcterms:modified xsi:type="dcterms:W3CDTF">2024-01-27T03:37:53Z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6F313DA934C64DBE8D95DABEA233A49C_12</vt:lpwstr>
  </property>
</Properties>
</file>