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69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59264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L7WcvYAAAACQEAAA8AAAAAAAAAAQAgAAAAIgAAAGRycy9kb3ducmV2&#10;LnhtbFBLAQIUABQAAAAIAIdO4kCW/bTf/AEAAPUDAAAOAAAAAAAAAAEAIAAAACc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关于国家能源集团松湖200MW渔光互补光伏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1"/>
          <w:sz w:val="44"/>
          <w:szCs w:val="44"/>
        </w:rPr>
        <w:t>发电项目环境影响报告表的批复</w:t>
      </w:r>
    </w:p>
    <w:p>
      <w:pPr>
        <w:pStyle w:val="2"/>
        <w:keepNext w:val="0"/>
        <w:pageBreakBefore w:val="0"/>
        <w:kinsoku/>
        <w:wordWrap/>
        <w:overflowPunct/>
        <w:topLinePunct w:val="0"/>
        <w:bidi w:val="0"/>
        <w:snapToGrid/>
        <w:spacing w:line="6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国能江西新能源产业有限公司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hAnsi="仿宋"/>
          <w:sz w:val="32"/>
          <w:szCs w:val="32"/>
        </w:rPr>
      </w:pPr>
      <w:r>
        <w:rPr>
          <w:rFonts w:hint="eastAsia" w:hAnsi="仿宋"/>
          <w:sz w:val="32"/>
          <w:szCs w:val="32"/>
        </w:rPr>
        <w:t>你</w:t>
      </w:r>
      <w:r>
        <w:rPr>
          <w:rFonts w:hint="eastAsia" w:hAnsi="仿宋"/>
          <w:sz w:val="32"/>
          <w:szCs w:val="32"/>
          <w:lang w:val="en-US" w:eastAsia="zh-CN"/>
        </w:rPr>
        <w:t>公司</w:t>
      </w:r>
      <w:r>
        <w:rPr>
          <w:rFonts w:hint="eastAsia" w:hAnsi="仿宋"/>
          <w:sz w:val="32"/>
          <w:szCs w:val="32"/>
        </w:rPr>
        <w:t>报送的</w:t>
      </w:r>
      <w:r>
        <w:rPr>
          <w:rFonts w:hint="eastAsia" w:hAnsi="仿宋"/>
          <w:sz w:val="32"/>
          <w:szCs w:val="32"/>
          <w:lang w:eastAsia="zh-CN"/>
        </w:rPr>
        <w:t>关于</w:t>
      </w:r>
      <w:r>
        <w:rPr>
          <w:rFonts w:hint="eastAsia" w:hAnsi="仿宋"/>
          <w:sz w:val="32"/>
          <w:szCs w:val="32"/>
        </w:rPr>
        <w:t>《</w:t>
      </w:r>
      <w:r>
        <w:rPr>
          <w:rFonts w:hint="eastAsia" w:hAnsi="仿宋"/>
          <w:sz w:val="32"/>
          <w:szCs w:val="32"/>
          <w:lang w:val="en-US" w:eastAsia="zh-CN"/>
        </w:rPr>
        <w:t>国家能源集团松湖200MW渔光互补光伏发电项目环境影响报告表</w:t>
      </w:r>
      <w:r>
        <w:rPr>
          <w:rFonts w:hint="eastAsia" w:hAnsi="仿宋"/>
          <w:sz w:val="32"/>
          <w:szCs w:val="32"/>
        </w:rPr>
        <w:t>》（以下简称《报告表》）</w:t>
      </w:r>
      <w:r>
        <w:rPr>
          <w:rFonts w:hint="eastAsia" w:hAnsi="仿宋"/>
          <w:sz w:val="32"/>
          <w:szCs w:val="32"/>
          <w:lang w:eastAsia="zh-CN"/>
        </w:rPr>
        <w:t>的行政许可申请</w:t>
      </w:r>
      <w:r>
        <w:rPr>
          <w:rFonts w:hint="eastAsia" w:hAnsi="仿宋"/>
          <w:sz w:val="32"/>
          <w:szCs w:val="32"/>
        </w:rPr>
        <w:t>收悉。经审核，现批复如下：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基本情况及</w:t>
      </w:r>
      <w:r>
        <w:rPr>
          <w:rFonts w:hint="eastAsia" w:ascii="黑体" w:hAnsi="黑体" w:eastAsia="黑体" w:cs="黑体"/>
          <w:sz w:val="32"/>
          <w:szCs w:val="32"/>
        </w:rPr>
        <w:t>批复意见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项目基本情况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项目位于南昌市新建区松湖镇前坊村，光伏区中心地理坐标为E115°43′47.003″,N28°22′29.156″，升压站中心地理坐标为E115°43′10.181″，N28°22′57.687″，占地面积2222813.2m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（其永久占地2220513.2m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，临时用地2300m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），属新建性质。主要建设内容为：光伏发电区（规划容量为200MWp，采用372736块峰值功率为540Wp的单晶硅光伏组件）、逆变器、箱式变压器、220kV升压站（户外站，设置1台200MVA主变压器、2台容量±25000kvar SVG成套装置）、8回35kV集电线路至220kV升压站35kV母线（直埋电缆敷设，总长度约83.5km）。该项目总投资90335.91万元，其中环保投资120万元，占总投资的0.133%。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hAnsi="仿宋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</w:rPr>
        <w:t>项目批复意见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hAnsi="仿宋"/>
          <w:color w:val="auto"/>
          <w:sz w:val="32"/>
          <w:szCs w:val="32"/>
          <w:lang w:val="en-US" w:eastAsia="zh-CN"/>
        </w:rPr>
        <w:t>项目基本符合</w:t>
      </w:r>
      <w:r>
        <w:rPr>
          <w:rFonts w:hint="eastAsia"/>
          <w:color w:val="auto"/>
          <w:sz w:val="32"/>
          <w:szCs w:val="32"/>
          <w:lang w:val="en-US" w:eastAsia="zh-CN"/>
        </w:rPr>
        <w:t>南昌市“三线一单”生态环境分区管控要求，</w:t>
      </w:r>
      <w:r>
        <w:rPr>
          <w:rFonts w:hint="eastAsia" w:hAnsi="仿宋"/>
          <w:color w:val="auto"/>
          <w:sz w:val="32"/>
          <w:szCs w:val="32"/>
        </w:rPr>
        <w:t>在认真落实《报告表》</w:t>
      </w:r>
      <w:r>
        <w:rPr>
          <w:rFonts w:hint="eastAsia" w:hAnsi="仿宋"/>
          <w:sz w:val="32"/>
          <w:szCs w:val="32"/>
        </w:rPr>
        <w:t>中各项污染防治措施的前提下，我局原则同意。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二、污染防治措施及要求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项目在工程设计、建设和营运过程中应全面落实《报告表》提出的各项环保措施和要求，重点做好以下工作：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outlineLvl w:val="1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（一）水污染防治要求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项目废水主要是营运期废水主要有光伏板电池组件清洗废水、升压站区员工生活污水和餐饮废水。餐饮废水经隔油池处理后与生活污水一起经“化粪池+一体化生活污水处理设备”（核心处理工艺为生物接触氧化）处理达《城镇污水处理厂污染物排放标准》（GB18918－2002）表1中一级A标准与《农田灌溉水质标准》（GB5084-2021）中水田作物标准的较严值后回用于周边农田灌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（二）水污染防治要求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营运期废气主要为食堂油烟，油烟废气经油烟净化器处理后排放满足《饮食业油烟排放标准》（GB18483-2001）表2小型规模的要求。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（三）噪声污染防治要求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合理布局、加强管理，对噪声源采取消声、减振，隔振等措施，以减轻对周边环境的影响。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厂界噪声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执行《工业企业厂界环境噪声排放标准》（GB12348-2008）中2类区标准要求。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（三）固体废物分类处置及综合利用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应按“资源化、减量化、无害化”处置原则，认真落实废旧太阳能电池板、废变压器油、废电气元件（废电容、电抗器、变压器等）、废机油、废机油桶、废铅酸蓄电池、含油抹布和废手套及生活垃圾</w:t>
      </w:r>
      <w:r>
        <w:rPr>
          <w:rFonts w:hint="eastAsia" w:ascii="Times New Roman" w:hAnsi="Times New Roman" w:eastAsia="仿宋_GB2312" w:cs="Times New Roman"/>
          <w:kern w:val="0"/>
          <w:sz w:val="32"/>
          <w:szCs w:val="24"/>
          <w:highlight w:val="none"/>
          <w:lang w:val="en-US" w:eastAsia="zh-CN" w:bidi="ar"/>
        </w:rPr>
        <w:t>，危险废物交由有资质单位处置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。危废暂存库应按《危险废物贮存污染控制标准》（GB18597-2023）相关要求建设，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一般工业固体废物贮存过程满足防渗漏、防雨淋、防扬尘等环境保护要求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（四）电磁环境要求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工频电场强度、工频磁感应强度执行《电磁环境控制限值》（GB 8702-2014）标准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eastAsia="zh-CN"/>
        </w:rPr>
        <w:t>限值要求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（五）排污口规范化要求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按照国家生态环境部要求规范排污口建设，设置各类排污口标识。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三、项目运行和竣工验收的环保要求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  <w:highlight w:val="none"/>
        </w:rPr>
      </w:pPr>
      <w:r>
        <w:rPr>
          <w:rFonts w:hint="eastAsia" w:ascii="仿宋_GB2312" w:hAnsi="楷体" w:eastAsia="仿宋_GB2312"/>
          <w:sz w:val="32"/>
          <w:szCs w:val="32"/>
          <w:highlight w:val="none"/>
        </w:rPr>
        <w:t>项目建设必须严格执行“配套的环境保护设施与主体工程同时设计、同时施工、同时投入使用”的环境保护“三同时”制度。项目竣工后，你单位必须按规定程序实施竣工环境保护验收，经验收合格后，方可正式投入运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、其他环保要求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hAnsi="仿宋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</w:rPr>
        <w:t>重新办理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环境影响评价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</w:rPr>
        <w:t>要求。</w:t>
      </w:r>
      <w:r>
        <w:rPr>
          <w:rFonts w:hint="eastAsia" w:ascii="仿宋_GB2312" w:eastAsia="仿宋_GB2312"/>
          <w:sz w:val="32"/>
          <w:szCs w:val="32"/>
          <w:highlight w:val="none"/>
        </w:rPr>
        <w:t>本批复仅限</w:t>
      </w:r>
      <w:r>
        <w:rPr>
          <w:rFonts w:eastAsia="仿宋_GB2312"/>
          <w:sz w:val="32"/>
          <w:szCs w:val="32"/>
          <w:highlight w:val="none"/>
        </w:rPr>
        <w:t>《</w:t>
      </w:r>
      <w:r>
        <w:rPr>
          <w:rFonts w:hint="eastAsia" w:eastAsia="仿宋_GB2312"/>
          <w:sz w:val="32"/>
          <w:szCs w:val="32"/>
          <w:highlight w:val="none"/>
        </w:rPr>
        <w:t>报告表</w:t>
      </w:r>
      <w:r>
        <w:rPr>
          <w:rFonts w:eastAsia="仿宋_GB2312"/>
          <w:sz w:val="32"/>
          <w:szCs w:val="32"/>
          <w:highlight w:val="none"/>
        </w:rPr>
        <w:t>》</w:t>
      </w:r>
      <w:r>
        <w:rPr>
          <w:rFonts w:hint="eastAsia" w:eastAsia="仿宋_GB2312"/>
          <w:sz w:val="32"/>
          <w:szCs w:val="32"/>
          <w:highlight w:val="none"/>
        </w:rPr>
        <w:t>所涉</w:t>
      </w:r>
      <w:r>
        <w:rPr>
          <w:rFonts w:hint="eastAsia" w:ascii="仿宋_GB2312" w:eastAsia="仿宋_GB2312"/>
          <w:sz w:val="32"/>
          <w:szCs w:val="32"/>
          <w:highlight w:val="none"/>
        </w:rPr>
        <w:t>内容，若项目建设性质、规模、地点、采用的生产工艺</w:t>
      </w:r>
      <w:r>
        <w:rPr>
          <w:rFonts w:hint="eastAsia"/>
          <w:sz w:val="32"/>
          <w:szCs w:val="32"/>
          <w:highlight w:val="none"/>
          <w:lang w:eastAsia="zh-CN"/>
        </w:rPr>
        <w:t>或者防治污染、防止生态破坏的措施</w:t>
      </w:r>
      <w:r>
        <w:rPr>
          <w:rFonts w:hint="eastAsia" w:ascii="仿宋_GB2312" w:eastAsia="仿宋_GB2312"/>
          <w:sz w:val="32"/>
          <w:szCs w:val="32"/>
          <w:highlight w:val="none"/>
        </w:rPr>
        <w:t>发生重大变动，应重新报批环境影响评价文件；批复后超过5年方开工建设的，应报我局重新审核。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/>
          <w:color w:val="000000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Times New Roman" w:eastAsia="楷体_GB2312" w:cs="Times New Roman"/>
          <w:b/>
          <w:bCs/>
          <w:color w:val="000000"/>
          <w:sz w:val="32"/>
          <w:szCs w:val="32"/>
          <w:highlight w:val="none"/>
        </w:rPr>
        <w:t>日常环境监督管理要求。</w:t>
      </w:r>
      <w:r>
        <w:rPr>
          <w:rFonts w:hint="eastAsia" w:ascii="仿宋_GB2312"/>
          <w:color w:val="000000"/>
          <w:sz w:val="32"/>
          <w:szCs w:val="32"/>
          <w:highlight w:val="none"/>
        </w:rPr>
        <w:t>请市生态环境综合执法支队、</w:t>
      </w:r>
      <w:r>
        <w:rPr>
          <w:rFonts w:hint="eastAsia"/>
          <w:color w:val="000000"/>
          <w:sz w:val="32"/>
          <w:szCs w:val="32"/>
          <w:highlight w:val="none"/>
          <w:lang w:val="en-US" w:eastAsia="zh-CN"/>
        </w:rPr>
        <w:t>南昌市新建</w:t>
      </w:r>
      <w:r>
        <w:rPr>
          <w:rFonts w:hint="eastAsia" w:ascii="仿宋_GB2312"/>
          <w:color w:val="000000"/>
          <w:sz w:val="32"/>
          <w:szCs w:val="32"/>
          <w:highlight w:val="none"/>
          <w:lang w:eastAsia="zh-CN"/>
        </w:rPr>
        <w:t>生态环境局</w:t>
      </w:r>
      <w:r>
        <w:rPr>
          <w:rFonts w:hint="eastAsia" w:ascii="仿宋_GB2312"/>
          <w:color w:val="000000"/>
          <w:sz w:val="32"/>
          <w:szCs w:val="32"/>
          <w:highlight w:val="none"/>
        </w:rPr>
        <w:t>加强本项目日常环境监督管理。你公司应按规定接受各级生态环境部门的监督检查。</w:t>
      </w:r>
    </w:p>
    <w:p>
      <w:pPr>
        <w:pStyle w:val="9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pStyle w:val="9"/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仿宋_GB2312" w:eastAsia="仿宋_GB2312"/>
          <w:sz w:val="32"/>
          <w:szCs w:val="32"/>
          <w:highlight w:val="yellow"/>
          <w:lang w:val="en-US" w:eastAsia="zh-CN"/>
        </w:rPr>
      </w:pP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南昌市生态环境局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        2023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日</w:t>
      </w:r>
    </w:p>
    <w:p>
      <w:pPr>
        <w:keepNext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（此件主动公开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)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  <w:bookmarkStart w:id="0" w:name="_GoBack"/>
      <w:bookmarkEnd w:id="0"/>
    </w:p>
    <w:p>
      <w:pPr>
        <w:pStyle w:val="6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60288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市新建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highlight w:val="none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30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2336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GnNP/T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1312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南昌市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生态环境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局办公室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     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202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</w:rPr>
        <w:t>日印发</w:t>
      </w:r>
    </w:p>
    <w:sectPr>
      <w:footerReference r:id="rId3" w:type="default"/>
      <w:footerReference r:id="rId4" w:type="even"/>
      <w:pgSz w:w="11907" w:h="16840"/>
      <w:pgMar w:top="1474" w:right="1587" w:bottom="1417" w:left="1587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13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- 2 -</w:t>
    </w:r>
    <w:r>
      <w:fldChar w:fldCharType="end"/>
    </w:r>
  </w:p>
  <w:p>
    <w:pPr>
      <w:pStyle w:val="10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NDAyZGYzNTE3OWYxMTAxNzQ4OWJlMDFiMjU3NzcifQ=="/>
  </w:docVars>
  <w:rsids>
    <w:rsidRoot w:val="54B74005"/>
    <w:rsid w:val="401B3FA1"/>
    <w:rsid w:val="54B74005"/>
    <w:rsid w:val="571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autoSpaceDE w:val="0"/>
      <w:autoSpaceDN w:val="0"/>
      <w:adjustRightInd w:val="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next w:val="6"/>
    <w:qFormat/>
    <w:uiPriority w:val="0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7">
    <w:name w:val="Body Text"/>
    <w:basedOn w:val="1"/>
    <w:next w:val="8"/>
    <w:qFormat/>
    <w:uiPriority w:val="0"/>
    <w:pPr>
      <w:spacing w:line="240" w:lineRule="auto"/>
      <w:jc w:val="center"/>
    </w:pPr>
    <w:rPr>
      <w:rFonts w:ascii="华文中宋" w:hAnsi="华文中宋" w:eastAsia="华文中宋"/>
      <w:b/>
      <w:sz w:val="36"/>
      <w:szCs w:val="44"/>
    </w:rPr>
  </w:style>
  <w:style w:type="paragraph" w:customStyle="1" w:styleId="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9">
    <w:name w:val="Plain Text"/>
    <w:basedOn w:val="1"/>
    <w:unhideWhenUsed/>
    <w:qFormat/>
    <w:uiPriority w:val="99"/>
    <w:pPr>
      <w:spacing w:line="576" w:lineRule="exact"/>
    </w:pPr>
    <w:rPr>
      <w:rFonts w:ascii="宋体" w:hAnsi="Courier New" w:eastAsia="Times New Roman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1509</Words>
  <Characters>1709</Characters>
  <Lines>0</Lines>
  <Paragraphs>0</Paragraphs>
  <TotalTime>87</TotalTime>
  <ScaleCrop>false</ScaleCrop>
  <LinksUpToDate>false</LinksUpToDate>
  <CharactersWithSpaces>1797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2023-05-24T04:27:00Z</dcterms:created>
  <dc:creator>00813</dc:creator>
  <cp:lastModifiedBy>余赛赛</cp:lastModifiedBy>
  <cp:lastPrinted>2023-05-24T04:46:00Z</cp:lastPrinted>
  <dcterms:modified xsi:type="dcterms:W3CDTF">2023-05-24T07:52:56Z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48C7E671CDD14A7C9DAFF653EC8D361A_11</vt:lpwstr>
  </property>
</Properties>
</file>