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/>
        <w:jc w:val="distribute"/>
        <w:rPr>
          <w:rFonts w:hint="eastAsia" w:eastAsia="方正小标宋简体"/>
          <w:bCs/>
          <w:color w:val="FF0000"/>
          <w:w w:val="66"/>
          <w:sz w:val="124"/>
        </w:rPr>
      </w:pPr>
      <w:r>
        <w:rPr>
          <w:rFonts w:hint="eastAsia" w:eastAsia="方正小标宋简体"/>
          <w:bCs/>
          <w:color w:val="FF0000"/>
          <w:w w:val="66"/>
          <w:sz w:val="124"/>
        </w:rPr>
        <w:t>南昌市生态环境局文件</w:t>
      </w:r>
    </w:p>
    <w:p>
      <w:pPr>
        <w:rPr>
          <w:rFonts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</w:rPr>
      </w:pPr>
    </w:p>
    <w:p>
      <w:pPr>
        <w:spacing w:line="440" w:lineRule="exact"/>
        <w:jc w:val="center"/>
        <w:rPr>
          <w:rFonts w:hint="eastAsia" w:ascii="楷体_GB2312" w:eastAsia="楷体_GB2312"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  <w:lang w:eastAsia="zh-CN"/>
        </w:rPr>
        <w:t>洪环环评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〔</w:t>
      </w:r>
      <w:r>
        <w:rPr>
          <w:rFonts w:ascii="仿宋_GB2312" w:eastAsia="仿宋_GB2312"/>
          <w:bCs/>
          <w:color w:val="000000"/>
          <w:sz w:val="32"/>
          <w:szCs w:val="32"/>
        </w:rPr>
        <w:t>20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〕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>62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号</w:t>
      </w:r>
    </w:p>
    <w:p>
      <w:pPr>
        <w:spacing w:line="600" w:lineRule="exact"/>
        <w:rPr>
          <w:rFonts w:hint="eastAsia"/>
          <w:b/>
          <w:bCs/>
          <w:color w:val="000000"/>
          <w:sz w:val="54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116840</wp:posOffset>
                </wp:positionV>
                <wp:extent cx="6000750" cy="63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63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4.25pt;margin-top:9.2pt;height:0.05pt;width:472.5pt;z-index:251660288;mso-width-relative:page;mso-height-relative:page;" filled="f" stroked="t" coordsize="21600,21600" o:gfxdata="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y+1nL2AAAAAkBAAAPAAAAAAAAAAEAIAAAACIAAABkcnMvZG93bnJldi54bWxQ&#10;SwECFAAUAAAACACHTuJAgcRJuvcBAADnAwAADgAAAAAAAAABACAAAAAnAQAAZHJzL2Uyb0RvYy54&#10;bWxQSwUGAAAAAAYABgBZAQAAkAUAAAAA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方正小标宋简体" w:hAnsi="方正小标宋简体" w:eastAsia="方正小标宋简体" w:cs="方正小标宋简体"/>
          <w:b w:val="0"/>
          <w:sz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spacing w:val="-11"/>
          <w:sz w:val="44"/>
        </w:rPr>
        <w:t>关于</w:t>
      </w:r>
      <w:r>
        <w:rPr>
          <w:rFonts w:hint="eastAsia" w:ascii="Times New Roman" w:hAnsi="Times New Roman" w:eastAsia="方正小标宋简体" w:cs="方正小标宋简体"/>
          <w:b w:val="0"/>
          <w:bCs/>
          <w:color w:val="000000"/>
          <w:spacing w:val="0"/>
          <w:sz w:val="44"/>
          <w:szCs w:val="44"/>
          <w:lang w:val="en-US" w:eastAsia="zh-CN"/>
        </w:rPr>
        <w:t>南昌大学第二附属医院红角洲分院二期（含重大疫情救治基地）及三期建设项目</w:t>
      </w:r>
      <w:r>
        <w:rPr>
          <w:rFonts w:hint="eastAsia" w:ascii="方正小标宋简体" w:hAnsi="方正小标宋简体" w:eastAsia="方正小标宋简体" w:cs="方正小标宋简体"/>
          <w:b w:val="0"/>
          <w:spacing w:val="-11"/>
          <w:sz w:val="44"/>
        </w:rPr>
        <w:t>环境影响报告</w:t>
      </w:r>
      <w:r>
        <w:rPr>
          <w:rFonts w:hint="eastAsia" w:ascii="方正小标宋简体" w:hAnsi="方正小标宋简体" w:eastAsia="方正小标宋简体" w:cs="方正小标宋简体"/>
          <w:b w:val="0"/>
          <w:spacing w:val="-11"/>
          <w:sz w:val="44"/>
          <w:lang w:val="en-US" w:eastAsia="zh-CN"/>
        </w:rPr>
        <w:t>书</w:t>
      </w:r>
      <w:r>
        <w:rPr>
          <w:rFonts w:hint="eastAsia" w:ascii="方正小标宋简体" w:hAnsi="方正小标宋简体" w:eastAsia="方正小标宋简体" w:cs="方正小标宋简体"/>
          <w:b w:val="0"/>
          <w:spacing w:val="-11"/>
          <w:sz w:val="44"/>
        </w:rPr>
        <w:t>的</w:t>
      </w:r>
      <w:r>
        <w:rPr>
          <w:rFonts w:hint="eastAsia" w:ascii="方正小标宋简体" w:hAnsi="方正小标宋简体" w:eastAsia="方正小标宋简体" w:cs="方正小标宋简体"/>
          <w:b w:val="0"/>
          <w:sz w:val="44"/>
        </w:rPr>
        <w:t>批复</w:t>
      </w:r>
    </w:p>
    <w:p>
      <w:pPr>
        <w:spacing w:line="520" w:lineRule="exact"/>
        <w:rPr>
          <w:rFonts w:hint="eastAsia" w:ascii="仿宋_GB2312" w:eastAsia="仿宋_GB2312"/>
          <w:sz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南昌大学第二附属医院：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hAnsi="仿宋"/>
          <w:sz w:val="32"/>
          <w:szCs w:val="32"/>
        </w:rPr>
      </w:pPr>
      <w:r>
        <w:rPr>
          <w:rFonts w:hint="eastAsia" w:hAnsi="仿宋"/>
          <w:sz w:val="32"/>
          <w:szCs w:val="32"/>
        </w:rPr>
        <w:t>你</w:t>
      </w:r>
      <w:r>
        <w:rPr>
          <w:rFonts w:hint="eastAsia" w:hAnsi="仿宋"/>
          <w:sz w:val="32"/>
          <w:szCs w:val="32"/>
          <w:lang w:eastAsia="zh-CN"/>
        </w:rPr>
        <w:t>单位</w:t>
      </w:r>
      <w:r>
        <w:rPr>
          <w:rFonts w:hint="eastAsia" w:hAnsi="仿宋"/>
          <w:sz w:val="32"/>
          <w:szCs w:val="32"/>
        </w:rPr>
        <w:t>报送的《南昌大学第二附属医院红角洲分院二期（含重大疫情救治基地）及三期建设项目环境影响报告书》（以下简称《</w:t>
      </w:r>
      <w:r>
        <w:rPr>
          <w:rFonts w:hint="eastAsia" w:hAnsi="仿宋"/>
          <w:sz w:val="32"/>
          <w:szCs w:val="32"/>
          <w:lang w:eastAsia="zh-CN"/>
        </w:rPr>
        <w:t>报告书</w:t>
      </w:r>
      <w:r>
        <w:rPr>
          <w:rFonts w:hint="eastAsia" w:hAnsi="仿宋"/>
          <w:sz w:val="32"/>
          <w:szCs w:val="32"/>
        </w:rPr>
        <w:t>》）行政许可申请收悉。经审核，现批复如下：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hAnsi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一、项目基本情况及批复意见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1"/>
        <w:jc w:val="both"/>
        <w:textAlignment w:val="auto"/>
        <w:rPr>
          <w:rFonts w:hint="eastAsia" w:hAnsi="仿宋"/>
          <w:highlight w:val="yellow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（一）项目基本情况。</w:t>
      </w:r>
      <w:r>
        <w:rPr>
          <w:rFonts w:hint="eastAsia" w:hAnsi="仿宋"/>
          <w:sz w:val="32"/>
          <w:szCs w:val="32"/>
        </w:rPr>
        <w:t>项目</w:t>
      </w:r>
      <w:r>
        <w:rPr>
          <w:rFonts w:hint="eastAsia" w:hAnsi="仿宋"/>
          <w:sz w:val="32"/>
          <w:szCs w:val="32"/>
          <w:highlight w:val="none"/>
        </w:rPr>
        <w:t>为</w:t>
      </w:r>
      <w:r>
        <w:rPr>
          <w:rFonts w:hint="eastAsia" w:hAnsi="仿宋"/>
          <w:sz w:val="32"/>
          <w:szCs w:val="32"/>
          <w:highlight w:val="none"/>
          <w:lang w:val="en-US" w:eastAsia="zh-CN"/>
        </w:rPr>
        <w:t>改扩建性质</w:t>
      </w:r>
      <w:r>
        <w:rPr>
          <w:rFonts w:hint="eastAsia" w:hAnsi="仿宋"/>
          <w:sz w:val="32"/>
          <w:szCs w:val="32"/>
          <w:highlight w:val="none"/>
        </w:rPr>
        <w:t>，</w:t>
      </w:r>
      <w:r>
        <w:rPr>
          <w:rFonts w:hint="eastAsia" w:hAnsi="仿宋"/>
          <w:sz w:val="32"/>
          <w:szCs w:val="32"/>
          <w:highlight w:val="none"/>
          <w:lang w:val="en-US" w:eastAsia="zh-CN"/>
        </w:rPr>
        <w:t>位于南昌市红谷滩区学府大道588号及566号（东经115°49′50.030″、北纬28°39′52.696″），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总用地面积102845.21m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vertAlign w:val="superscript"/>
          <w:lang w:val="en-US" w:eastAsia="zh-CN"/>
        </w:rPr>
        <w:t>2</w:t>
      </w:r>
      <w:r>
        <w:rPr>
          <w:rFonts w:hint="eastAsia" w:hAnsi="仿宋"/>
          <w:sz w:val="32"/>
          <w:szCs w:val="32"/>
          <w:highlight w:val="none"/>
          <w:lang w:val="en-US" w:eastAsia="zh-CN"/>
        </w:rPr>
        <w:t>。主要建设内容包括：二期工程新建1栋26层科教综合楼、1栋4层学术中心（战时方舱医院）、1栋16层应急病房楼（重大疫情救治基地）、1栋17层住院3#楼、1栋1层高压氧舱、1座处理能力1000m</w:t>
      </w:r>
      <w:r>
        <w:rPr>
          <w:rFonts w:hint="eastAsia" w:hAnsi="仿宋"/>
          <w:sz w:val="32"/>
          <w:szCs w:val="32"/>
          <w:highlight w:val="none"/>
          <w:vertAlign w:val="superscript"/>
          <w:lang w:val="en-US" w:eastAsia="zh-CN"/>
        </w:rPr>
        <w:t>3</w:t>
      </w:r>
      <w:r>
        <w:rPr>
          <w:rFonts w:hint="eastAsia" w:hAnsi="仿宋"/>
          <w:sz w:val="32"/>
          <w:szCs w:val="32"/>
          <w:highlight w:val="none"/>
          <w:lang w:val="en-US" w:eastAsia="zh-CN"/>
        </w:rPr>
        <w:t>/d的污水处理站、生活垃圾暂存间、医疗废物暂存间、锅炉房等；三期工程新建1栋24层医疗中心、1栋5层医技综合楼等。项目改扩建后总床位数2900张，门急诊7800人次。</w:t>
      </w:r>
      <w:r>
        <w:rPr>
          <w:rFonts w:hint="eastAsia" w:hAnsi="仿宋"/>
          <w:sz w:val="32"/>
          <w:szCs w:val="32"/>
          <w:highlight w:val="none"/>
        </w:rPr>
        <w:t>该项目总投资</w:t>
      </w:r>
      <w:r>
        <w:rPr>
          <w:rFonts w:hint="eastAsia" w:hAnsi="仿宋"/>
          <w:sz w:val="32"/>
          <w:szCs w:val="32"/>
          <w:highlight w:val="none"/>
          <w:lang w:val="en-US" w:eastAsia="zh-CN"/>
        </w:rPr>
        <w:t>222618</w:t>
      </w:r>
      <w:r>
        <w:rPr>
          <w:rFonts w:hAnsi="仿宋"/>
          <w:sz w:val="32"/>
          <w:szCs w:val="32"/>
          <w:highlight w:val="none"/>
        </w:rPr>
        <w:t>万元</w:t>
      </w:r>
      <w:r>
        <w:rPr>
          <w:rFonts w:hint="eastAsia" w:hAnsi="仿宋"/>
          <w:sz w:val="32"/>
          <w:szCs w:val="32"/>
          <w:highlight w:val="none"/>
        </w:rPr>
        <w:t>，</w:t>
      </w:r>
      <w:r>
        <w:rPr>
          <w:rFonts w:hAnsi="仿宋"/>
          <w:sz w:val="32"/>
          <w:szCs w:val="32"/>
          <w:highlight w:val="none"/>
        </w:rPr>
        <w:t>其中环保投资</w:t>
      </w:r>
      <w:r>
        <w:rPr>
          <w:rFonts w:hint="eastAsia" w:hAnsi="仿宋"/>
          <w:sz w:val="32"/>
          <w:szCs w:val="32"/>
          <w:highlight w:val="none"/>
          <w:lang w:val="en-US" w:eastAsia="zh-CN"/>
        </w:rPr>
        <w:t>1210</w:t>
      </w:r>
      <w:r>
        <w:rPr>
          <w:rFonts w:hint="eastAsia" w:hAnsi="仿宋"/>
          <w:sz w:val="32"/>
          <w:szCs w:val="32"/>
          <w:highlight w:val="none"/>
        </w:rPr>
        <w:t>万元，占总投资的</w:t>
      </w:r>
      <w:r>
        <w:rPr>
          <w:rFonts w:hint="eastAsia" w:hAnsi="仿宋"/>
          <w:sz w:val="32"/>
          <w:szCs w:val="32"/>
          <w:highlight w:val="none"/>
          <w:lang w:val="en-US" w:eastAsia="zh-CN"/>
        </w:rPr>
        <w:t>0.54%</w:t>
      </w:r>
      <w:r>
        <w:rPr>
          <w:rFonts w:hint="eastAsia" w:hAnsi="仿宋"/>
          <w:sz w:val="32"/>
          <w:szCs w:val="32"/>
          <w:highlight w:val="none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1"/>
        <w:textAlignment w:val="auto"/>
        <w:rPr>
          <w:rFonts w:hint="eastAsia" w:hAnsi="仿宋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highlight w:val="none"/>
        </w:rPr>
        <w:t>（二）项目批复意见。</w:t>
      </w:r>
      <w:r>
        <w:rPr>
          <w:rFonts w:hint="eastAsia" w:hAnsi="仿宋"/>
          <w:sz w:val="32"/>
          <w:szCs w:val="32"/>
          <w:highlight w:val="none"/>
        </w:rPr>
        <w:t>项目基本符合</w:t>
      </w:r>
      <w:r>
        <w:rPr>
          <w:rFonts w:hint="eastAsia"/>
          <w:sz w:val="32"/>
          <w:szCs w:val="32"/>
          <w:highlight w:val="none"/>
        </w:rPr>
        <w:t>南昌市“三线一单”生态环境分区管控要求，</w:t>
      </w:r>
      <w:r>
        <w:rPr>
          <w:rFonts w:hint="eastAsia" w:hAnsi="仿宋"/>
          <w:sz w:val="32"/>
          <w:szCs w:val="32"/>
          <w:highlight w:val="none"/>
        </w:rPr>
        <w:t>在认真落实《</w:t>
      </w:r>
      <w:r>
        <w:rPr>
          <w:rFonts w:hint="eastAsia" w:hAnsi="仿宋"/>
          <w:sz w:val="32"/>
          <w:szCs w:val="32"/>
          <w:highlight w:val="none"/>
          <w:lang w:eastAsia="zh-CN"/>
        </w:rPr>
        <w:t>报告书</w:t>
      </w:r>
      <w:r>
        <w:rPr>
          <w:rFonts w:hint="eastAsia" w:hAnsi="仿宋"/>
          <w:sz w:val="32"/>
          <w:szCs w:val="32"/>
          <w:highlight w:val="none"/>
        </w:rPr>
        <w:t>》中各项污染防治措施的前提下，我局原则同意。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default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二、污染防治措施及要求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 xml:space="preserve">                              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outlineLvl w:val="1"/>
        <w:rPr>
          <w:rFonts w:hint="eastAsia" w:hAnsi="仿宋_GB2312" w:cs="仿宋_GB2312"/>
          <w:sz w:val="32"/>
          <w:szCs w:val="32"/>
          <w:highlight w:val="none"/>
        </w:rPr>
      </w:pPr>
      <w:r>
        <w:rPr>
          <w:rFonts w:hint="eastAsia" w:hAnsi="仿宋_GB2312" w:cs="仿宋_GB2312"/>
          <w:sz w:val="32"/>
          <w:szCs w:val="32"/>
          <w:highlight w:val="none"/>
        </w:rPr>
        <w:t>项目在工程设计、建设和营运过程中应全面落实《</w:t>
      </w:r>
      <w:r>
        <w:rPr>
          <w:rFonts w:hint="eastAsia" w:hAnsi="仿宋_GB2312" w:cs="仿宋_GB2312"/>
          <w:sz w:val="32"/>
          <w:szCs w:val="32"/>
          <w:highlight w:val="none"/>
          <w:lang w:eastAsia="zh-CN"/>
        </w:rPr>
        <w:t>报告书</w:t>
      </w:r>
      <w:r>
        <w:rPr>
          <w:rFonts w:hint="eastAsia" w:hAnsi="仿宋_GB2312" w:cs="仿宋_GB2312"/>
          <w:sz w:val="32"/>
          <w:szCs w:val="32"/>
          <w:highlight w:val="none"/>
        </w:rPr>
        <w:t>》提出的各项环保措施和要求，重点做好以下工作：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1"/>
        <w:jc w:val="both"/>
        <w:textAlignment w:val="auto"/>
        <w:outlineLvl w:val="1"/>
        <w:rPr>
          <w:rFonts w:hint="default" w:hAnsi="仿宋_GB2312" w:cs="仿宋_GB2312"/>
          <w:sz w:val="32"/>
          <w:szCs w:val="32"/>
          <w:highlight w:val="yellow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highlight w:val="none"/>
        </w:rPr>
        <w:t>（一）大气污染防治要求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</w:rPr>
        <w:t>。</w:t>
      </w:r>
      <w:r>
        <w:rPr>
          <w:rFonts w:hint="eastAsia" w:hAnsi="仿宋_GB2312" w:cs="仿宋_GB2312"/>
          <w:sz w:val="32"/>
          <w:szCs w:val="32"/>
          <w:highlight w:val="none"/>
        </w:rPr>
        <w:t>项目废气主要是</w:t>
      </w:r>
      <w:r>
        <w:rPr>
          <w:rFonts w:hint="eastAsia" w:hAnsi="仿宋_GB2312" w:cs="仿宋_GB2312"/>
          <w:sz w:val="32"/>
          <w:szCs w:val="32"/>
          <w:highlight w:val="none"/>
          <w:lang w:val="en-US" w:eastAsia="zh-CN"/>
        </w:rPr>
        <w:t>燃气锅炉烟气、</w:t>
      </w:r>
      <w:bookmarkStart w:id="0" w:name="_GoBack"/>
      <w:bookmarkEnd w:id="0"/>
      <w:r>
        <w:rPr>
          <w:rFonts w:hint="eastAsia" w:hAnsi="仿宋_GB2312" w:cs="仿宋_GB2312"/>
          <w:sz w:val="32"/>
          <w:szCs w:val="32"/>
          <w:highlight w:val="none"/>
          <w:lang w:val="en-US" w:eastAsia="zh-CN"/>
        </w:rPr>
        <w:t>备用柴油发电机废气、检验分析废气、带病原微生物的气溶胶医疗废气、污水处理站恶臭废气和食堂油烟等。采取成熟可靠的废气治理工艺，</w:t>
      </w:r>
      <w:r>
        <w:rPr>
          <w:rFonts w:hint="eastAsia" w:hAnsi="仿宋_GB2312" w:cs="仿宋_GB2312"/>
          <w:sz w:val="32"/>
          <w:szCs w:val="32"/>
          <w:highlight w:val="none"/>
        </w:rPr>
        <w:t>确保</w:t>
      </w:r>
      <w:r>
        <w:rPr>
          <w:rFonts w:hint="eastAsia" w:hAnsi="仿宋_GB2312" w:cs="仿宋_GB2312"/>
          <w:sz w:val="32"/>
          <w:szCs w:val="32"/>
          <w:highlight w:val="none"/>
          <w:lang w:val="en-US" w:eastAsia="zh-CN"/>
        </w:rPr>
        <w:t>废气</w:t>
      </w:r>
      <w:r>
        <w:rPr>
          <w:rFonts w:hint="eastAsia" w:hAnsi="仿宋_GB2312" w:cs="仿宋_GB2312"/>
          <w:sz w:val="32"/>
          <w:szCs w:val="32"/>
          <w:highlight w:val="none"/>
        </w:rPr>
        <w:t>满足《恶臭污染物排放标准》（GB14554-</w:t>
      </w:r>
      <w:r>
        <w:rPr>
          <w:rFonts w:hint="eastAsia" w:hAnsi="仿宋_GB2312" w:cs="仿宋_GB2312"/>
          <w:sz w:val="32"/>
          <w:szCs w:val="32"/>
          <w:highlight w:val="none"/>
          <w:lang w:val="en-US" w:eastAsia="zh-CN"/>
        </w:rPr>
        <w:t>19</w:t>
      </w:r>
      <w:r>
        <w:rPr>
          <w:rFonts w:hint="eastAsia" w:hAnsi="仿宋_GB2312" w:cs="仿宋_GB2312"/>
          <w:sz w:val="32"/>
          <w:szCs w:val="32"/>
          <w:highlight w:val="none"/>
        </w:rPr>
        <w:t>93）</w:t>
      </w:r>
      <w:r>
        <w:rPr>
          <w:rFonts w:hint="eastAsia" w:hAnsi="仿宋_GB2312" w:cs="仿宋_GB2312"/>
          <w:sz w:val="32"/>
          <w:szCs w:val="32"/>
          <w:highlight w:val="none"/>
          <w:lang w:eastAsia="zh-CN"/>
        </w:rPr>
        <w:t>、《医疗机构水污染物排放标准》（GB18466-2005）、</w:t>
      </w:r>
      <w:r>
        <w:rPr>
          <w:rFonts w:hint="eastAsia" w:hAnsi="仿宋_GB2312" w:cs="仿宋_GB2312"/>
          <w:sz w:val="32"/>
          <w:szCs w:val="32"/>
          <w:highlight w:val="none"/>
          <w:lang w:eastAsia="zh-CN"/>
        </w:rPr>
        <w:t>《锅炉大气污染物排放标准》（GB13271-2014）、《大气污染物综合排放标准》（GB16297-1996）、《非道路柴油移动机械排气烟度限值及测量方法》（GB36886-2018）、《饮食业油烟排放标准(试行)》（GB18483-2001）</w:t>
      </w:r>
      <w:r>
        <w:rPr>
          <w:rFonts w:hint="eastAsia" w:hAnsi="仿宋_GB2312" w:cs="仿宋_GB2312"/>
          <w:sz w:val="32"/>
          <w:szCs w:val="32"/>
          <w:highlight w:val="none"/>
          <w:lang w:val="en-US" w:eastAsia="zh-CN"/>
        </w:rPr>
        <w:t>中要求。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1"/>
        <w:textAlignment w:val="auto"/>
        <w:outlineLvl w:val="1"/>
        <w:rPr>
          <w:rFonts w:hint="eastAsia" w:hAnsi="仿宋_GB2312" w:cs="仿宋_GB2312"/>
          <w:sz w:val="32"/>
          <w:szCs w:val="32"/>
          <w:highlight w:val="yellow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highlight w:val="none"/>
        </w:rPr>
        <w:t>（二）水污染防治要求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</w:rPr>
        <w:t>。</w:t>
      </w:r>
      <w:r>
        <w:rPr>
          <w:rFonts w:hint="eastAsia" w:hAnsi="仿宋_GB2312" w:cs="仿宋_GB2312"/>
          <w:sz w:val="32"/>
          <w:szCs w:val="32"/>
          <w:highlight w:val="none"/>
        </w:rPr>
        <w:t>项目</w:t>
      </w:r>
      <w:r>
        <w:rPr>
          <w:rFonts w:hint="eastAsia" w:hAnsi="仿宋_GB2312" w:cs="仿宋_GB2312"/>
          <w:sz w:val="32"/>
          <w:szCs w:val="32"/>
          <w:highlight w:val="none"/>
          <w:lang w:val="en-US" w:eastAsia="zh-CN"/>
        </w:rPr>
        <w:t>废水主要是感染废水、非感染废水、特殊性质废水（检验酸性废水）、锅炉排水、纯水制备产生的浓水、食堂废水。感染废水经“化粪池+消毒”预处理，检验酸性废水经“中和池”预处理，食堂废水经“隔油池”预处理，再与非传染区废水一并经院区污水处理站（采用格栅+调节池+水解酸化池+生物接触氧化池+二沉池+消毒池工艺）处理，出水达到《医疗机构水污染物排放标准》（GB18466-2005）表2中预处理标准和红谷滩污水处理厂接管要求中的从严值后，由市政污水管网排入红谷滩污水处理厂处理，尾水达到《城镇污水处理厂污染物排放标准》（GB18918-2002）表1中一级A标准后排入赣江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1"/>
        <w:textAlignment w:val="auto"/>
        <w:rPr>
          <w:rFonts w:hint="eastAsia" w:hAnsi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highlight w:val="none"/>
        </w:rPr>
        <w:t>（三）噪声污染防治要求</w:t>
      </w:r>
      <w:r>
        <w:rPr>
          <w:rFonts w:hint="eastAsia" w:hAnsi="仿宋_GB2312" w:cs="仿宋_GB2312"/>
          <w:b/>
          <w:bCs/>
          <w:sz w:val="32"/>
          <w:szCs w:val="32"/>
          <w:highlight w:val="none"/>
        </w:rPr>
        <w:t>。</w:t>
      </w:r>
      <w:r>
        <w:rPr>
          <w:rFonts w:hint="eastAsia" w:hAnsi="仿宋_GB2312" w:cs="仿宋_GB2312"/>
          <w:sz w:val="32"/>
          <w:szCs w:val="32"/>
          <w:highlight w:val="none"/>
        </w:rPr>
        <w:t>合理布局、加强管理，选用低噪声设备，并采取减振、隔</w:t>
      </w:r>
      <w:r>
        <w:rPr>
          <w:rFonts w:hint="eastAsia" w:hAnsi="仿宋_GB2312" w:cs="仿宋_GB2312"/>
          <w:sz w:val="32"/>
          <w:szCs w:val="32"/>
          <w:highlight w:val="none"/>
          <w:lang w:val="en-US" w:eastAsia="zh-CN"/>
        </w:rPr>
        <w:t>振、隔</w:t>
      </w:r>
      <w:r>
        <w:rPr>
          <w:rFonts w:hint="eastAsia" w:hAnsi="仿宋_GB2312" w:cs="仿宋_GB2312"/>
          <w:sz w:val="32"/>
          <w:szCs w:val="32"/>
          <w:highlight w:val="none"/>
        </w:rPr>
        <w:t>声等措施</w:t>
      </w:r>
      <w:r>
        <w:rPr>
          <w:rFonts w:hint="eastAsia" w:hAnsi="仿宋_GB2312" w:cs="仿宋_GB2312"/>
          <w:sz w:val="32"/>
          <w:szCs w:val="32"/>
          <w:highlight w:val="none"/>
          <w:lang w:eastAsia="zh-CN"/>
        </w:rPr>
        <w:t>。</w:t>
      </w:r>
      <w:r>
        <w:rPr>
          <w:rFonts w:hint="eastAsia" w:hAnsi="仿宋_GB2312" w:cs="仿宋_GB2312"/>
          <w:sz w:val="32"/>
          <w:szCs w:val="32"/>
          <w:highlight w:val="none"/>
        </w:rPr>
        <w:t>项目东、西、北</w:t>
      </w:r>
      <w:r>
        <w:rPr>
          <w:rFonts w:hint="eastAsia" w:hAnsi="仿宋_GB2312" w:cs="仿宋_GB2312"/>
          <w:sz w:val="32"/>
          <w:szCs w:val="32"/>
          <w:highlight w:val="none"/>
          <w:lang w:val="en-US" w:eastAsia="zh-CN"/>
        </w:rPr>
        <w:t>厂</w:t>
      </w:r>
      <w:r>
        <w:rPr>
          <w:rFonts w:hint="eastAsia" w:hAnsi="仿宋_GB2312" w:cs="仿宋_GB2312"/>
          <w:sz w:val="32"/>
          <w:szCs w:val="32"/>
          <w:highlight w:val="none"/>
        </w:rPr>
        <w:t>界噪声达到《工业企业厂界环境噪声排放标准》（GB12348-2008）中</w:t>
      </w:r>
      <w:r>
        <w:rPr>
          <w:rFonts w:hint="eastAsia" w:hAnsi="仿宋_GB2312" w:cs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hAnsi="仿宋_GB2312" w:cs="仿宋_GB2312"/>
          <w:sz w:val="32"/>
          <w:szCs w:val="32"/>
          <w:highlight w:val="none"/>
        </w:rPr>
        <w:t>类区标准要求，南</w:t>
      </w:r>
      <w:r>
        <w:rPr>
          <w:rFonts w:hint="eastAsia" w:hAnsi="仿宋_GB2312" w:cs="仿宋_GB2312"/>
          <w:sz w:val="32"/>
          <w:szCs w:val="32"/>
          <w:highlight w:val="none"/>
          <w:lang w:val="en-US" w:eastAsia="zh-CN"/>
        </w:rPr>
        <w:t>厂</w:t>
      </w:r>
      <w:r>
        <w:rPr>
          <w:rFonts w:hint="eastAsia" w:hAnsi="仿宋_GB2312" w:cs="仿宋_GB2312"/>
          <w:sz w:val="32"/>
          <w:szCs w:val="32"/>
          <w:highlight w:val="none"/>
        </w:rPr>
        <w:t>界噪声达到</w:t>
      </w:r>
      <w:r>
        <w:rPr>
          <w:rFonts w:hint="eastAsia" w:hAnsi="仿宋_GB2312" w:cs="仿宋_GB2312"/>
          <w:sz w:val="32"/>
          <w:szCs w:val="32"/>
          <w:highlight w:val="none"/>
          <w:lang w:val="en-US" w:eastAsia="zh-CN"/>
        </w:rPr>
        <w:t>1</w:t>
      </w:r>
      <w:r>
        <w:rPr>
          <w:rFonts w:hint="eastAsia" w:hAnsi="仿宋_GB2312" w:cs="仿宋_GB2312"/>
          <w:sz w:val="32"/>
          <w:szCs w:val="32"/>
          <w:highlight w:val="none"/>
        </w:rPr>
        <w:t>类区标准要求</w:t>
      </w:r>
      <w:r>
        <w:rPr>
          <w:rFonts w:hint="eastAsia" w:hAnsi="仿宋_GB2312" w:cs="仿宋_GB2312"/>
          <w:sz w:val="32"/>
          <w:szCs w:val="32"/>
          <w:highlight w:val="none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1"/>
        <w:textAlignment w:val="auto"/>
        <w:rPr>
          <w:rFonts w:hint="eastAsia" w:hAnsi="仿宋_GB2312" w:cs="仿宋_GB2312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highlight w:val="none"/>
        </w:rPr>
        <w:t>（四）固体废物分类处置及综合利用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</w:rPr>
        <w:t>。</w:t>
      </w:r>
      <w:r>
        <w:rPr>
          <w:rFonts w:hint="eastAsia" w:hAnsi="仿宋_GB2312" w:cs="仿宋_GB2312"/>
          <w:sz w:val="32"/>
          <w:szCs w:val="32"/>
          <w:highlight w:val="none"/>
        </w:rPr>
        <w:t>应按“资源化、减量化、无害化”处置原则，认真落实</w:t>
      </w:r>
      <w:r>
        <w:rPr>
          <w:rFonts w:hint="eastAsia" w:hAnsi="仿宋_GB2312" w:cs="仿宋_GB2312"/>
          <w:sz w:val="32"/>
          <w:szCs w:val="32"/>
          <w:highlight w:val="none"/>
          <w:lang w:val="en-US" w:eastAsia="zh-CN"/>
        </w:rPr>
        <w:t>医疗废物、污水处理站污泥、检验废液、废过滤器、废紫外线灯管、废活性炭、废药物及药品、废包装材料、未被污染的废输液瓶（袋）、废离子交换树脂、餐厨垃圾及废油脂和生活垃圾</w:t>
      </w:r>
      <w:r>
        <w:rPr>
          <w:rFonts w:hint="eastAsia" w:hAnsi="仿宋_GB2312" w:cs="仿宋_GB2312"/>
          <w:sz w:val="32"/>
          <w:szCs w:val="32"/>
          <w:highlight w:val="none"/>
          <w:lang w:val="en-US" w:eastAsia="zh-CN"/>
        </w:rPr>
        <w:t>等</w:t>
      </w:r>
      <w:r>
        <w:rPr>
          <w:rFonts w:hint="eastAsia" w:hAnsi="仿宋_GB2312" w:cs="仿宋_GB2312"/>
          <w:sz w:val="32"/>
          <w:szCs w:val="32"/>
          <w:highlight w:val="none"/>
        </w:rPr>
        <w:t>各类固体废物收集、处置和综合利用措施</w:t>
      </w:r>
      <w:r>
        <w:rPr>
          <w:rFonts w:hint="eastAsia" w:ascii="Times New Roman"/>
          <w:kern w:val="0"/>
          <w:sz w:val="32"/>
          <w:highlight w:val="none"/>
          <w:lang w:bidi="ar"/>
        </w:rPr>
        <w:t>，危险废物交由有资质单位处置</w:t>
      </w:r>
      <w:r>
        <w:rPr>
          <w:rFonts w:hint="eastAsia" w:hAnsi="仿宋_GB2312" w:cs="仿宋_GB2312"/>
          <w:sz w:val="32"/>
          <w:szCs w:val="32"/>
          <w:highlight w:val="none"/>
        </w:rPr>
        <w:t>。一般工业固体废物贮存过程应满足相应防渗漏、防雨淋、防扬尘等环境保护要求。</w:t>
      </w:r>
      <w:r>
        <w:rPr>
          <w:rFonts w:hint="eastAsia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医疗废物暂存间</w:t>
      </w:r>
      <w:r>
        <w:rPr>
          <w:rFonts w:hint="eastAsia" w:hAnsi="仿宋_GB2312" w:cs="仿宋_GB2312"/>
          <w:sz w:val="32"/>
          <w:szCs w:val="32"/>
          <w:highlight w:val="none"/>
        </w:rPr>
        <w:t>应按《危险废物贮存污染控制标准》（GB18597-2023）相关要求建设</w:t>
      </w:r>
      <w:r>
        <w:rPr>
          <w:rFonts w:hint="eastAsia" w:hAnsi="仿宋_GB2312" w:cs="仿宋_GB2312"/>
          <w:sz w:val="32"/>
          <w:szCs w:val="32"/>
          <w:highlight w:val="none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1"/>
        <w:textAlignment w:val="auto"/>
        <w:rPr>
          <w:rFonts w:hint="eastAsia" w:hAnsi="仿宋_GB2312" w:cs="仿宋_GB2312"/>
          <w:sz w:val="32"/>
          <w:szCs w:val="32"/>
          <w:highlight w:val="none"/>
        </w:rPr>
      </w:pPr>
      <w:r>
        <w:rPr>
          <w:rFonts w:hint="eastAsia" w:ascii="楷体_GB2312" w:eastAsia="楷体_GB2312"/>
          <w:b/>
          <w:bCs/>
          <w:color w:val="000000"/>
          <w:sz w:val="32"/>
          <w:szCs w:val="32"/>
          <w:highlight w:val="none"/>
        </w:rPr>
        <w:t>（五）排污口规范化要求</w:t>
      </w:r>
      <w:r>
        <w:rPr>
          <w:rFonts w:hint="eastAsia" w:hAnsi="仿宋_GB2312" w:cs="仿宋_GB2312"/>
          <w:b/>
          <w:bCs/>
          <w:color w:val="000000"/>
          <w:sz w:val="32"/>
          <w:szCs w:val="32"/>
          <w:highlight w:val="none"/>
        </w:rPr>
        <w:t>。</w:t>
      </w:r>
      <w:r>
        <w:rPr>
          <w:rFonts w:hint="eastAsia" w:hAnsi="仿宋_GB2312" w:cs="仿宋_GB2312"/>
          <w:sz w:val="32"/>
          <w:szCs w:val="32"/>
          <w:highlight w:val="none"/>
        </w:rPr>
        <w:t>按照国家生态环境部要求规范排污口建设，设置各类排污口标识。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yellow"/>
          <w:lang w:val="en-US" w:eastAsia="zh-CN" w:bidi="ar-SA"/>
        </w:rPr>
      </w:pPr>
      <w:r>
        <w:rPr>
          <w:rFonts w:hint="eastAsia" w:ascii="楷体_GB2312" w:hAnsi="Times New Roman" w:eastAsia="楷体_GB2312" w:cs="Times New Roman"/>
          <w:b/>
          <w:bCs/>
          <w:color w:val="000000"/>
          <w:kern w:val="2"/>
          <w:sz w:val="32"/>
          <w:szCs w:val="32"/>
          <w:lang w:val="en-US" w:eastAsia="zh-CN" w:bidi="ar-SA"/>
        </w:rPr>
        <w:t>（六）污染物排放总量控制要</w:t>
      </w:r>
      <w:r>
        <w:rPr>
          <w:rFonts w:hint="eastAsia" w:ascii="楷体_GB2312" w:hAnsi="Times New Roman" w:eastAsia="楷体_GB2312" w:cs="Times New Roman"/>
          <w:b/>
          <w:bCs/>
          <w:color w:val="000000"/>
          <w:kern w:val="2"/>
          <w:sz w:val="32"/>
          <w:szCs w:val="32"/>
          <w:highlight w:val="none"/>
          <w:lang w:val="en-US" w:eastAsia="zh-CN" w:bidi="ar-SA"/>
        </w:rPr>
        <w:t>求。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项目主要污染物排放总量必须满足以下总量控制指标要求，即控制量：COD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vertAlign w:val="subscript"/>
          <w:lang w:val="en-US" w:eastAsia="zh-CN" w:bidi="ar-SA"/>
        </w:rPr>
        <w:t>Cr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≤25.84t/a，NH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vertAlign w:val="subscript"/>
          <w:lang w:val="en-US" w:eastAsia="zh-CN" w:bidi="ar-SA"/>
        </w:rPr>
        <w:t>3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-N≤2.58t/a，SO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vertAlign w:val="subscript"/>
          <w:lang w:val="en-US" w:eastAsia="zh-CN" w:bidi="ar-SA"/>
        </w:rPr>
        <w:t>2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≤1.24t/a，NO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vertAlign w:val="subscript"/>
          <w:lang w:val="en-US" w:eastAsia="zh-CN" w:bidi="ar-SA"/>
        </w:rPr>
        <w:t>X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≤3.43t/a。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三、项目运行和竣工验收的环保要求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hAnsi="仿宋_GB2312" w:cs="仿宋_GB2312"/>
          <w:sz w:val="32"/>
          <w:szCs w:val="32"/>
          <w:highlight w:val="none"/>
        </w:rPr>
      </w:pPr>
      <w:r>
        <w:rPr>
          <w:rFonts w:hint="eastAsia" w:hAnsi="仿宋_GB2312" w:cs="仿宋_GB2312"/>
          <w:sz w:val="32"/>
          <w:szCs w:val="32"/>
          <w:highlight w:val="none"/>
        </w:rPr>
        <w:t>项目建设必须严格执行“配套的环境保护设施与主体工程同时设计、同时施工、同时投入使用”的环境保护“三同时”制度。项目竣工后，你</w:t>
      </w:r>
      <w:r>
        <w:rPr>
          <w:rFonts w:hint="eastAsia" w:hAnsi="仿宋"/>
          <w:sz w:val="32"/>
          <w:szCs w:val="32"/>
          <w:highlight w:val="none"/>
          <w:lang w:eastAsia="zh-CN"/>
        </w:rPr>
        <w:t>单位</w:t>
      </w:r>
      <w:r>
        <w:rPr>
          <w:rFonts w:hint="eastAsia" w:hAnsi="仿宋_GB2312" w:cs="仿宋_GB2312"/>
          <w:sz w:val="32"/>
          <w:szCs w:val="32"/>
          <w:highlight w:val="none"/>
        </w:rPr>
        <w:t>必须按规定程序实施竣工环境保护验收，经验收合格后，方可正式投入运行。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四、其他环保要求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1"/>
        <w:textAlignment w:val="auto"/>
        <w:rPr>
          <w:rFonts w:hint="eastAsia" w:hAnsi="仿宋"/>
          <w:highlight w:val="none"/>
        </w:rPr>
      </w:pPr>
      <w:r>
        <w:rPr>
          <w:rFonts w:hint="eastAsia" w:ascii="楷体_GB2312" w:eastAsia="楷体_GB2312"/>
          <w:b/>
          <w:bCs/>
          <w:color w:val="000000"/>
          <w:sz w:val="32"/>
          <w:szCs w:val="32"/>
          <w:highlight w:val="none"/>
        </w:rPr>
        <w:t>（一）重新办理环境影响评价要求</w:t>
      </w:r>
      <w:r>
        <w:rPr>
          <w:rFonts w:hint="eastAsia" w:ascii="楷体_GB2312" w:eastAsia="楷体_GB2312"/>
          <w:color w:val="000000"/>
          <w:sz w:val="32"/>
          <w:szCs w:val="32"/>
          <w:highlight w:val="none"/>
        </w:rPr>
        <w:t>。</w:t>
      </w:r>
      <w:r>
        <w:rPr>
          <w:rFonts w:hint="eastAsia"/>
          <w:sz w:val="32"/>
          <w:szCs w:val="32"/>
          <w:highlight w:val="none"/>
        </w:rPr>
        <w:t>本批复仅限</w:t>
      </w:r>
      <w:r>
        <w:rPr>
          <w:sz w:val="32"/>
          <w:szCs w:val="32"/>
          <w:highlight w:val="none"/>
        </w:rPr>
        <w:t>《</w:t>
      </w:r>
      <w:r>
        <w:rPr>
          <w:rFonts w:hint="eastAsia"/>
          <w:sz w:val="32"/>
          <w:szCs w:val="32"/>
          <w:highlight w:val="none"/>
          <w:lang w:eastAsia="zh-CN"/>
        </w:rPr>
        <w:t>报告书</w:t>
      </w:r>
      <w:r>
        <w:rPr>
          <w:sz w:val="32"/>
          <w:szCs w:val="32"/>
          <w:highlight w:val="none"/>
        </w:rPr>
        <w:t>》</w:t>
      </w:r>
      <w:r>
        <w:rPr>
          <w:rFonts w:hint="eastAsia"/>
          <w:sz w:val="32"/>
          <w:szCs w:val="32"/>
          <w:highlight w:val="none"/>
        </w:rPr>
        <w:t>所涉内容，若项目建设性质、规模、地点、采用的生产工艺或者防治污染、防止生态破坏的措施发生重大变动，应重新报批环境影响评价文件；批复后超过5年方开工建设的，应报我局重新审核。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1"/>
        <w:textAlignment w:val="auto"/>
        <w:rPr>
          <w:rFonts w:hint="default" w:eastAsia="仿宋_GB2312"/>
          <w:color w:val="000000"/>
          <w:sz w:val="32"/>
          <w:szCs w:val="32"/>
          <w:highlight w:val="yellow"/>
          <w:lang w:val="en-US" w:eastAsia="zh-CN"/>
        </w:rPr>
      </w:pPr>
      <w:r>
        <w:rPr>
          <w:rFonts w:hint="eastAsia" w:ascii="楷体_GB2312" w:eastAsia="楷体_GB2312"/>
          <w:b/>
          <w:bCs/>
          <w:color w:val="000000"/>
          <w:sz w:val="32"/>
          <w:szCs w:val="32"/>
          <w:highlight w:val="none"/>
        </w:rPr>
        <w:t>（二）日常环境监督管理要求。</w:t>
      </w:r>
      <w:r>
        <w:rPr>
          <w:rFonts w:hint="eastAsia"/>
          <w:color w:val="000000"/>
          <w:sz w:val="32"/>
          <w:szCs w:val="32"/>
          <w:highlight w:val="none"/>
        </w:rPr>
        <w:t>请</w:t>
      </w:r>
      <w:r>
        <w:rPr>
          <w:rFonts w:hint="eastAsia"/>
          <w:color w:val="000000"/>
          <w:sz w:val="32"/>
          <w:szCs w:val="32"/>
          <w:highlight w:val="none"/>
          <w:lang w:val="en-US" w:eastAsia="zh-CN"/>
        </w:rPr>
        <w:t>南昌市生态环境保护综合执法支队、红谷滩生态环境局</w:t>
      </w:r>
      <w:r>
        <w:rPr>
          <w:rFonts w:hint="eastAsia"/>
          <w:color w:val="000000"/>
          <w:sz w:val="32"/>
          <w:szCs w:val="32"/>
          <w:highlight w:val="none"/>
        </w:rPr>
        <w:t>加强本项目日常环境监督管理。你</w:t>
      </w:r>
      <w:r>
        <w:rPr>
          <w:rFonts w:hint="eastAsia" w:hAnsi="仿宋"/>
          <w:sz w:val="32"/>
          <w:szCs w:val="32"/>
          <w:highlight w:val="none"/>
          <w:lang w:eastAsia="zh-CN"/>
        </w:rPr>
        <w:t>单位</w:t>
      </w:r>
      <w:r>
        <w:rPr>
          <w:rFonts w:hint="eastAsia"/>
          <w:color w:val="000000"/>
          <w:sz w:val="32"/>
          <w:szCs w:val="32"/>
          <w:highlight w:val="none"/>
        </w:rPr>
        <w:t>应按规定接受各级生态环境部门的监督检查。</w:t>
      </w:r>
      <w:r>
        <w:rPr>
          <w:rFonts w:hint="eastAsia"/>
          <w:color w:val="000000"/>
          <w:sz w:val="32"/>
          <w:szCs w:val="32"/>
          <w:highlight w:val="none"/>
          <w:lang w:val="en-US" w:eastAsia="zh-CN"/>
        </w:rPr>
        <w:t xml:space="preserve">                            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                        </w:t>
      </w:r>
      <w:r>
        <w:rPr>
          <w:rFonts w:hint="eastAsia" w:ascii="仿宋_GB2312" w:eastAsia="仿宋_GB2312"/>
          <w:sz w:val="32"/>
          <w:szCs w:val="32"/>
          <w:highlight w:val="none"/>
        </w:rPr>
        <w:t>南昌市生态环境局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                        </w:t>
      </w:r>
      <w:r>
        <w:rPr>
          <w:rFonts w:hint="eastAsia" w:ascii="仿宋_GB2312" w:eastAsia="仿宋_GB2312"/>
          <w:sz w:val="32"/>
          <w:szCs w:val="32"/>
          <w:highlight w:val="none"/>
        </w:rPr>
        <w:t>202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highlight w:val="none"/>
        </w:rPr>
        <w:t>年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  <w:highlight w:val="none"/>
        </w:rPr>
        <w:t>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  <w:highlight w:val="none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（此件主动公开)</w:t>
      </w:r>
    </w:p>
    <w:p>
      <w:pPr>
        <w:pStyle w:val="2"/>
        <w:rPr>
          <w:rFonts w:hint="eastAsia"/>
          <w:highlight w:val="none"/>
          <w:lang w:val="en-US" w:eastAsia="zh-CN"/>
        </w:rPr>
      </w:pPr>
    </w:p>
    <w:p>
      <w:pPr>
        <w:pStyle w:val="5"/>
        <w:rPr>
          <w:rFonts w:hint="eastAsia"/>
          <w:highlight w:val="none"/>
          <w:lang w:val="en-US" w:eastAsia="zh-CN"/>
        </w:rPr>
      </w:pPr>
    </w:p>
    <w:p>
      <w:pPr>
        <w:keepNext w:val="0"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095" w:leftChars="133" w:hanging="816" w:hangingChars="300"/>
        <w:textAlignment w:val="auto"/>
        <w:rPr>
          <w:rFonts w:hint="eastAsia" w:ascii="仿宋_GB2312" w:hAnsi="Adobe 仿宋 Std R" w:eastAsia="仿宋_GB2312" w:cs="Adobe 仿宋 Std R"/>
          <w:spacing w:val="-4"/>
          <w:sz w:val="28"/>
          <w:szCs w:val="28"/>
          <w:highlight w:val="none"/>
        </w:rPr>
      </w:pPr>
      <w:r>
        <w:rPr>
          <w:rFonts w:hint="eastAsia" w:ascii="仿宋_GB2312" w:hAnsi="Adobe 仿宋 Std R" w:eastAsia="仿宋_GB2312" w:cs="Adobe 仿宋 Std R"/>
          <w:spacing w:val="-4"/>
          <w:sz w:val="28"/>
          <w:szCs w:val="28"/>
          <w:highlight w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56007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444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.75pt;height:0pt;width:441pt;z-index:251661312;mso-width-relative:page;mso-height-relative:page;" filled="f" stroked="t" coordsize="21600,21600" o:gfxdata="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S1HgD9MAAAAEAQAADwAAAAAAAAABACAAAAAiAAAAZHJzL2Rvd25yZXYueG1sUEsB&#10;AhQAFAAAAAgAh07iQDXPA6b6AQAA8gMAAA4AAAAAAAAAAQAgAAAAIgEAAGRycy9lMm9Eb2MueG1s&#10;UEsFBgAAAAAGAAYAWQEAAI4FAAAAAA==&#10;">
                <v:fill on="f" focussize="0,0"/>
                <v:stroke weight="0.3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Adobe 仿宋 Std R" w:eastAsia="仿宋_GB2312" w:cs="Adobe 仿宋 Std R"/>
          <w:spacing w:val="-4"/>
          <w:sz w:val="28"/>
          <w:szCs w:val="28"/>
          <w:highlight w:val="none"/>
        </w:rPr>
        <w:t>抄送：</w:t>
      </w:r>
      <w:r>
        <w:rPr>
          <w:rFonts w:hint="eastAsia" w:ascii="仿宋_GB2312" w:hAnsi="Adobe 仿宋 Std R" w:eastAsia="仿宋_GB2312" w:cs="Adobe 仿宋 Std R"/>
          <w:spacing w:val="-4"/>
          <w:sz w:val="28"/>
          <w:szCs w:val="28"/>
          <w:highlight w:val="none"/>
          <w:lang w:val="en-US" w:eastAsia="zh-CN"/>
        </w:rPr>
        <w:t>南昌</w:t>
      </w:r>
      <w:r>
        <w:rPr>
          <w:rFonts w:hint="eastAsia" w:ascii="仿宋_GB2312" w:hAnsi="Adobe 仿宋 Std R" w:eastAsia="仿宋_GB2312" w:cs="Adobe 仿宋 Std R"/>
          <w:spacing w:val="-4"/>
          <w:sz w:val="28"/>
          <w:szCs w:val="28"/>
          <w:highlight w:val="none"/>
        </w:rPr>
        <w:t>市生态环境保护综合执法支队</w:t>
      </w:r>
      <w:r>
        <w:rPr>
          <w:rFonts w:hint="eastAsia" w:ascii="仿宋_GB2312" w:hAnsi="Adobe 仿宋 Std R" w:eastAsia="仿宋_GB2312" w:cs="Adobe 仿宋 Std R"/>
          <w:spacing w:val="-4"/>
          <w:sz w:val="28"/>
          <w:szCs w:val="28"/>
          <w:highlight w:val="none"/>
          <w:lang w:eastAsia="zh-CN"/>
        </w:rPr>
        <w:t>，</w:t>
      </w:r>
      <w:r>
        <w:rPr>
          <w:rFonts w:hint="eastAsia" w:ascii="仿宋_GB2312" w:hAnsi="Adobe 仿宋 Std R" w:eastAsia="仿宋_GB2312" w:cs="Adobe 仿宋 Std R"/>
          <w:spacing w:val="-4"/>
          <w:sz w:val="28"/>
          <w:szCs w:val="28"/>
          <w:highlight w:val="none"/>
          <w:lang w:val="en-US" w:eastAsia="zh-CN"/>
        </w:rPr>
        <w:t>红谷滩</w:t>
      </w:r>
      <w:r>
        <w:rPr>
          <w:rFonts w:hint="eastAsia" w:ascii="仿宋_GB2312" w:hAnsi="Adobe 仿宋 Std R" w:eastAsia="仿宋_GB2312" w:cs="Adobe 仿宋 Std R"/>
          <w:spacing w:val="-4"/>
          <w:sz w:val="28"/>
          <w:szCs w:val="28"/>
          <w:highlight w:val="none"/>
        </w:rPr>
        <w:t>生态环境局</w:t>
      </w:r>
      <w:r>
        <w:rPr>
          <w:rFonts w:hint="eastAsia" w:ascii="仿宋_GB2312" w:hAnsi="Adobe 仿宋 Std R" w:eastAsia="仿宋_GB2312" w:cs="Adobe 仿宋 Std R"/>
          <w:spacing w:val="-4"/>
          <w:sz w:val="28"/>
          <w:szCs w:val="28"/>
          <w:highlight w:val="none"/>
          <w:lang w:eastAsia="zh-CN"/>
        </w:rPr>
        <w:t>，</w:t>
      </w:r>
      <w:r>
        <w:rPr>
          <w:rFonts w:hint="eastAsia" w:ascii="仿宋_GB2312" w:hAnsi="Adobe 仿宋 Std R" w:eastAsia="仿宋_GB2312" w:cs="Adobe 仿宋 Std R"/>
          <w:spacing w:val="-4"/>
          <w:sz w:val="28"/>
          <w:szCs w:val="28"/>
          <w:highlight w:val="none"/>
          <w:lang w:val="en-US" w:eastAsia="zh-CN"/>
        </w:rPr>
        <w:t>南昌市生态环境局水生态环境科、大气环境科、土壤生态环境科</w:t>
      </w:r>
      <w:r>
        <w:rPr>
          <w:rFonts w:hint="eastAsia" w:ascii="仿宋_GB2312" w:hAnsi="Adobe 仿宋 Std R" w:eastAsia="仿宋_GB2312" w:cs="Adobe 仿宋 Std R"/>
          <w:spacing w:val="-4"/>
          <w:sz w:val="28"/>
          <w:szCs w:val="28"/>
          <w:highlight w:val="none"/>
        </w:rPr>
        <w:t>。</w:t>
      </w:r>
    </w:p>
    <w:p>
      <w:pPr>
        <w:keepNext w:val="0"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80" w:firstLineChars="100"/>
        <w:textAlignment w:val="auto"/>
        <w:rPr>
          <w:rFonts w:hint="eastAsia" w:ascii="仿宋_GB2312" w:hAnsi="仿宋_GB2312" w:eastAsia="仿宋_GB2312" w:cs="仿宋_GB2312"/>
          <w:sz w:val="30"/>
          <w:highlight w:val="none"/>
        </w:rPr>
      </w:pPr>
      <w:r>
        <w:rPr>
          <w:rFonts w:hint="eastAsia" w:ascii="仿宋_GB2312" w:hAnsi="Times New Roman" w:eastAsia="仿宋_GB2312" w:cs="Times New Roman"/>
          <w:sz w:val="28"/>
          <w:szCs w:val="28"/>
          <w:highlight w:val="non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62865</wp:posOffset>
                </wp:positionV>
                <wp:extent cx="5600700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.65pt;margin-top:4.95pt;height:0pt;width:441pt;z-index:251663360;mso-width-relative:page;mso-height-relative:page;" filled="f" stroked="t" coordsize="21600,21600" o:gfxdata="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i/wggtQAAAAFAQAADwAAAAAAAAABACAAAAAiAAAAZHJzL2Rvd25yZXYueG1sUEsB&#10;AhQAFAAAAAgAh07iQGnNP/T5AQAA8gMAAA4AAAAAAAAAAQAgAAAAIwEAAGRycy9lMm9Eb2MueG1s&#10;UEsFBgAAAAAGAAYAWQEAAI4FAAAAAA==&#10;">
                <v:fill on="f" focussize="0,0"/>
                <v:stroke weight="0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Times New Roman" w:eastAsia="仿宋_GB2312" w:cs="Times New Roman"/>
          <w:sz w:val="28"/>
          <w:szCs w:val="28"/>
          <w:highlight w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360045</wp:posOffset>
                </wp:positionV>
                <wp:extent cx="56007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444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8pt;margin-top:28.35pt;height:0pt;width:441pt;z-index:251662336;mso-width-relative:page;mso-height-relative:page;" filled="f" stroked="t" coordsize="21600,21600" o:gfxdata="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qWbWmdQAAAAHAQAADwAAAAAAAAABACAAAAAiAAAAZHJzL2Rvd25yZXYueG1sUEsB&#10;AhQAFAAAAAgAh07iQJr7kAT5AQAA8gMAAA4AAAAAAAAAAQAgAAAAIwEAAGRycy9lMm9Eb2MueG1s&#10;UEsFBgAAAAAGAAYAWQEAAI4FAAAAAA==&#10;">
                <v:fill on="f" focussize="0,0"/>
                <v:stroke weight="0.3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Times New Roman" w:eastAsia="仿宋_GB2312" w:cs="Times New Roman"/>
          <w:sz w:val="28"/>
          <w:szCs w:val="28"/>
          <w:highlight w:val="none"/>
        </w:rPr>
        <w:t>南昌市</w:t>
      </w:r>
      <w:r>
        <w:rPr>
          <w:rFonts w:hint="eastAsia" w:ascii="仿宋_GB2312" w:hAnsi="Times New Roman" w:eastAsia="仿宋_GB2312" w:cs="Times New Roman"/>
          <w:sz w:val="28"/>
          <w:szCs w:val="28"/>
          <w:highlight w:val="none"/>
          <w:lang w:val="en-US" w:eastAsia="zh-CN"/>
        </w:rPr>
        <w:t>生态环境</w:t>
      </w:r>
      <w:r>
        <w:rPr>
          <w:rFonts w:hint="eastAsia" w:ascii="仿宋_GB2312" w:hAnsi="Times New Roman" w:eastAsia="仿宋_GB2312" w:cs="Times New Roman"/>
          <w:sz w:val="28"/>
          <w:szCs w:val="28"/>
          <w:highlight w:val="none"/>
        </w:rPr>
        <w:t xml:space="preserve">局办公室               </w:t>
      </w:r>
      <w:r>
        <w:rPr>
          <w:rFonts w:hint="eastAsia" w:ascii="仿宋_GB2312" w:hAnsi="Times New Roman" w:eastAsia="仿宋_GB2312" w:cs="Times New Roman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z w:val="28"/>
          <w:szCs w:val="28"/>
          <w:highlight w:val="none"/>
        </w:rPr>
        <w:t>202</w:t>
      </w:r>
      <w:r>
        <w:rPr>
          <w:rFonts w:hint="eastAsia" w:ascii="仿宋_GB2312" w:eastAsia="仿宋_GB2312" w:cs="Times New Roman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sz w:val="28"/>
          <w:szCs w:val="28"/>
          <w:highlight w:val="none"/>
        </w:rPr>
        <w:t>年</w:t>
      </w:r>
      <w:r>
        <w:rPr>
          <w:rFonts w:hint="eastAsia" w:ascii="仿宋_GB2312" w:eastAsia="仿宋_GB2312" w:cs="Times New Roman"/>
          <w:sz w:val="28"/>
          <w:szCs w:val="28"/>
          <w:highlight w:val="none"/>
          <w:lang w:val="en-US" w:eastAsia="zh-CN"/>
        </w:rPr>
        <w:t>5</w:t>
      </w:r>
      <w:r>
        <w:rPr>
          <w:rFonts w:hint="eastAsia" w:ascii="仿宋_GB2312" w:hAnsi="Times New Roman" w:eastAsia="仿宋_GB2312" w:cs="Times New Roman"/>
          <w:sz w:val="28"/>
          <w:szCs w:val="28"/>
          <w:highlight w:val="none"/>
        </w:rPr>
        <w:t>月</w:t>
      </w:r>
      <w:r>
        <w:rPr>
          <w:rFonts w:hint="eastAsia" w:ascii="仿宋_GB2312" w:eastAsia="仿宋_GB2312" w:cs="Times New Roman"/>
          <w:sz w:val="28"/>
          <w:szCs w:val="28"/>
          <w:highlight w:val="none"/>
          <w:lang w:val="en-US" w:eastAsia="zh-CN"/>
        </w:rPr>
        <w:t>10</w:t>
      </w:r>
      <w:r>
        <w:rPr>
          <w:rFonts w:hint="eastAsia" w:ascii="仿宋_GB2312" w:hAnsi="Times New Roman" w:eastAsia="仿宋_GB2312" w:cs="Times New Roman"/>
          <w:sz w:val="28"/>
          <w:szCs w:val="28"/>
          <w:highlight w:val="none"/>
        </w:rPr>
        <w:t>日印发</w:t>
      </w:r>
    </w:p>
    <w:sectPr>
      <w:footerReference r:id="rId3" w:type="default"/>
      <w:footerReference r:id="rId4" w:type="even"/>
      <w:pgSz w:w="11907" w:h="16840"/>
      <w:pgMar w:top="1474" w:right="1361" w:bottom="1418" w:left="907" w:header="851" w:footer="992" w:gutter="68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-18030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dobe 仿宋 Std R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rPr>
        <w:rStyle w:val="14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1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oaYJL0wAAAAUBAAAPAAAAAAAAAAEAIAAAACIAAABk&#10;cnMvZG93bnJldi54bWxQSwECFAAUAAAACACHTuJA97vqatIBAACjAwAADgAAAAAAAAABACAAAAAi&#10;AQAAZHJzL2Uyb0RvYy54bWxQSwUGAAAAAAYABgBZAQAAZ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0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outside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separate"/>
    </w:r>
    <w:r>
      <w:rPr>
        <w:rStyle w:val="14"/>
      </w:rPr>
      <w:t>- 2 -</w:t>
    </w:r>
    <w:r>
      <w:fldChar w:fldCharType="end"/>
    </w:r>
  </w:p>
  <w:p>
    <w:pPr>
      <w:pStyle w:val="10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zOTFmNTk3ZjBmOWFkNGI1ZmQ2MDQ1OTMwNzNiNGMifQ=="/>
  </w:docVars>
  <w:rsids>
    <w:rsidRoot w:val="734776DA"/>
    <w:rsid w:val="11C6257D"/>
    <w:rsid w:val="16D42FF3"/>
    <w:rsid w:val="1E304BB1"/>
    <w:rsid w:val="21777163"/>
    <w:rsid w:val="2D624E42"/>
    <w:rsid w:val="2D9763BD"/>
    <w:rsid w:val="31843DAF"/>
    <w:rsid w:val="36800791"/>
    <w:rsid w:val="43B81849"/>
    <w:rsid w:val="4888749C"/>
    <w:rsid w:val="4A341372"/>
    <w:rsid w:val="4B801B31"/>
    <w:rsid w:val="4BBC0216"/>
    <w:rsid w:val="4ECA6274"/>
    <w:rsid w:val="66423CB2"/>
    <w:rsid w:val="677C3AE2"/>
    <w:rsid w:val="67BC1058"/>
    <w:rsid w:val="7347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3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2"/>
      <w:sz w:val="24"/>
      <w:szCs w:val="24"/>
      <w:lang w:val="en-US" w:eastAsia="zh-CN" w:bidi="ar-SA"/>
    </w:rPr>
  </w:style>
  <w:style w:type="paragraph" w:styleId="3">
    <w:name w:val="Body Text First Indent 2"/>
    <w:basedOn w:val="4"/>
    <w:next w:val="5"/>
    <w:qFormat/>
    <w:uiPriority w:val="0"/>
    <w:pPr>
      <w:spacing w:after="120" w:line="240" w:lineRule="auto"/>
      <w:ind w:left="420" w:leftChars="200" w:firstLine="420" w:firstLineChars="200"/>
    </w:pPr>
    <w:rPr>
      <w:sz w:val="21"/>
      <w:szCs w:val="24"/>
    </w:rPr>
  </w:style>
  <w:style w:type="paragraph" w:styleId="4">
    <w:name w:val="Body Text Indent"/>
    <w:basedOn w:val="1"/>
    <w:qFormat/>
    <w:uiPriority w:val="0"/>
    <w:pPr>
      <w:ind w:firstLine="600" w:firstLineChars="200"/>
    </w:pPr>
    <w:rPr>
      <w:rFonts w:ascii="仿宋_GB2312" w:eastAsia="仿宋_GB2312"/>
      <w:sz w:val="30"/>
    </w:rPr>
  </w:style>
  <w:style w:type="paragraph" w:styleId="5">
    <w:name w:val="Body Text First Indent"/>
    <w:basedOn w:val="6"/>
    <w:next w:val="1"/>
    <w:qFormat/>
    <w:uiPriority w:val="0"/>
    <w:pPr>
      <w:ind w:firstLine="420" w:firstLineChars="100"/>
    </w:pPr>
  </w:style>
  <w:style w:type="paragraph" w:styleId="6">
    <w:name w:val="Body Text"/>
    <w:basedOn w:val="1"/>
    <w:next w:val="7"/>
    <w:qFormat/>
    <w:uiPriority w:val="0"/>
    <w:pPr>
      <w:spacing w:line="480" w:lineRule="exact"/>
      <w:jc w:val="center"/>
    </w:pPr>
    <w:rPr>
      <w:rFonts w:ascii="华文中宋" w:hAnsi="华文中宋" w:eastAsia="华文中宋"/>
      <w:b/>
      <w:sz w:val="36"/>
      <w:szCs w:val="44"/>
    </w:rPr>
  </w:style>
  <w:style w:type="paragraph" w:customStyle="1" w:styleId="7">
    <w:name w:val="xl27"/>
    <w:basedOn w:val="1"/>
    <w:qFormat/>
    <w:uiPriority w:val="0"/>
    <w:pPr>
      <w:widowControl/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新宋体-18030" w:hAnsi="新宋体-18030" w:eastAsia="新宋体-18030" w:cs="新宋体-18030"/>
      <w:kern w:val="0"/>
    </w:rPr>
  </w:style>
  <w:style w:type="paragraph" w:styleId="8">
    <w:name w:val="Plain Text"/>
    <w:basedOn w:val="1"/>
    <w:unhideWhenUsed/>
    <w:qFormat/>
    <w:uiPriority w:val="99"/>
    <w:pPr>
      <w:spacing w:line="576" w:lineRule="exact"/>
    </w:pPr>
    <w:rPr>
      <w:rFonts w:ascii="宋体" w:hAnsi="Courier New" w:eastAsia="Times New Roman"/>
      <w:szCs w:val="21"/>
    </w:rPr>
  </w:style>
  <w:style w:type="paragraph" w:styleId="9">
    <w:name w:val="Body Text Indent 2"/>
    <w:basedOn w:val="1"/>
    <w:next w:val="3"/>
    <w:semiHidden/>
    <w:qFormat/>
    <w:uiPriority w:val="0"/>
    <w:pPr>
      <w:ind w:firstLine="425"/>
    </w:pPr>
    <w:rPr>
      <w:rFonts w:ascii="宋体"/>
      <w:sz w:val="28"/>
      <w:szCs w:val="20"/>
    </w:r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styleId="14">
    <w:name w:val="page number"/>
    <w:basedOn w:val="13"/>
    <w:qFormat/>
    <w:uiPriority w:val="0"/>
  </w:style>
  <w:style w:type="paragraph" w:customStyle="1" w:styleId="15">
    <w:name w:val="批注文字1"/>
    <w:qFormat/>
    <w:uiPriority w:val="0"/>
    <w:pPr>
      <w:widowControl w:val="0"/>
    </w:pPr>
    <w:rPr>
      <w:rFonts w:ascii="Times New Roman" w:hAnsi="Times New Roman" w:eastAsia="宋体" w:cs="Times New Roman"/>
      <w:color w:val="000000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1866</Words>
  <Characters>2084</Characters>
  <Lines>0</Lines>
  <Paragraphs>0</Paragraphs>
  <TotalTime>263</TotalTime>
  <ScaleCrop>false</ScaleCrop>
  <LinksUpToDate>false</LinksUpToDate>
  <CharactersWithSpaces>2216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2022-07-22T03:10:00Z</dcterms:created>
  <dc:creator>Free in heart</dc:creator>
  <cp:lastModifiedBy>刘双</cp:lastModifiedBy>
  <cp:lastPrinted>2023-03-29T03:13:00Z</cp:lastPrinted>
  <dcterms:modified xsi:type="dcterms:W3CDTF">2023-05-10T06:58:22Z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6AA1D4FDDC30463B871E5456EA256CE8</vt:lpwstr>
  </property>
</Properties>
</file>