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distribute"/>
        <w:rPr>
          <w:rFonts w:hint="eastAsia" w:eastAsia="方正小标宋简体"/>
          <w:bCs/>
          <w:color w:val="FF0000"/>
          <w:w w:val="66"/>
          <w:sz w:val="72"/>
          <w:szCs w:val="20"/>
        </w:rPr>
      </w:pPr>
    </w:p>
    <w:p>
      <w:pPr>
        <w:pStyle w:val="7"/>
        <w:rPr>
          <w:rFonts w:hint="eastAsia" w:eastAsia="方正小标宋简体"/>
          <w:bCs/>
          <w:color w:val="FF0000"/>
          <w:w w:val="66"/>
          <w:sz w:val="72"/>
        </w:rPr>
      </w:pPr>
    </w:p>
    <w:p>
      <w:pPr>
        <w:pStyle w:val="8"/>
        <w:ind w:firstLine="998"/>
        <w:rPr>
          <w:rFonts w:hint="eastAsia" w:eastAsia="方正小标宋简体"/>
          <w:bCs/>
          <w:color w:val="FF0000"/>
          <w:w w:val="66"/>
          <w:sz w:val="72"/>
          <w:szCs w:val="20"/>
        </w:rPr>
      </w:pPr>
    </w:p>
    <w:p>
      <w:pPr>
        <w:pStyle w:val="9"/>
        <w:ind w:firstLine="360"/>
        <w:rPr>
          <w:rFonts w:hint="eastAsia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32"/>
        </w:rPr>
      </w:pPr>
    </w:p>
    <w:p>
      <w:pPr>
        <w:spacing w:line="440" w:lineRule="exact"/>
        <w:jc w:val="center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洪环环评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〔</w:t>
      </w:r>
      <w:r>
        <w:rPr>
          <w:rFonts w:ascii="仿宋_GB2312" w:eastAsia="仿宋_GB2312"/>
          <w:bCs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号</w:t>
      </w:r>
    </w:p>
    <w:p>
      <w:pPr>
        <w:pStyle w:val="7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spacing w:val="-11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pacing w:val="-11"/>
          <w:sz w:val="44"/>
        </w:rPr>
        <w:t>关于南昌市公路管理局昌北分局养护中心工程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pacing w:val="-11"/>
          <w:sz w:val="44"/>
        </w:rPr>
        <w:t>项目环境影响报告表的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</w:rPr>
        <w:t>批复</w:t>
      </w:r>
    </w:p>
    <w:p>
      <w:pPr>
        <w:spacing w:line="520" w:lineRule="exact"/>
        <w:rPr>
          <w:rFonts w:hint="eastAsia" w:ascii="仿宋_GB2312" w:eastAsia="仿宋_GB2312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南昌市公路事业发展中心昌西南分中心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72"/>
        <w:textAlignment w:val="auto"/>
        <w:rPr>
          <w:rFonts w:hint="eastAsia"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你公司报送</w:t>
      </w:r>
      <w:r>
        <w:rPr>
          <w:rFonts w:hint="eastAsia" w:hAnsi="仿宋" w:cs="Times New Roman"/>
          <w:sz w:val="32"/>
          <w:szCs w:val="32"/>
        </w:rPr>
        <w:t>的《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南昌市公路管理局昌北分局养护中心工程项目</w:t>
      </w:r>
      <w:r>
        <w:rPr>
          <w:rFonts w:hint="eastAsia" w:hAnsi="仿宋" w:cs="Times New Roman"/>
          <w:sz w:val="32"/>
          <w:szCs w:val="32"/>
        </w:rPr>
        <w:t>环</w:t>
      </w:r>
      <w:r>
        <w:rPr>
          <w:rFonts w:hint="eastAsia" w:hAnsi="仿宋"/>
          <w:sz w:val="32"/>
          <w:szCs w:val="32"/>
        </w:rPr>
        <w:t>境影响报告表》（以下简称《报告表》）行政许可申请收悉。经审核，现批复如下：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/>
        <w:textAlignment w:val="auto"/>
        <w:rPr>
          <w:rFonts w:hint="eastAsia" w:hAnsi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一、项目基本情况及批复意见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</w:rPr>
        <w:t>（一）项目基本情况。</w:t>
      </w:r>
      <w:r>
        <w:rPr>
          <w:rFonts w:hint="eastAsia" w:ascii="仿宋_GB2312" w:hAnsi="仿宋" w:eastAsia="仿宋_GB2312" w:cs="Times New Roman"/>
          <w:b w:val="0"/>
          <w:kern w:val="2"/>
          <w:sz w:val="32"/>
          <w:szCs w:val="32"/>
          <w:lang w:val="en-US" w:eastAsia="zh-CN" w:bidi="ar-SA"/>
        </w:rPr>
        <w:t>项目位于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南昌市新建区西山镇320国道K829+200旁南侧以东地块</w:t>
      </w:r>
      <w:r>
        <w:rPr>
          <w:rFonts w:hint="eastAsia" w:ascii="仿宋_GB2312" w:hAnsi="仿宋" w:eastAsia="仿宋_GB2312" w:cs="Times New Roman"/>
          <w:b w:val="0"/>
          <w:kern w:val="2"/>
          <w:sz w:val="32"/>
          <w:szCs w:val="32"/>
          <w:lang w:val="en-US" w:eastAsia="zh-CN" w:bidi="ar-SA"/>
        </w:rPr>
        <w:t>（东经115度38分19.688秒，北纬28度34分10.453秒），用地面积26668m</w:t>
      </w:r>
      <w:r>
        <w:rPr>
          <w:rFonts w:hint="eastAsia" w:ascii="仿宋_GB2312" w:hAnsi="仿宋" w:eastAsia="仿宋_GB2312" w:cs="Times New Roman"/>
          <w:b w:val="0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" w:eastAsia="仿宋_GB2312" w:cs="Times New Roman"/>
          <w:b w:val="0"/>
          <w:kern w:val="2"/>
          <w:sz w:val="32"/>
          <w:szCs w:val="32"/>
          <w:lang w:val="en-US" w:eastAsia="zh-CN" w:bidi="ar-SA"/>
        </w:rPr>
        <w:t>，为新建性质，建成投产后预计年产沥青混凝土40万吨、水泥稳定碎石80万吨。项目总投资384.91万元，其中环保投资38万元，占总投资的9.87%。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（二）项目批复意见。</w:t>
      </w:r>
      <w:r>
        <w:rPr>
          <w:rFonts w:hint="eastAsia" w:ascii="仿宋_GB2312" w:hAnsi="仿宋" w:eastAsia="仿宋_GB2312" w:cs="Times New Roman"/>
          <w:b w:val="0"/>
          <w:kern w:val="2"/>
          <w:sz w:val="32"/>
          <w:szCs w:val="32"/>
          <w:lang w:val="en-US" w:eastAsia="zh-CN" w:bidi="ar-SA"/>
        </w:rPr>
        <w:t>项目基本符合南昌市“三线一单”生态环境分区管控要求，在认真落实《报告表》中各项污染防治措施的前提下，我局原则同意。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二、污染防治措施及要求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72"/>
        <w:textAlignment w:val="auto"/>
        <w:outlineLvl w:val="1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项目在工程设计、建设和营运过程中应全面落实《报告表》提出的各项环保措施和要求，重点做好以下工作：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）大气污染防治要求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项目废气主要包括</w:t>
      </w:r>
      <w:r>
        <w:rPr>
          <w:rFonts w:hint="eastAsia" w:ascii="仿宋" w:hAnsi="仿宋" w:eastAsia="仿宋"/>
          <w:sz w:val="32"/>
          <w:szCs w:val="32"/>
        </w:rPr>
        <w:t>骨料加热、筛分及燃料燃烧烟气，导热油炉烟气，沥青搅拌缸及加热产生的沥青烟气，沥青罐呼吸废气，改性沥青罐呼吸废气，改性沥青导热油锅炉烟气，改性沥青工艺废气，水泥仓及骨料仓粉尘，运输车辆扬尘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。应采取成熟可靠的废气处理工艺，确保</w:t>
      </w:r>
      <w:r>
        <w:rPr>
          <w:rFonts w:hint="eastAsia" w:ascii="仿宋" w:hAnsi="仿宋" w:eastAsia="仿宋" w:cs="Times New Roman"/>
          <w:bCs/>
          <w:color w:val="000000"/>
          <w:sz w:val="32"/>
          <w:szCs w:val="32"/>
          <w:lang w:val="en-US" w:eastAsia="zh-CN"/>
        </w:rPr>
        <w:t>骨料加热、筛分及燃料燃烧烟气、沥青拌合站卸料口沥青烟气及沥青罐呼吸废气、改性沥青储罐呼吸废气和改性沥青工艺废气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颗粒物、二氧化硫和氮氧化物、</w:t>
      </w:r>
      <w:r>
        <w:rPr>
          <w:rFonts w:hint="eastAsia" w:ascii="仿宋" w:hAnsi="仿宋" w:eastAsia="仿宋" w:cs="Times New Roman"/>
          <w:bCs/>
          <w:color w:val="000000"/>
          <w:sz w:val="32"/>
          <w:szCs w:val="32"/>
          <w:lang w:val="en-US" w:eastAsia="zh-CN"/>
        </w:rPr>
        <w:t>沥青烟、非甲烷总烃、苯并[a]芘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排放浓度及速率满足《大气污染物综合排放标准》（GB16297-1996）表2中二级标准。</w:t>
      </w:r>
      <w:r>
        <w:rPr>
          <w:rFonts w:hint="eastAsia" w:ascii="仿宋" w:hAnsi="仿宋" w:eastAsia="仿宋" w:cs="Times New Roman"/>
          <w:bCs/>
          <w:color w:val="000000"/>
          <w:sz w:val="32"/>
          <w:szCs w:val="32"/>
          <w:lang w:val="en-US" w:eastAsia="zh-CN"/>
        </w:rPr>
        <w:t>导热炉烟气颗粒物、二氧化硫和氮氧化物排放浓度满足《锅炉大气污染物排放标准》（GB13271-2014）表2中燃气锅炉标准要求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。无组织排放</w:t>
      </w:r>
      <w:r>
        <w:rPr>
          <w:rFonts w:hint="eastAsia" w:ascii="仿宋" w:hAnsi="仿宋" w:eastAsia="仿宋"/>
          <w:bCs/>
          <w:sz w:val="32"/>
          <w:szCs w:val="32"/>
        </w:rPr>
        <w:t>颗粒物、沥青烟、非甲烷总烃和苯并[a]芘无组织监控浓度限值满足《大气污染物综合排放标准》（GB16297-1996）表2中标准要求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outlineLvl w:val="1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（二）水污染防治要求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废水主要</w:t>
      </w:r>
      <w:r>
        <w:rPr>
          <w:rFonts w:hint="eastAsia" w:hAnsi="仿宋_GB2312" w:cs="仿宋_GB2312"/>
          <w:color w:val="auto"/>
          <w:kern w:val="2"/>
          <w:sz w:val="32"/>
          <w:szCs w:val="32"/>
          <w:lang w:val="en-US" w:eastAsia="zh-CN" w:bidi="ar-SA"/>
        </w:rPr>
        <w:t>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生活污水</w:t>
      </w:r>
      <w:r>
        <w:rPr>
          <w:rFonts w:hint="eastAsia" w:hAnsi="仿宋_GB2312" w:cs="仿宋_GB2312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" w:hAnsi="仿宋" w:eastAsia="仿宋"/>
          <w:bCs/>
          <w:sz w:val="32"/>
          <w:szCs w:val="32"/>
        </w:rPr>
        <w:t>搅拌工作区地面冲洗废水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车辆清洗废水、喷淋塔喷淋废水和初期雨水</w:t>
      </w:r>
      <w:r>
        <w:rPr>
          <w:rFonts w:hint="eastAsia" w:hAnsi="仿宋_GB2312" w:cs="仿宋_GB2312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生活污水经“一体化污水处理设备”处理后，出水用于厂区绿化，不外排；搅拌工作区地面冲洗废水、车辆清洗废水及初期雨水经沉淀池处理后用于水稳料生产；喷淋塔喷淋废水经“循环水池沉淀+定期清渣”处理后循环利用；全厂所有废水不外排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（三）噪声污染防治要求</w:t>
      </w:r>
      <w:r>
        <w:rPr>
          <w:rFonts w:hint="eastAsia" w:hAnsi="仿宋_GB2312" w:cs="仿宋_GB2312"/>
          <w:b/>
          <w:bCs/>
          <w:color w:val="auto"/>
          <w:sz w:val="32"/>
          <w:szCs w:val="32"/>
        </w:rPr>
        <w:t>。</w:t>
      </w:r>
      <w:r>
        <w:rPr>
          <w:rFonts w:hint="eastAsia" w:hAnsi="仿宋_GB2312" w:cs="仿宋_GB2312"/>
          <w:color w:val="auto"/>
          <w:sz w:val="32"/>
          <w:szCs w:val="32"/>
        </w:rPr>
        <w:t>合理布局、加强管理，选用低噪声设备，对噪声源采取减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振</w:t>
      </w:r>
      <w:r>
        <w:rPr>
          <w:rFonts w:hint="eastAsia" w:hAnsi="仿宋_GB2312" w:cs="仿宋_GB2312"/>
          <w:color w:val="auto"/>
          <w:sz w:val="32"/>
          <w:szCs w:val="32"/>
        </w:rPr>
        <w:t>、隔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振</w:t>
      </w:r>
      <w:r>
        <w:rPr>
          <w:rFonts w:hint="eastAsia" w:hAnsi="仿宋_GB2312" w:cs="仿宋_GB2312"/>
          <w:color w:val="auto"/>
          <w:sz w:val="32"/>
          <w:szCs w:val="32"/>
        </w:rPr>
        <w:t>、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隔</w:t>
      </w:r>
      <w:r>
        <w:rPr>
          <w:rFonts w:hint="eastAsia" w:hAnsi="仿宋_GB2312" w:cs="仿宋_GB2312"/>
          <w:color w:val="auto"/>
          <w:sz w:val="32"/>
          <w:szCs w:val="32"/>
        </w:rPr>
        <w:t>声等措施，以减轻对周边环境的影响。</w:t>
      </w:r>
      <w:r>
        <w:rPr>
          <w:rFonts w:hint="eastAsia" w:hAnsi="仿宋"/>
          <w:sz w:val="32"/>
          <w:szCs w:val="32"/>
        </w:rPr>
        <w:t>厂界噪声必须达到《工业企业厂界环境噪声排放标准》（GB12348-2008）中</w:t>
      </w:r>
      <w:r>
        <w:rPr>
          <w:rFonts w:hint="eastAsia" w:hAnsi="仿宋"/>
          <w:sz w:val="32"/>
          <w:szCs w:val="32"/>
          <w:lang w:val="en-US" w:eastAsia="zh-CN"/>
        </w:rPr>
        <w:t>2</w:t>
      </w:r>
      <w:r>
        <w:rPr>
          <w:rFonts w:hint="eastAsia" w:hAnsi="仿宋"/>
          <w:sz w:val="32"/>
          <w:szCs w:val="32"/>
        </w:rPr>
        <w:t>类标准。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（四）固体废物分类处置及综合利用。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应按“资源化、减量化、无害化”处置原则，认真落实</w:t>
      </w:r>
      <w:r>
        <w:rPr>
          <w:rFonts w:hint="eastAsia" w:ascii="仿宋" w:hAnsi="仿宋" w:eastAsia="仿宋"/>
          <w:sz w:val="32"/>
          <w:szCs w:val="32"/>
        </w:rPr>
        <w:t>生活垃圾、不合格骨料、滴漏沥青和拌合残渣、布袋除尘器收集的粉尘、废布袋、废导热油、废机油、废油桶、静电除油装置产生的废油、废活性炭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等各类固体废物收集、处置和综合利用措施。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一般固废暂存间应防渗漏、防雨淋、防扬尘；</w:t>
      </w:r>
      <w:r>
        <w:rPr>
          <w:rFonts w:hint="eastAsia" w:ascii="仿宋" w:hAnsi="仿宋" w:eastAsia="仿宋"/>
          <w:bCs/>
          <w:sz w:val="32"/>
          <w:szCs w:val="32"/>
        </w:rPr>
        <w:t>危废暂存库按《危险废物贮存污染控制标准》（GB18597-2001）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及其修改单</w:t>
      </w:r>
      <w:r>
        <w:rPr>
          <w:rFonts w:hint="eastAsia" w:ascii="仿宋" w:hAnsi="仿宋" w:eastAsia="仿宋"/>
          <w:bCs/>
          <w:sz w:val="32"/>
          <w:szCs w:val="32"/>
        </w:rPr>
        <w:t>要求建设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hAnsi="仿宋_GB2312" w:cs="仿宋_GB2312"/>
          <w:color w:val="auto"/>
          <w:sz w:val="32"/>
          <w:szCs w:val="32"/>
        </w:rPr>
      </w:pPr>
      <w:r>
        <w:rPr>
          <w:rFonts w:hint="eastAsia" w:ascii="楷体_GB2312" w:eastAsia="楷体_GB2312"/>
          <w:b/>
          <w:bCs/>
          <w:color w:val="auto"/>
          <w:sz w:val="32"/>
          <w:szCs w:val="32"/>
        </w:rPr>
        <w:t>（五）排污口规范化要求</w:t>
      </w:r>
      <w:r>
        <w:rPr>
          <w:rFonts w:hint="eastAsia" w:hAnsi="仿宋_GB2312" w:cs="仿宋_GB2312"/>
          <w:b/>
          <w:bCs/>
          <w:color w:val="auto"/>
          <w:sz w:val="32"/>
          <w:szCs w:val="32"/>
        </w:rPr>
        <w:t>。</w:t>
      </w:r>
      <w:r>
        <w:rPr>
          <w:rFonts w:hint="eastAsia" w:hAnsi="仿宋_GB2312" w:cs="仿宋_GB2312"/>
          <w:color w:val="auto"/>
          <w:sz w:val="32"/>
          <w:szCs w:val="32"/>
        </w:rPr>
        <w:t>按照国家生态环境部要求规范排污口建设，设置各类排污口标识。</w:t>
      </w:r>
    </w:p>
    <w:p>
      <w:pPr>
        <w:spacing w:line="62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（六）污染物排放总量控制要求。</w:t>
      </w:r>
      <w:r>
        <w:rPr>
          <w:rFonts w:hint="eastAsia" w:ascii="仿宋_GB2312" w:eastAsia="仿宋_GB2312"/>
          <w:color w:val="auto"/>
          <w:sz w:val="32"/>
          <w:szCs w:val="32"/>
        </w:rPr>
        <w:t>项目主要污染物排放总量必须满足以下总量控制指标要求，即：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二氧化硫</w:t>
      </w:r>
      <w:r>
        <w:rPr>
          <w:rFonts w:hint="eastAsia" w:ascii="仿宋_GB2312" w:eastAsia="仿宋_GB2312"/>
          <w:color w:val="auto"/>
          <w:sz w:val="32"/>
          <w:szCs w:val="32"/>
        </w:rPr>
        <w:t>≤0.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吨/年，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氮氧化物</w:t>
      </w:r>
      <w:r>
        <w:rPr>
          <w:rFonts w:hint="eastAsia" w:ascii="仿宋_GB2312" w:eastAsia="仿宋_GB2312"/>
          <w:color w:val="auto"/>
          <w:sz w:val="32"/>
          <w:szCs w:val="32"/>
        </w:rPr>
        <w:t>≤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3.17</w:t>
      </w:r>
      <w:r>
        <w:rPr>
          <w:rFonts w:hint="eastAsia" w:ascii="仿宋_GB2312" w:eastAsia="仿宋_GB2312"/>
          <w:color w:val="auto"/>
          <w:sz w:val="32"/>
          <w:szCs w:val="32"/>
        </w:rPr>
        <w:t>吨/年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，非甲烷总烃</w:t>
      </w:r>
      <w:r>
        <w:rPr>
          <w:rFonts w:hint="eastAsia" w:ascii="仿宋_GB2312" w:eastAsia="仿宋_GB2312"/>
          <w:color w:val="auto"/>
          <w:sz w:val="32"/>
          <w:szCs w:val="32"/>
        </w:rPr>
        <w:t>≤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0.0201</w:t>
      </w:r>
      <w:r>
        <w:rPr>
          <w:rFonts w:hint="eastAsia" w:ascii="仿宋_GB2312" w:eastAsia="仿宋_GB2312"/>
          <w:color w:val="auto"/>
          <w:sz w:val="32"/>
          <w:szCs w:val="32"/>
        </w:rPr>
        <w:t>吨/年。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三、项目运行和竣工验收的环保要求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72"/>
        <w:textAlignment w:val="auto"/>
        <w:rPr>
          <w:rFonts w:hint="eastAsia" w:hAnsi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项目建设必须严格执行“配套的环境保护设施与主体工程同时设计、同时施工、同时投入使用”的环境保护“三同时”制度。项目竣工后，你公司必须按规定程序实施竣工环境保护验收，经验收合格后，方可正式投入运行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四、其他环保要求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73"/>
        <w:textAlignment w:val="auto"/>
        <w:rPr>
          <w:rFonts w:hint="eastAsia" w:hAnsi="仿宋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</w:rPr>
        <w:t>（一）重新办理环境影响评价要求</w:t>
      </w:r>
      <w:r>
        <w:rPr>
          <w:rFonts w:hint="eastAsia" w:ascii="楷体_GB2312" w:eastAsia="楷体_GB2312"/>
          <w:color w:val="000000"/>
          <w:sz w:val="32"/>
          <w:szCs w:val="32"/>
        </w:rPr>
        <w:t>。</w:t>
      </w:r>
      <w:r>
        <w:rPr>
          <w:rFonts w:hint="eastAsia"/>
          <w:sz w:val="32"/>
          <w:szCs w:val="32"/>
        </w:rPr>
        <w:t>本批复仅限</w:t>
      </w:r>
      <w:r>
        <w:rPr>
          <w:sz w:val="32"/>
          <w:szCs w:val="32"/>
        </w:rPr>
        <w:t>《</w:t>
      </w:r>
      <w:r>
        <w:rPr>
          <w:rFonts w:hint="eastAsia"/>
          <w:sz w:val="32"/>
          <w:szCs w:val="32"/>
        </w:rPr>
        <w:t>报告表</w:t>
      </w:r>
      <w:r>
        <w:rPr>
          <w:sz w:val="32"/>
          <w:szCs w:val="32"/>
        </w:rPr>
        <w:t>》</w:t>
      </w:r>
      <w:r>
        <w:rPr>
          <w:rFonts w:hint="eastAsia"/>
          <w:sz w:val="32"/>
          <w:szCs w:val="32"/>
        </w:rPr>
        <w:t>所涉内容，若项目建设性质、规模、地点、采用的生产工艺或者防治污染、防止生态破坏的措施发生重大变动，应重新报批环境影响评价文件；批复后超过5年方开工建设的，应报我局重新审核。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73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</w:rPr>
        <w:t>（二）日常环境监督管理要求。</w:t>
      </w:r>
      <w:r>
        <w:rPr>
          <w:rFonts w:hint="eastAsia"/>
          <w:color w:val="000000"/>
          <w:sz w:val="32"/>
          <w:szCs w:val="32"/>
        </w:rPr>
        <w:t>请</w:t>
      </w:r>
      <w:r>
        <w:rPr>
          <w:rFonts w:hint="eastAsia"/>
          <w:color w:val="000000"/>
          <w:sz w:val="32"/>
          <w:szCs w:val="32"/>
          <w:lang w:val="en-US" w:eastAsia="zh-CN"/>
        </w:rPr>
        <w:t>新建</w:t>
      </w:r>
      <w:r>
        <w:rPr>
          <w:rFonts w:hint="eastAsia"/>
          <w:color w:val="000000"/>
          <w:sz w:val="32"/>
          <w:szCs w:val="32"/>
        </w:rPr>
        <w:t>生态环境局加强本项目日常环境监督管理。你公司应按规定接受各级生态环境部门的监督检查。</w:t>
      </w:r>
    </w:p>
    <w:p>
      <w:pPr>
        <w:rPr>
          <w:rFonts w:hint="eastAsia"/>
          <w:color w:val="000000"/>
          <w:sz w:val="32"/>
          <w:szCs w:val="32"/>
        </w:rPr>
      </w:pPr>
    </w:p>
    <w:p>
      <w:pPr>
        <w:pStyle w:val="6"/>
      </w:pPr>
    </w:p>
    <w:p/>
    <w:p>
      <w:pPr>
        <w:pStyle w:val="6"/>
      </w:pPr>
    </w:p>
    <w:p/>
    <w:p>
      <w:pPr>
        <w:spacing w:line="60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南昌市生态环境局</w:t>
      </w:r>
    </w:p>
    <w:p>
      <w:pPr>
        <w:spacing w:line="6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6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pStyle w:val="6"/>
        <w:ind w:left="0" w:leftChars="0" w:firstLine="0" w:firstLineChars="0"/>
        <w:rPr>
          <w:rFonts w:hint="eastAsia"/>
        </w:rPr>
      </w:pPr>
    </w:p>
    <w:p>
      <w:pPr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ind w:left="0" w:leftChars="0" w:firstLine="0" w:firstLineChars="0"/>
        <w:rPr>
          <w:rFonts w:hint="eastAsia"/>
        </w:rPr>
      </w:pPr>
    </w:p>
    <w:p>
      <w:pPr>
        <w:spacing w:line="600" w:lineRule="exact"/>
        <w:ind w:firstLine="640" w:firstLineChars="200"/>
        <w:rPr>
          <w:rFonts w:hint="eastAsia" w:hAnsi="仿宋"/>
        </w:rPr>
      </w:pPr>
      <w:r>
        <w:rPr>
          <w:rFonts w:hint="eastAsia" w:ascii="仿宋_GB2312" w:eastAsia="仿宋_GB2312"/>
          <w:sz w:val="32"/>
          <w:szCs w:val="32"/>
        </w:rPr>
        <w:t>（此件主动公开)</w:t>
      </w:r>
    </w:p>
    <w:p>
      <w:pPr>
        <w:keepLines/>
        <w:widowControl/>
        <w:spacing w:before="156" w:beforeLines="50" w:after="156" w:afterLines="50" w:line="400" w:lineRule="exact"/>
        <w:ind w:firstLine="280" w:firstLineChars="100"/>
        <w:rPr>
          <w:rFonts w:hint="eastAsia" w:ascii="仿宋_GB2312" w:hAnsi="Adobe 仿宋 Std R" w:eastAsia="仿宋_GB2312" w:cs="Adobe 仿宋 Std R"/>
          <w:spacing w:val="-4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419100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85pt;margin-top:33pt;height:0pt;width:441pt;z-index:251660288;mso-width-relative:page;mso-height-relative:page;" filled="f" stroked="t" coordsize="21600,21600" o:gfxdata="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gPVmNQAAAAHAQAADwAAAAAAAAABACAAAAAiAAAAZHJzL2Rvd25yZXYueG1sUEsB&#10;AhQAFAAAAAgAh07iQKZOJC/5AQAA8gMAAA4AAAAAAAAAAQAgAAAAIwEAAGRycy9lMm9Eb2MueG1s&#10;UEsFBgAAAAAGAAYAWQEAAI4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75pt;height:0pt;width:441pt;z-index:251659264;mso-width-relative:page;mso-height-relative:page;" filled="f" stroked="t" coordsize="21600,21600" o:gfxdata="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1HgD9MAAAAEAQAADwAAAAAAAAABACAAAAAiAAAAZHJzL2Rvd25yZXYueG1sUEsB&#10;AhQAFAAAAAgAh07iQDXPA6b6AQAA8gMAAA4AAAAAAAAAAQAgAAAAIgEAAGRycy9lMm9Eb2MueG1s&#10;UEsFBgAAAAAGAAYAWQEAAI4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</w:rPr>
        <w:t>抄送：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lang w:val="en-US" w:eastAsia="zh-CN"/>
        </w:rPr>
        <w:t>新建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</w:rPr>
        <w:t>生态环境局。</w:t>
      </w:r>
    </w:p>
    <w:p>
      <w:pPr>
        <w:keepLines/>
        <w:widowControl/>
        <w:spacing w:before="156" w:beforeLines="50" w:after="156" w:afterLines="50" w:line="400" w:lineRule="exact"/>
        <w:ind w:firstLine="280" w:firstLineChars="1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eastAsia="仿宋_GB2312"/>
          <w:sz w:val="28"/>
          <w:szCs w:val="28"/>
        </w:rPr>
        <w:t xml:space="preserve">南昌市生态环境局办公室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jc w:val="center"/>
        <w:rPr>
          <w:rFonts w:hint="eastAsia" w:ascii="宋体" w:hAnsi="宋体" w:eastAsia="宋体" w:cs="宋体"/>
          <w:b/>
          <w:spacing w:val="-6"/>
          <w:sz w:val="44"/>
          <w:szCs w:val="44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27940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8pt;margin-top:2.2pt;height:0pt;width:441pt;z-index:251661312;mso-width-relative:page;mso-height-relative:page;" filled="f" stroked="t" coordsize="21600,21600" o:gfxdata="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N2LoXSAAAABQEAAA8AAAAAAAAAAQAgAAAAIgAAAGRycy9kb3ducmV2LnhtbFBLAQIU&#10;ABQAAAAIAIdO4kCa+5AE+QEAAPIDAAAOAAAAAAAAAAEAIAAAACEBAABkcnMvZTJvRG9jLnhtbFBL&#10;BQYAAAAABgAGAFkBAACMBQAAAAA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7" w:h="16840"/>
      <w:pgMar w:top="1758" w:right="1361" w:bottom="1418" w:left="907" w:header="851" w:footer="992" w:gutter="68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-1803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Style w:val="13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97vqa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- 2 -</w:t>
    </w:r>
    <w:r>
      <w:fldChar w:fldCharType="end"/>
    </w:r>
  </w:p>
  <w:p>
    <w:pPr>
      <w:pStyle w:val="10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hMWM0YWQzNGNjYzI3OTRkZTE3MmVkZDg1Nzc5NjAifQ=="/>
  </w:docVars>
  <w:rsids>
    <w:rsidRoot w:val="386B5BAD"/>
    <w:rsid w:val="386B5BAD"/>
    <w:rsid w:val="3B9F0D1A"/>
    <w:rsid w:val="3F81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1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  <w:lang w:val="en-US" w:eastAsia="zh-CN" w:bidi="ar-SA"/>
    </w:rPr>
  </w:style>
  <w:style w:type="paragraph" w:customStyle="1" w:styleId="3">
    <w:name w:val="Normal_14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4">
    <w:name w:val="Body Text"/>
    <w:basedOn w:val="1"/>
    <w:next w:val="5"/>
    <w:qFormat/>
    <w:uiPriority w:val="0"/>
    <w:pPr>
      <w:spacing w:line="480" w:lineRule="exact"/>
      <w:jc w:val="center"/>
    </w:pPr>
    <w:rPr>
      <w:rFonts w:ascii="华文中宋" w:hAnsi="华文中宋" w:eastAsia="华文中宋"/>
      <w:b/>
      <w:sz w:val="36"/>
      <w:szCs w:val="44"/>
    </w:rPr>
  </w:style>
  <w:style w:type="paragraph" w:customStyle="1" w:styleId="5">
    <w:name w:val="xl27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新宋体-18030" w:hAnsi="新宋体-18030" w:eastAsia="新宋体-18030" w:cs="新宋体-18030"/>
      <w:kern w:val="0"/>
    </w:rPr>
  </w:style>
  <w:style w:type="paragraph" w:styleId="6">
    <w:name w:val="Body Text Indent"/>
    <w:basedOn w:val="1"/>
    <w:next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7">
    <w:name w:val="Body Text Indent 2"/>
    <w:basedOn w:val="1"/>
    <w:next w:val="8"/>
    <w:semiHidden/>
    <w:qFormat/>
    <w:uiPriority w:val="0"/>
    <w:pPr>
      <w:ind w:firstLine="425"/>
    </w:pPr>
    <w:rPr>
      <w:rFonts w:ascii="宋体"/>
      <w:sz w:val="28"/>
      <w:szCs w:val="20"/>
    </w:rPr>
  </w:style>
  <w:style w:type="paragraph" w:styleId="8">
    <w:name w:val="Body Text First Indent 2"/>
    <w:basedOn w:val="6"/>
    <w:next w:val="9"/>
    <w:qFormat/>
    <w:uiPriority w:val="0"/>
    <w:pPr>
      <w:spacing w:after="120" w:line="240" w:lineRule="auto"/>
      <w:ind w:left="420" w:leftChars="200" w:firstLine="420" w:firstLineChars="200"/>
    </w:pPr>
    <w:rPr>
      <w:sz w:val="21"/>
      <w:szCs w:val="24"/>
    </w:rPr>
  </w:style>
  <w:style w:type="paragraph" w:styleId="9">
    <w:name w:val="Body Text First Indent"/>
    <w:basedOn w:val="4"/>
    <w:next w:val="1"/>
    <w:qFormat/>
    <w:uiPriority w:val="0"/>
    <w:pPr>
      <w:ind w:firstLine="420" w:firstLineChars="10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3">
    <w:name w:val="page number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1560</Words>
  <Characters>1670</Characters>
  <Lines>0</Lines>
  <Paragraphs>0</Paragraphs>
  <TotalTime>2</TotalTime>
  <ScaleCrop>false</ScaleCrop>
  <LinksUpToDate>false</LinksUpToDate>
  <CharactersWithSpaces>1727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2022-04-07T04:05:00Z</dcterms:created>
  <dc:creator>Free in heart</dc:creator>
  <cp:lastModifiedBy>Free in heart</cp:lastModifiedBy>
  <dcterms:modified xsi:type="dcterms:W3CDTF">2022-04-28T07:24:08Z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8DCBEF30BD574AFFBF2759637C23A998</vt:lpwstr>
  </property>
</Properties>
</file>