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jc w:val="center"/>
        <w:rPr>
          <w:rFonts w:ascii="Verdana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202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000000"/>
          <w:sz w:val="32"/>
          <w:szCs w:val="32"/>
        </w:rPr>
        <w:t>月份南昌市居民消费价格变动情况表</w:t>
      </w:r>
    </w:p>
    <w:tbl>
      <w:tblPr>
        <w:tblStyle w:val="2"/>
        <w:tblW w:w="90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1995"/>
        <w:gridCol w:w="1852"/>
        <w:gridCol w:w="30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ind w:left="641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比上月（%）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比上年同月（%）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比上年同期（%）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居民消费价格总指数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doub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-0.8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doub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doub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一、食品烟酒</w:t>
            </w:r>
          </w:p>
        </w:tc>
        <w:tc>
          <w:tcPr>
            <w:tcW w:w="1995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-1.9</w:t>
            </w:r>
          </w:p>
        </w:tc>
        <w:tc>
          <w:tcPr>
            <w:tcW w:w="1852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1946" w:type="dxa"/>
            <w:gridSpan w:val="2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其中：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-3.0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2.6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. 粮食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4.0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.鲜菜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-0.4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-0.1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.畜肉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-9.0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-0.2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.水产品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-4.7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-3.4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.蛋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-2.1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10.2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. 鲜果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-6.0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11.3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二、衣着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-1.7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5.5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三、居住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四、生活用品及服务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五、交通和通信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-0.7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六、教育文化和娱乐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-0.7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七、医疗保健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八、其他用品和服务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-0.4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4.4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5.0</w:t>
            </w:r>
          </w:p>
        </w:tc>
      </w:tr>
    </w:tbl>
    <w:p>
      <w:pPr>
        <w:autoSpaceDN w:val="0"/>
        <w:spacing w:line="360" w:lineRule="auto"/>
        <w:jc w:val="left"/>
        <w:rPr>
          <w:rFonts w:ascii="Verdana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（根据国家统计局南昌调查队提供的资料整理）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36C57"/>
    <w:rsid w:val="04DC354F"/>
    <w:rsid w:val="0BDB624F"/>
    <w:rsid w:val="2B536C57"/>
    <w:rsid w:val="2BE5454D"/>
    <w:rsid w:val="47943F03"/>
    <w:rsid w:val="4B8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2023-03-21T08:12:00Z</dcterms:created>
  <dc:creator>零点</dc:creator>
  <cp:lastModifiedBy>零点</cp:lastModifiedBy>
  <dcterms:modified xsi:type="dcterms:W3CDTF">2023-03-21T08:13:09Z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